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387985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For the month of October 2025</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plc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left="240" w:right="279"/>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2241550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342265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788035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Smart Pay Acquisition</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October 2, 2025, Rezolve AI plc (the "Company") entered into an asset purchase agreement (the "Asset Purchase Agreement") with SmartPay Digital Services Limitada, a Brazilian limited liability company (sociedade limitada) (“SmartPay”) and Rocelo Lopes, the founder and beneficial owner of all the equity interests in SmartPay, pursuant to which Rezolve agreed to purchase and SmartPay agreed to sell, certain material assets of SmartPay (the "SmartPay Asset Acquisition").</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October 7, 2025, the Company, SmartPay and Mr. Lopes closed the SmartPay Asset Acquisition. As consideration for the SmartPay Asset Acquisition, the Company paid USDT1,900,000 and issued 356,629 ordinary shares, £0.0001 nominal value ("Ordinary Shares"), of the Company to SmartPay. SmartPay is also entitled to receive, upon satisfaction of certain conditions as described in the SmartPay Asset Purchase Agreement, an aggregate of up to USDT4,000,000 and the equivalent of up to an aggregate of USDT8,000,000 in Ordinary Shares.</w:t>
      </w:r>
    </w:p>
    <w:p>
      <w:pPr>
        <w:spacing w:after="0" w:line="18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description of the SmartPay Asset Purchase Agreement is not complete and is subject to, and qualified in its entirety by reference to, the actual agreement, a copy of which is furnished as exhibit 10.1 to this Report on Form 6-K and is incorporated by reference herein.</w:t>
      </w:r>
    </w:p>
    <w:p>
      <w:pPr>
        <w:spacing w:after="0" w:line="16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On October 7, 2025, the Company issued a press release announcing the closing of the SmartPay Asset Acquisition. A copy of the press release is furnished as Exhibit 99.1 to this Report on Form 6-K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Subsquid Acquisition</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October 8, 2025, the Company entered into a share purchase agreement (the "Share Purchase Agreement") with Marcel Fohrmann (the "Subsquid Seller"), the beneficial owner of all of the equity interests in Subsquid Labs GmbH, a limited liability company (</w:t>
      </w:r>
      <w:r>
        <w:rPr>
          <w:rFonts w:ascii="Times New Roman" w:cs="Times New Roman" w:eastAsia="Times New Roman" w:hAnsi="Times New Roman"/>
          <w:sz w:val="18"/>
          <w:szCs w:val="18"/>
          <w:i w:val="1"/>
          <w:iCs w:val="1"/>
          <w:color w:val="auto"/>
        </w:rPr>
        <w:t>Gesellschaft mit beschränkter Haftung</w:t>
      </w:r>
      <w:r>
        <w:rPr>
          <w:rFonts w:ascii="Times New Roman" w:cs="Times New Roman" w:eastAsia="Times New Roman" w:hAnsi="Times New Roman"/>
          <w:sz w:val="18"/>
          <w:szCs w:val="18"/>
          <w:color w:val="auto"/>
        </w:rPr>
        <w:t>) organized under the laws of Switzerland with registered number CHE-240.458.636 ("Subsquid"), pusuant to which the Company agreed to purchase and the Subsquid Seller agreed to sell, the entire issued and to be issued share capital of Subsquib (the "Subsquid Acquisition").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9, 2025, the Company and the Subsquid Seller closed the Subsquid Acquisition. As consideration for the Subsquid Acquisition,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 $3,560,000 and will issue approximately 231,482 Ordinary Shares to the Subsquid Seller. The Subsquid Seller is also entitled to receive (i) as soon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practicable after the closing, the equivalent of $1,500,000 in Ordinary Shares; (ii) on the first anniversary of the closing, the equivalent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$1,750,000 in Ordinary Shares; (iii) on the second anniversary of the closing, the equivalent of $1,750,000 in Ordinary Shares, subject to certain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described in the Share Purchase Agreement. After the closing, the Company has agreed to contribute to the Subsquid Seller for working capital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 within 45 days after the closing; and (ii) $15,000,000 within 24 months after the closing. The Company has also committed to purchase (i)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equivalent of $10,000,000 in SQD Tokens within 14 days after the closing and (ii) an amount of SQD tokens equal to 1% of the Company's annual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until December 31, 2027. As of the close of the transaction, Subsquid has approximately $6,000,000 of assets and 178 million SQD tokens,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acquired by the Company in connection with the Subsquid Acquisition.</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description of the Share Purchase Agreement is not complete and is subject to, and qualified in its entirety by reference to, the actual agreement, a copy of which is furnished as exhibit 10.2 to this Report on Form 6-K and is incorporated by reference herein.</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October 9, 2025, the Company issued a press release announcing the closing of the Subsquid Acquisition. A copy of the press release is furnished as Exhibit 99.2 to this Report on Form 6-K and is incorporated herein by reference.</w:t>
      </w:r>
    </w:p>
    <w:p>
      <w:pPr>
        <w:spacing w:after="0" w:line="162"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information included in this Report on Form 6-K (including Exhibits 10.1 and 10.2) is hereby incorporated by reference into the Company’s Registration Statements on Forms F-3 (File No. 333-290523 and File No. 333-290639) (including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right="120"/>
        <w:spacing w:after="0" w:line="282" w:lineRule="auto"/>
        <w:rPr>
          <w:sz w:val="20"/>
          <w:szCs w:val="20"/>
          <w:color w:val="auto"/>
        </w:rPr>
      </w:pPr>
      <w:r>
        <w:rPr>
          <w:rFonts w:ascii="Times New Roman" w:cs="Times New Roman" w:eastAsia="Times New Roman" w:hAnsi="Times New Roman"/>
          <w:sz w:val="18"/>
          <w:szCs w:val="18"/>
          <w:color w:val="auto"/>
        </w:rPr>
        <w:t>prospectuses forming a part of such registration statements) and to be a part thereof from the date on which this Report on Form 6-K is filed, to the extent not superseded by documents or reports subsequently filed or furnished.</w:t>
      </w:r>
    </w:p>
    <w:p>
      <w:pPr>
        <w:sectPr>
          <w:pgSz w:w="11900" w:h="16838" w:orient="portrait"/>
          <w:cols w:equalWidth="0" w:num="1">
            <w:col w:w="11180"/>
          </w:cols>
          <w:pgMar w:left="320" w:top="1417" w:right="399" w:bottom="1440" w:gutter="0" w:footer="0" w:header="0"/>
        </w:sectPr>
      </w:pP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u w:val="single" w:color="auto"/>
          <w:color w:val="auto"/>
        </w:rPr>
        <w:t>Exhibit No.</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99.1</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99.2</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u w:val="single" w:color="auto"/>
          <w:color w:val="0000FF"/>
        </w:rPr>
        <w:t>Asset Purchase Agreement, dated October 2, 2025, by and among Rezolve AI plc, SmartPay Digital Services Limitada and Rocelo Lopes</w:t>
      </w:r>
      <w:r>
        <w:rPr>
          <w:rFonts w:ascii="Times New Roman" w:cs="Times New Roman" w:eastAsia="Times New Roman" w:hAnsi="Times New Roman"/>
          <w:sz w:val="18"/>
          <w:szCs w:val="18"/>
          <w:color w:val="000000"/>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Share Purchase Agreement, dated October 9, 2025, by and between Rezolve AI plc and Marcel Fohrmann.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Press Release, dated October 7, 2025</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Press Release, dated October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1313180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000" w:space="720"/>
            <w:col w:w="9460"/>
          </w:cols>
          <w:pgMar w:left="320" w:top="1417" w:right="399" w:bottom="144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1391920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80" w:firstLine="5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10, 2025</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0" w:type="dxa"/>
            <w:vAlign w:val="bottom"/>
          </w:tcPr>
          <w:p>
            <w:pPr>
              <w:spacing w:after="0"/>
              <w:rPr>
                <w:sz w:val="1"/>
                <w:szCs w:val="1"/>
                <w:color w:val="auto"/>
              </w:rPr>
            </w:pPr>
          </w:p>
        </w:tc>
      </w:tr>
      <w:tr>
        <w:trPr>
          <w:trHeight w:val="108"/>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2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960" w:type="dxa"/>
            <w:vAlign w:val="bottom"/>
            <w:vMerge w:val="continue"/>
          </w:tcPr>
          <w:p>
            <w:pPr>
              <w:spacing w:after="0"/>
              <w:rPr>
                <w:sz w:val="17"/>
                <w:szCs w:val="17"/>
                <w:color w:val="auto"/>
              </w:rPr>
            </w:pPr>
          </w:p>
        </w:tc>
        <w:tc>
          <w:tcPr>
            <w:tcW w:w="92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0" w:type="dxa"/>
            <w:vAlign w:val="bottom"/>
          </w:tcPr>
          <w:p>
            <w:pPr>
              <w:spacing w:after="0"/>
              <w:rPr>
                <w:sz w:val="1"/>
                <w:szCs w:val="1"/>
                <w:color w:val="auto"/>
              </w:rPr>
            </w:pPr>
          </w:p>
        </w:tc>
      </w:tr>
      <w:tr>
        <w:trPr>
          <w:trHeight w:val="688"/>
        </w:trPr>
        <w:tc>
          <w:tcPr>
            <w:tcW w:w="1960" w:type="dxa"/>
            <w:vAlign w:val="bottom"/>
            <w:tcBorders>
              <w:bottom w:val="single" w:sz="8" w:color="808080"/>
            </w:tcBorders>
          </w:tcPr>
          <w:p>
            <w:pPr>
              <w:spacing w:after="0"/>
              <w:rPr>
                <w:sz w:val="24"/>
                <w:szCs w:val="24"/>
                <w:color w:val="auto"/>
              </w:rPr>
            </w:pPr>
          </w:p>
        </w:tc>
        <w:tc>
          <w:tcPr>
            <w:tcW w:w="9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405"/>
        </w:trPr>
        <w:tc>
          <w:tcPr>
            <w:tcW w:w="196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9"/>
          <w:szCs w:val="19"/>
          <w:b w:val="1"/>
          <w:bCs w:val="1"/>
          <w:color w:val="auto"/>
        </w:rPr>
        <w:t>ASSET PURCHASE AGREEMENT DATED AS OF 2</w:t>
      </w:r>
    </w:p>
    <w:p>
      <w:pPr>
        <w:spacing w:after="0" w:line="3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b w:val="1"/>
          <w:bCs w:val="1"/>
          <w:color w:val="auto"/>
        </w:rPr>
        <w:t>OCTOBER, 2025</w:t>
      </w:r>
    </w:p>
    <w:p>
      <w:pPr>
        <w:ind w:left="3560"/>
        <w:spacing w:after="0"/>
        <w:rPr>
          <w:sz w:val="20"/>
          <w:szCs w:val="20"/>
          <w:color w:val="auto"/>
        </w:rPr>
      </w:pPr>
      <w:r>
        <w:rPr>
          <w:rFonts w:ascii="Times New Roman" w:cs="Times New Roman" w:eastAsia="Times New Roman" w:hAnsi="Times New Roman"/>
          <w:sz w:val="20"/>
          <w:szCs w:val="20"/>
          <w:b w:val="1"/>
          <w:bCs w:val="1"/>
          <w:color w:val="auto"/>
        </w:rPr>
        <w:t>by and among REZOLVE</w:t>
      </w:r>
    </w:p>
    <w:p>
      <w:pPr>
        <w:jc w:val="center"/>
        <w:ind w:right="720"/>
        <w:spacing w:after="0"/>
        <w:rPr>
          <w:sz w:val="20"/>
          <w:szCs w:val="20"/>
          <w:color w:val="auto"/>
        </w:rPr>
      </w:pPr>
      <w:r>
        <w:rPr>
          <w:rFonts w:ascii="Times New Roman" w:cs="Times New Roman" w:eastAsia="Times New Roman" w:hAnsi="Times New Roman"/>
          <w:sz w:val="20"/>
          <w:szCs w:val="20"/>
          <w:b w:val="1"/>
          <w:bCs w:val="1"/>
          <w:color w:val="auto"/>
        </w:rPr>
        <w:t>AI PLC,</w:t>
      </w:r>
    </w:p>
    <w:p>
      <w:pPr>
        <w:jc w:val="center"/>
        <w:ind w:right="720"/>
        <w:spacing w:after="0"/>
        <w:rPr>
          <w:sz w:val="20"/>
          <w:szCs w:val="20"/>
          <w:color w:val="auto"/>
        </w:rPr>
      </w:pPr>
      <w:r>
        <w:rPr>
          <w:rFonts w:ascii="Times New Roman" w:cs="Times New Roman" w:eastAsia="Times New Roman" w:hAnsi="Times New Roman"/>
          <w:sz w:val="20"/>
          <w:szCs w:val="20"/>
          <w:b w:val="1"/>
          <w:bCs w:val="1"/>
          <w:color w:val="auto"/>
        </w:rPr>
        <w:t>SMARTPAY DIGITAL SERVICES LIMITADA AND</w:t>
      </w:r>
    </w:p>
    <w:p>
      <w:pPr>
        <w:jc w:val="center"/>
        <w:ind w:right="740"/>
        <w:spacing w:after="0"/>
        <w:rPr>
          <w:sz w:val="20"/>
          <w:szCs w:val="20"/>
          <w:color w:val="auto"/>
        </w:rPr>
      </w:pPr>
      <w:r>
        <w:rPr>
          <w:rFonts w:ascii="Times New Roman" w:cs="Times New Roman" w:eastAsia="Times New Roman" w:hAnsi="Times New Roman"/>
          <w:sz w:val="20"/>
          <w:szCs w:val="20"/>
          <w:b w:val="1"/>
          <w:bCs w:val="1"/>
          <w:color w:val="auto"/>
        </w:rPr>
        <w:t>ROCELO LOPES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219075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909"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6"/>
        </w:trPr>
        <w:tc>
          <w:tcPr>
            <w:tcW w:w="1000" w:type="dxa"/>
            <w:vAlign w:val="bottom"/>
          </w:tcPr>
          <w:p>
            <w:pPr>
              <w:spacing w:after="0"/>
              <w:rPr>
                <w:sz w:val="24"/>
                <w:szCs w:val="24"/>
                <w:color w:val="auto"/>
              </w:rPr>
            </w:pPr>
          </w:p>
        </w:tc>
        <w:tc>
          <w:tcPr>
            <w:tcW w:w="7640" w:type="dxa"/>
            <w:vAlign w:val="bottom"/>
          </w:tcPr>
          <w:p>
            <w:pPr>
              <w:ind w:left="364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600" w:type="dxa"/>
            <w:vAlign w:val="bottom"/>
          </w:tcPr>
          <w:p>
            <w:pPr>
              <w:spacing w:after="0"/>
              <w:rPr>
                <w:sz w:val="24"/>
                <w:szCs w:val="24"/>
                <w:color w:val="auto"/>
              </w:rPr>
            </w:pPr>
          </w:p>
        </w:tc>
      </w:tr>
      <w:tr>
        <w:trPr>
          <w:trHeight w:val="686"/>
        </w:trPr>
        <w:tc>
          <w:tcPr>
            <w:tcW w:w="100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600" w:type="dxa"/>
            <w:vAlign w:val="bottom"/>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286"/>
        </w:trPr>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2"/>
                <w:szCs w:val="22"/>
                <w:b w:val="1"/>
                <w:bCs w:val="1"/>
                <w:color w:val="auto"/>
              </w:rPr>
              <w:t>ARTICLE I Purchase and Sale of Acquired Assets; Closing</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w:t>
            </w:r>
          </w:p>
        </w:tc>
      </w:tr>
      <w:tr>
        <w:trPr>
          <w:trHeight w:val="447"/>
        </w:trPr>
        <w:tc>
          <w:tcPr>
            <w:tcW w:w="1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1.1</w:t>
            </w:r>
          </w:p>
        </w:tc>
        <w:tc>
          <w:tcPr>
            <w:tcW w:w="76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Acquired Assets</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1.2</w:t>
            </w:r>
          </w:p>
        </w:tc>
        <w:tc>
          <w:tcPr>
            <w:tcW w:w="76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The Closing</w:t>
            </w:r>
          </w:p>
        </w:tc>
        <w:tc>
          <w:tcPr>
            <w:tcW w:w="2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1.3</w:t>
            </w:r>
          </w:p>
        </w:tc>
        <w:tc>
          <w:tcPr>
            <w:tcW w:w="76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The Earn Out</w:t>
            </w:r>
          </w:p>
        </w:tc>
        <w:tc>
          <w:tcPr>
            <w:tcW w:w="2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1.4</w:t>
            </w:r>
          </w:p>
        </w:tc>
        <w:tc>
          <w:tcPr>
            <w:tcW w:w="76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Payments</w:t>
            </w:r>
          </w:p>
        </w:tc>
        <w:tc>
          <w:tcPr>
            <w:tcW w:w="2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82"/>
        </w:trPr>
        <w:tc>
          <w:tcPr>
            <w:tcW w:w="1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1.5</w:t>
            </w:r>
          </w:p>
        </w:tc>
        <w:tc>
          <w:tcPr>
            <w:tcW w:w="76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Tax Withholdings.</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486"/>
        </w:trPr>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2"/>
                <w:szCs w:val="22"/>
                <w:b w:val="1"/>
                <w:bCs w:val="1"/>
                <w:color w:val="auto"/>
              </w:rPr>
              <w:t>ARTICLE II Closing Deliveries</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8</w:t>
            </w:r>
          </w:p>
        </w:tc>
      </w:tr>
      <w:tr>
        <w:trPr>
          <w:trHeight w:val="447"/>
        </w:trPr>
        <w:tc>
          <w:tcPr>
            <w:tcW w:w="1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2.1</w:t>
            </w:r>
          </w:p>
        </w:tc>
        <w:tc>
          <w:tcPr>
            <w:tcW w:w="76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Closing Deliveries of Seller</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82"/>
        </w:trPr>
        <w:tc>
          <w:tcPr>
            <w:tcW w:w="1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2.2</w:t>
            </w:r>
          </w:p>
        </w:tc>
        <w:tc>
          <w:tcPr>
            <w:tcW w:w="76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Closing Deliveries of Purchaser</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486"/>
        </w:trPr>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2"/>
                <w:szCs w:val="22"/>
                <w:b w:val="1"/>
                <w:bCs w:val="1"/>
                <w:color w:val="auto"/>
              </w:rPr>
              <w:t>ARTICLE III Conditions to Closing</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9</w:t>
            </w:r>
          </w:p>
        </w:tc>
      </w:tr>
      <w:tr>
        <w:trPr>
          <w:trHeight w:val="447"/>
        </w:trPr>
        <w:tc>
          <w:tcPr>
            <w:tcW w:w="1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3.1</w:t>
            </w:r>
          </w:p>
        </w:tc>
        <w:tc>
          <w:tcPr>
            <w:tcW w:w="76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Conditions to the Obligations of All Parties</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3.2</w:t>
            </w:r>
          </w:p>
        </w:tc>
        <w:tc>
          <w:tcPr>
            <w:tcW w:w="76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Conditions to the Obligations of Purchaser</w:t>
            </w:r>
          </w:p>
        </w:tc>
        <w:tc>
          <w:tcPr>
            <w:tcW w:w="2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w:t>
            </w:r>
          </w:p>
        </w:tc>
      </w:tr>
      <w:tr>
        <w:trPr>
          <w:trHeight w:val="282"/>
        </w:trPr>
        <w:tc>
          <w:tcPr>
            <w:tcW w:w="1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w:t>
            </w:r>
          </w:p>
        </w:tc>
        <w:tc>
          <w:tcPr>
            <w:tcW w:w="76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Conditions to the Obligations of Seller</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486"/>
        </w:trPr>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2"/>
                <w:szCs w:val="22"/>
                <w:b w:val="1"/>
                <w:bCs w:val="1"/>
                <w:color w:val="auto"/>
              </w:rPr>
              <w:t>ARTICLE IV Representations and Warranties Regarding Seller</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10</w:t>
            </w:r>
          </w:p>
        </w:tc>
      </w:tr>
      <w:tr>
        <w:trPr>
          <w:trHeight w:val="447"/>
        </w:trPr>
        <w:tc>
          <w:tcPr>
            <w:tcW w:w="1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4.1</w:t>
            </w:r>
          </w:p>
        </w:tc>
        <w:tc>
          <w:tcPr>
            <w:tcW w:w="76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Organization; Authority; No Breach.</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4.2</w:t>
            </w:r>
          </w:p>
        </w:tc>
        <w:tc>
          <w:tcPr>
            <w:tcW w:w="76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Financial Statements</w:t>
            </w:r>
          </w:p>
        </w:tc>
        <w:tc>
          <w:tcPr>
            <w:tcW w:w="2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4.3</w:t>
            </w:r>
          </w:p>
        </w:tc>
        <w:tc>
          <w:tcPr>
            <w:tcW w:w="76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Absence of Certain Developments.</w:t>
            </w:r>
          </w:p>
        </w:tc>
        <w:tc>
          <w:tcPr>
            <w:tcW w:w="2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4.4</w:t>
            </w:r>
          </w:p>
        </w:tc>
        <w:tc>
          <w:tcPr>
            <w:tcW w:w="76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Assets</w:t>
            </w:r>
          </w:p>
        </w:tc>
        <w:tc>
          <w:tcPr>
            <w:tcW w:w="2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4.5</w:t>
            </w:r>
          </w:p>
        </w:tc>
        <w:tc>
          <w:tcPr>
            <w:tcW w:w="76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Tax Matters</w:t>
            </w:r>
          </w:p>
        </w:tc>
        <w:tc>
          <w:tcPr>
            <w:tcW w:w="2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4.6</w:t>
            </w:r>
          </w:p>
        </w:tc>
        <w:tc>
          <w:tcPr>
            <w:tcW w:w="76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Contracts and Commitments.</w:t>
            </w:r>
          </w:p>
        </w:tc>
        <w:tc>
          <w:tcPr>
            <w:tcW w:w="2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4.7</w:t>
            </w:r>
          </w:p>
        </w:tc>
        <w:tc>
          <w:tcPr>
            <w:tcW w:w="76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Intellectual Property, Privacy and Data Security.</w:t>
            </w:r>
          </w:p>
        </w:tc>
        <w:tc>
          <w:tcPr>
            <w:tcW w:w="2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4.8</w:t>
            </w:r>
          </w:p>
        </w:tc>
        <w:tc>
          <w:tcPr>
            <w:tcW w:w="76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Litigation</w:t>
            </w:r>
          </w:p>
        </w:tc>
        <w:tc>
          <w:tcPr>
            <w:tcW w:w="2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4.9</w:t>
            </w:r>
          </w:p>
        </w:tc>
        <w:tc>
          <w:tcPr>
            <w:tcW w:w="76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Employees; Contractors; Benefit Plans.</w:t>
            </w:r>
          </w:p>
        </w:tc>
        <w:tc>
          <w:tcPr>
            <w:tcW w:w="2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4.10</w:t>
            </w:r>
          </w:p>
        </w:tc>
        <w:tc>
          <w:tcPr>
            <w:tcW w:w="76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Compliance with Laws; Permits</w:t>
            </w:r>
          </w:p>
        </w:tc>
        <w:tc>
          <w:tcPr>
            <w:tcW w:w="2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4.11</w:t>
            </w:r>
          </w:p>
        </w:tc>
        <w:tc>
          <w:tcPr>
            <w:tcW w:w="76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Regulatory Compliance</w:t>
            </w:r>
          </w:p>
        </w:tc>
        <w:tc>
          <w:tcPr>
            <w:tcW w:w="2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4.12</w:t>
            </w:r>
          </w:p>
        </w:tc>
        <w:tc>
          <w:tcPr>
            <w:tcW w:w="76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Affiliate Transactions</w:t>
            </w:r>
          </w:p>
        </w:tc>
        <w:tc>
          <w:tcPr>
            <w:tcW w:w="2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4.13</w:t>
            </w:r>
          </w:p>
        </w:tc>
        <w:tc>
          <w:tcPr>
            <w:tcW w:w="76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Real Property.</w:t>
            </w:r>
          </w:p>
        </w:tc>
        <w:tc>
          <w:tcPr>
            <w:tcW w:w="2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4.14</w:t>
            </w:r>
          </w:p>
        </w:tc>
        <w:tc>
          <w:tcPr>
            <w:tcW w:w="76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Material Customers and Material Vendors.</w:t>
            </w:r>
          </w:p>
        </w:tc>
        <w:tc>
          <w:tcPr>
            <w:tcW w:w="2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4.15</w:t>
            </w:r>
          </w:p>
        </w:tc>
        <w:tc>
          <w:tcPr>
            <w:tcW w:w="76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No Acceleration of Rights or Benefits</w:t>
            </w:r>
          </w:p>
        </w:tc>
        <w:tc>
          <w:tcPr>
            <w:tcW w:w="2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4.16</w:t>
            </w:r>
          </w:p>
        </w:tc>
        <w:tc>
          <w:tcPr>
            <w:tcW w:w="76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Insolvency</w:t>
            </w:r>
          </w:p>
        </w:tc>
        <w:tc>
          <w:tcPr>
            <w:tcW w:w="2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4.17</w:t>
            </w:r>
          </w:p>
        </w:tc>
        <w:tc>
          <w:tcPr>
            <w:tcW w:w="76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Tax Residence</w:t>
            </w:r>
          </w:p>
        </w:tc>
        <w:tc>
          <w:tcPr>
            <w:tcW w:w="2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4.18</w:t>
            </w:r>
          </w:p>
        </w:tc>
        <w:tc>
          <w:tcPr>
            <w:tcW w:w="76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Economic Risk</w:t>
            </w:r>
          </w:p>
        </w:tc>
        <w:tc>
          <w:tcPr>
            <w:tcW w:w="2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4.19</w:t>
            </w:r>
          </w:p>
        </w:tc>
        <w:tc>
          <w:tcPr>
            <w:tcW w:w="76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Investment Intent</w:t>
            </w:r>
          </w:p>
        </w:tc>
        <w:tc>
          <w:tcPr>
            <w:tcW w:w="2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4.20</w:t>
            </w:r>
          </w:p>
        </w:tc>
        <w:tc>
          <w:tcPr>
            <w:tcW w:w="76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No Advertisement</w:t>
            </w:r>
          </w:p>
        </w:tc>
        <w:tc>
          <w:tcPr>
            <w:tcW w:w="2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4.21</w:t>
            </w:r>
          </w:p>
        </w:tc>
        <w:tc>
          <w:tcPr>
            <w:tcW w:w="76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Opportunity to Ask Questions</w:t>
            </w:r>
          </w:p>
        </w:tc>
        <w:tc>
          <w:tcPr>
            <w:tcW w:w="2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w:t>
            </w:r>
          </w:p>
        </w:tc>
      </w:tr>
      <w:tr>
        <w:trPr>
          <w:trHeight w:val="282"/>
        </w:trPr>
        <w:tc>
          <w:tcPr>
            <w:tcW w:w="1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4.22</w:t>
            </w:r>
          </w:p>
        </w:tc>
        <w:tc>
          <w:tcPr>
            <w:tcW w:w="76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Future Dilution</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689"/>
        </w:trPr>
        <w:tc>
          <w:tcPr>
            <w:tcW w:w="1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w:t>
            </w:r>
          </w:p>
        </w:tc>
        <w:tc>
          <w:tcPr>
            <w:tcW w:w="76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1061"/>
        </w:trPr>
        <w:tc>
          <w:tcPr>
            <w:tcW w:w="1000" w:type="dxa"/>
            <w:vAlign w:val="bottom"/>
            <w:tcBorders>
              <w:bottom w:val="single" w:sz="8" w:color="9A9A9A"/>
            </w:tcBorders>
          </w:tcPr>
          <w:p>
            <w:pPr>
              <w:spacing w:after="0"/>
              <w:rPr>
                <w:sz w:val="24"/>
                <w:szCs w:val="24"/>
                <w:color w:val="auto"/>
              </w:rPr>
            </w:pPr>
          </w:p>
        </w:tc>
        <w:tc>
          <w:tcPr>
            <w:tcW w:w="76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6" w:name="page7"/>
    <w:bookmarkEnd w:id="6"/>
    <w:p>
      <w:pPr>
        <w:jc w:val="center"/>
        <w:ind w:left="34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8"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color w:val="auto"/>
        </w:rPr>
        <w:t>(continued)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4.24</w:t>
            </w:r>
          </w:p>
        </w:tc>
        <w:tc>
          <w:tcPr>
            <w:tcW w:w="75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Brokerage</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82"/>
        </w:trPr>
        <w:tc>
          <w:tcPr>
            <w:tcW w:w="1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4.25</w:t>
            </w:r>
          </w:p>
        </w:tc>
        <w:tc>
          <w:tcPr>
            <w:tcW w:w="75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Litigation</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486"/>
        </w:trPr>
        <w:tc>
          <w:tcPr>
            <w:tcW w:w="8500" w:type="dxa"/>
            <w:vAlign w:val="bottom"/>
            <w:gridSpan w:val="2"/>
          </w:tcPr>
          <w:p>
            <w:pPr>
              <w:ind w:left="120"/>
              <w:spacing w:after="0"/>
              <w:rPr>
                <w:sz w:val="20"/>
                <w:szCs w:val="20"/>
                <w:color w:val="auto"/>
              </w:rPr>
            </w:pPr>
            <w:r>
              <w:rPr>
                <w:rFonts w:ascii="Times New Roman" w:cs="Times New Roman" w:eastAsia="Times New Roman" w:hAnsi="Times New Roman"/>
                <w:sz w:val="22"/>
                <w:szCs w:val="22"/>
                <w:b w:val="1"/>
                <w:bCs w:val="1"/>
                <w:color w:val="auto"/>
              </w:rPr>
              <w:t>ARTICLE V Representations and Warranties Regarding Rocelo</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447"/>
        </w:trPr>
        <w:tc>
          <w:tcPr>
            <w:tcW w:w="1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5.1</w:t>
            </w:r>
          </w:p>
        </w:tc>
        <w:tc>
          <w:tcPr>
            <w:tcW w:w="75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Authorization; No Breach.</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5.2</w:t>
            </w:r>
          </w:p>
        </w:tc>
        <w:tc>
          <w:tcPr>
            <w:tcW w:w="750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2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5.3</w:t>
            </w:r>
          </w:p>
        </w:tc>
        <w:tc>
          <w:tcPr>
            <w:tcW w:w="750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Brokerage</w:t>
            </w:r>
          </w:p>
        </w:tc>
        <w:tc>
          <w:tcPr>
            <w:tcW w:w="2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5.4</w:t>
            </w:r>
          </w:p>
        </w:tc>
        <w:tc>
          <w:tcPr>
            <w:tcW w:w="750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Litigation</w:t>
            </w:r>
          </w:p>
        </w:tc>
        <w:tc>
          <w:tcPr>
            <w:tcW w:w="2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82"/>
        </w:trPr>
        <w:tc>
          <w:tcPr>
            <w:tcW w:w="1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5.5</w:t>
            </w:r>
          </w:p>
        </w:tc>
        <w:tc>
          <w:tcPr>
            <w:tcW w:w="75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English Language</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486"/>
        </w:trPr>
        <w:tc>
          <w:tcPr>
            <w:tcW w:w="8500" w:type="dxa"/>
            <w:vAlign w:val="bottom"/>
            <w:gridSpan w:val="2"/>
          </w:tcPr>
          <w:p>
            <w:pPr>
              <w:ind w:left="120"/>
              <w:spacing w:after="0"/>
              <w:rPr>
                <w:sz w:val="20"/>
                <w:szCs w:val="20"/>
                <w:color w:val="auto"/>
              </w:rPr>
            </w:pPr>
            <w:r>
              <w:rPr>
                <w:rFonts w:ascii="Times New Roman" w:cs="Times New Roman" w:eastAsia="Times New Roman" w:hAnsi="Times New Roman"/>
                <w:sz w:val="22"/>
                <w:szCs w:val="22"/>
                <w:b w:val="1"/>
                <w:bCs w:val="1"/>
                <w:color w:val="auto"/>
              </w:rPr>
              <w:t>ARTICLE VI Representations and Warranties of Purchaser</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26</w:t>
            </w:r>
          </w:p>
        </w:tc>
      </w:tr>
      <w:tr>
        <w:trPr>
          <w:trHeight w:val="447"/>
        </w:trPr>
        <w:tc>
          <w:tcPr>
            <w:tcW w:w="1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6.1</w:t>
            </w:r>
          </w:p>
        </w:tc>
        <w:tc>
          <w:tcPr>
            <w:tcW w:w="75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Organization and Power</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6.2</w:t>
            </w:r>
          </w:p>
        </w:tc>
        <w:tc>
          <w:tcPr>
            <w:tcW w:w="750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Authorization; No Breach.</w:t>
            </w:r>
          </w:p>
        </w:tc>
        <w:tc>
          <w:tcPr>
            <w:tcW w:w="2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6.3</w:t>
            </w:r>
          </w:p>
        </w:tc>
        <w:tc>
          <w:tcPr>
            <w:tcW w:w="750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Brokerage</w:t>
            </w:r>
          </w:p>
        </w:tc>
        <w:tc>
          <w:tcPr>
            <w:tcW w:w="2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6.4</w:t>
            </w:r>
          </w:p>
        </w:tc>
        <w:tc>
          <w:tcPr>
            <w:tcW w:w="750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Litigation</w:t>
            </w:r>
          </w:p>
        </w:tc>
        <w:tc>
          <w:tcPr>
            <w:tcW w:w="2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82"/>
        </w:trPr>
        <w:tc>
          <w:tcPr>
            <w:tcW w:w="1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6.5</w:t>
            </w:r>
          </w:p>
        </w:tc>
        <w:tc>
          <w:tcPr>
            <w:tcW w:w="75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Consideration Shares</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486"/>
        </w:trPr>
        <w:tc>
          <w:tcPr>
            <w:tcW w:w="8500" w:type="dxa"/>
            <w:vAlign w:val="bottom"/>
            <w:gridSpan w:val="2"/>
          </w:tcPr>
          <w:p>
            <w:pPr>
              <w:ind w:left="120"/>
              <w:spacing w:after="0"/>
              <w:rPr>
                <w:sz w:val="20"/>
                <w:szCs w:val="20"/>
                <w:color w:val="auto"/>
              </w:rPr>
            </w:pPr>
            <w:r>
              <w:rPr>
                <w:rFonts w:ascii="Times New Roman" w:cs="Times New Roman" w:eastAsia="Times New Roman" w:hAnsi="Times New Roman"/>
                <w:sz w:val="22"/>
                <w:szCs w:val="22"/>
                <w:b w:val="1"/>
                <w:bCs w:val="1"/>
                <w:color w:val="auto"/>
              </w:rPr>
              <w:t>ARTICLE VII Indemnification</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27</w:t>
            </w:r>
          </w:p>
        </w:tc>
      </w:tr>
      <w:tr>
        <w:trPr>
          <w:trHeight w:val="447"/>
        </w:trPr>
        <w:tc>
          <w:tcPr>
            <w:tcW w:w="1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7.1</w:t>
            </w:r>
          </w:p>
        </w:tc>
        <w:tc>
          <w:tcPr>
            <w:tcW w:w="75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Survival of Representations and Warranties</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7.2</w:t>
            </w:r>
          </w:p>
        </w:tc>
        <w:tc>
          <w:tcPr>
            <w:tcW w:w="750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General Indemnification.</w:t>
            </w:r>
          </w:p>
        </w:tc>
        <w:tc>
          <w:tcPr>
            <w:tcW w:w="2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7.3</w:t>
            </w:r>
          </w:p>
        </w:tc>
        <w:tc>
          <w:tcPr>
            <w:tcW w:w="750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Manner of Payment</w:t>
            </w:r>
          </w:p>
        </w:tc>
        <w:tc>
          <w:tcPr>
            <w:tcW w:w="2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28</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7.4</w:t>
            </w:r>
          </w:p>
        </w:tc>
        <w:tc>
          <w:tcPr>
            <w:tcW w:w="750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Third Party Claims</w:t>
            </w:r>
          </w:p>
        </w:tc>
        <w:tc>
          <w:tcPr>
            <w:tcW w:w="2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28</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7.5</w:t>
            </w:r>
          </w:p>
        </w:tc>
        <w:tc>
          <w:tcPr>
            <w:tcW w:w="750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Direct Claims</w:t>
            </w:r>
          </w:p>
        </w:tc>
        <w:tc>
          <w:tcPr>
            <w:tcW w:w="2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7.6</w:t>
            </w:r>
          </w:p>
        </w:tc>
        <w:tc>
          <w:tcPr>
            <w:tcW w:w="750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Insurance</w:t>
            </w:r>
          </w:p>
        </w:tc>
        <w:tc>
          <w:tcPr>
            <w:tcW w:w="2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7.7</w:t>
            </w:r>
          </w:p>
        </w:tc>
        <w:tc>
          <w:tcPr>
            <w:tcW w:w="750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Types of Losses</w:t>
            </w:r>
          </w:p>
        </w:tc>
        <w:tc>
          <w:tcPr>
            <w:tcW w:w="2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7.8</w:t>
            </w:r>
          </w:p>
        </w:tc>
        <w:tc>
          <w:tcPr>
            <w:tcW w:w="750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Materiality</w:t>
            </w:r>
          </w:p>
        </w:tc>
        <w:tc>
          <w:tcPr>
            <w:tcW w:w="2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7.9</w:t>
            </w:r>
          </w:p>
        </w:tc>
        <w:tc>
          <w:tcPr>
            <w:tcW w:w="750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Adjustment to Purchase Price</w:t>
            </w:r>
          </w:p>
        </w:tc>
        <w:tc>
          <w:tcPr>
            <w:tcW w:w="2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7.10</w:t>
            </w:r>
          </w:p>
        </w:tc>
        <w:tc>
          <w:tcPr>
            <w:tcW w:w="750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Exclusive Remedy</w:t>
            </w:r>
          </w:p>
        </w:tc>
        <w:tc>
          <w:tcPr>
            <w:tcW w:w="2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7.11</w:t>
            </w:r>
          </w:p>
        </w:tc>
        <w:tc>
          <w:tcPr>
            <w:tcW w:w="750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Duty to Mitigate</w:t>
            </w:r>
          </w:p>
        </w:tc>
        <w:tc>
          <w:tcPr>
            <w:tcW w:w="2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7.12</w:t>
            </w:r>
          </w:p>
        </w:tc>
        <w:tc>
          <w:tcPr>
            <w:tcW w:w="750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Double Claims</w:t>
            </w:r>
          </w:p>
        </w:tc>
        <w:tc>
          <w:tcPr>
            <w:tcW w:w="2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7.13</w:t>
            </w:r>
          </w:p>
        </w:tc>
        <w:tc>
          <w:tcPr>
            <w:tcW w:w="750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Purchaser Investigation</w:t>
            </w:r>
          </w:p>
        </w:tc>
        <w:tc>
          <w:tcPr>
            <w:tcW w:w="2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82"/>
        </w:trPr>
        <w:tc>
          <w:tcPr>
            <w:tcW w:w="1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7.14</w:t>
            </w:r>
          </w:p>
        </w:tc>
        <w:tc>
          <w:tcPr>
            <w:tcW w:w="75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Special Rule for Fraud</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486"/>
        </w:trPr>
        <w:tc>
          <w:tcPr>
            <w:tcW w:w="8500" w:type="dxa"/>
            <w:vAlign w:val="bottom"/>
            <w:gridSpan w:val="2"/>
          </w:tcPr>
          <w:p>
            <w:pPr>
              <w:ind w:left="120"/>
              <w:spacing w:after="0"/>
              <w:rPr>
                <w:sz w:val="20"/>
                <w:szCs w:val="20"/>
                <w:color w:val="auto"/>
              </w:rPr>
            </w:pPr>
            <w:r>
              <w:rPr>
                <w:rFonts w:ascii="Times New Roman" w:cs="Times New Roman" w:eastAsia="Times New Roman" w:hAnsi="Times New Roman"/>
                <w:sz w:val="22"/>
                <w:szCs w:val="22"/>
                <w:b w:val="1"/>
                <w:bCs w:val="1"/>
                <w:color w:val="auto"/>
              </w:rPr>
              <w:t>ARTICLE VIII Covenants</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31</w:t>
            </w:r>
          </w:p>
        </w:tc>
      </w:tr>
      <w:tr>
        <w:trPr>
          <w:trHeight w:val="447"/>
        </w:trPr>
        <w:tc>
          <w:tcPr>
            <w:tcW w:w="1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8.1</w:t>
            </w:r>
          </w:p>
        </w:tc>
        <w:tc>
          <w:tcPr>
            <w:tcW w:w="75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Material Consents</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8.2</w:t>
            </w:r>
          </w:p>
        </w:tc>
        <w:tc>
          <w:tcPr>
            <w:tcW w:w="750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Conduct of the Business</w:t>
            </w:r>
          </w:p>
        </w:tc>
        <w:tc>
          <w:tcPr>
            <w:tcW w:w="2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31</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8.3</w:t>
            </w:r>
          </w:p>
        </w:tc>
        <w:tc>
          <w:tcPr>
            <w:tcW w:w="750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Further Assurances</w:t>
            </w:r>
          </w:p>
        </w:tc>
        <w:tc>
          <w:tcPr>
            <w:tcW w:w="2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31</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8.4</w:t>
            </w:r>
          </w:p>
        </w:tc>
        <w:tc>
          <w:tcPr>
            <w:tcW w:w="750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Confidentiality</w:t>
            </w:r>
          </w:p>
        </w:tc>
        <w:tc>
          <w:tcPr>
            <w:tcW w:w="2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31</w:t>
            </w:r>
          </w:p>
        </w:tc>
      </w:tr>
      <w:tr>
        <w:trPr>
          <w:trHeight w:val="243"/>
        </w:trPr>
        <w:tc>
          <w:tcPr>
            <w:tcW w:w="10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w:t>
            </w:r>
          </w:p>
        </w:tc>
        <w:tc>
          <w:tcPr>
            <w:tcW w:w="750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Public Announcements</w:t>
            </w:r>
          </w:p>
        </w:tc>
        <w:tc>
          <w:tcPr>
            <w:tcW w:w="2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31</w:t>
            </w:r>
          </w:p>
        </w:tc>
      </w:tr>
      <w:tr>
        <w:trPr>
          <w:trHeight w:val="282"/>
        </w:trPr>
        <w:tc>
          <w:tcPr>
            <w:tcW w:w="1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8.6</w:t>
            </w:r>
          </w:p>
        </w:tc>
        <w:tc>
          <w:tcPr>
            <w:tcW w:w="75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Disclosure of Personal Information.</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689"/>
        </w:trPr>
        <w:tc>
          <w:tcPr>
            <w:tcW w:w="1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w:t>
            </w:r>
          </w:p>
        </w:tc>
        <w:tc>
          <w:tcPr>
            <w:tcW w:w="750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1061"/>
        </w:trPr>
        <w:tc>
          <w:tcPr>
            <w:tcW w:w="100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3"/>
        </w:trPr>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580" w:type="dxa"/>
            <w:vAlign w:val="bottom"/>
          </w:tcPr>
          <w:p>
            <w:pPr>
              <w:ind w:left="328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200" w:type="dxa"/>
            <w:vAlign w:val="bottom"/>
          </w:tcPr>
          <w:p>
            <w:pPr>
              <w:spacing w:after="0"/>
              <w:rPr>
                <w:sz w:val="22"/>
                <w:szCs w:val="22"/>
                <w:color w:val="auto"/>
              </w:rPr>
            </w:pPr>
          </w:p>
        </w:tc>
      </w:tr>
      <w:tr>
        <w:trPr>
          <w:trHeight w:val="282"/>
        </w:trPr>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580" w:type="dxa"/>
            <w:vAlign w:val="bottom"/>
          </w:tcPr>
          <w:p>
            <w:pPr>
              <w:ind w:left="3960"/>
              <w:spacing w:after="0"/>
              <w:rPr>
                <w:sz w:val="20"/>
                <w:szCs w:val="20"/>
                <w:color w:val="auto"/>
              </w:rPr>
            </w:pPr>
            <w:r>
              <w:rPr>
                <w:rFonts w:ascii="Times New Roman" w:cs="Times New Roman" w:eastAsia="Times New Roman" w:hAnsi="Times New Roman"/>
                <w:sz w:val="22"/>
                <w:szCs w:val="22"/>
                <w:color w:val="auto"/>
              </w:rPr>
              <w:t>(continued)</w:t>
            </w:r>
          </w:p>
        </w:tc>
        <w:tc>
          <w:tcPr>
            <w:tcW w:w="2200" w:type="dxa"/>
            <w:vAlign w:val="bottom"/>
          </w:tcPr>
          <w:p>
            <w:pPr>
              <w:spacing w:after="0"/>
              <w:rPr>
                <w:sz w:val="24"/>
                <w:szCs w:val="24"/>
                <w:color w:val="auto"/>
              </w:rPr>
            </w:pPr>
          </w:p>
        </w:tc>
      </w:tr>
      <w:tr>
        <w:trPr>
          <w:trHeight w:val="459"/>
        </w:trPr>
        <w:tc>
          <w:tcPr>
            <w:tcW w:w="60" w:type="dxa"/>
            <w:vAlign w:val="bottom"/>
          </w:tcPr>
          <w:p>
            <w:pPr>
              <w:spacing w:after="0"/>
              <w:rPr>
                <w:sz w:val="24"/>
                <w:szCs w:val="24"/>
                <w:color w:val="auto"/>
              </w:rPr>
            </w:pPr>
          </w:p>
        </w:tc>
        <w:tc>
          <w:tcPr>
            <w:tcW w:w="888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ARTICLE IX Definitions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32</w:t>
            </w:r>
          </w:p>
        </w:tc>
      </w:tr>
      <w:tr>
        <w:trPr>
          <w:trHeight w:val="486"/>
        </w:trPr>
        <w:tc>
          <w:tcPr>
            <w:tcW w:w="60" w:type="dxa"/>
            <w:vAlign w:val="bottom"/>
          </w:tcPr>
          <w:p>
            <w:pPr>
              <w:spacing w:after="0"/>
              <w:rPr>
                <w:sz w:val="24"/>
                <w:szCs w:val="24"/>
                <w:color w:val="auto"/>
              </w:rPr>
            </w:pPr>
          </w:p>
        </w:tc>
        <w:tc>
          <w:tcPr>
            <w:tcW w:w="888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ARTICLE X Termination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43</w:t>
            </w:r>
          </w:p>
        </w:tc>
      </w:tr>
      <w:tr>
        <w:trPr>
          <w:trHeight w:val="447"/>
        </w:trPr>
        <w:tc>
          <w:tcPr>
            <w:tcW w:w="12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10.1</w:t>
            </w:r>
          </w:p>
        </w:tc>
        <w:tc>
          <w:tcPr>
            <w:tcW w:w="160" w:type="dxa"/>
            <w:vAlign w:val="bottom"/>
          </w:tcPr>
          <w:p>
            <w:pPr>
              <w:spacing w:after="0"/>
              <w:rPr>
                <w:sz w:val="24"/>
                <w:szCs w:val="24"/>
                <w:color w:val="auto"/>
              </w:rPr>
            </w:pPr>
          </w:p>
        </w:tc>
        <w:tc>
          <w:tcPr>
            <w:tcW w:w="7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Termination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82"/>
        </w:trPr>
        <w:tc>
          <w:tcPr>
            <w:tcW w:w="12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10.2</w:t>
            </w:r>
          </w:p>
        </w:tc>
        <w:tc>
          <w:tcPr>
            <w:tcW w:w="160" w:type="dxa"/>
            <w:vAlign w:val="bottom"/>
          </w:tcPr>
          <w:p>
            <w:pPr>
              <w:spacing w:after="0"/>
              <w:rPr>
                <w:sz w:val="24"/>
                <w:szCs w:val="24"/>
                <w:color w:val="auto"/>
              </w:rPr>
            </w:pPr>
          </w:p>
        </w:tc>
        <w:tc>
          <w:tcPr>
            <w:tcW w:w="7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Effect of Termination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486"/>
        </w:trPr>
        <w:tc>
          <w:tcPr>
            <w:tcW w:w="60" w:type="dxa"/>
            <w:vAlign w:val="bottom"/>
          </w:tcPr>
          <w:p>
            <w:pPr>
              <w:spacing w:after="0"/>
              <w:rPr>
                <w:sz w:val="24"/>
                <w:szCs w:val="24"/>
                <w:color w:val="auto"/>
              </w:rPr>
            </w:pPr>
          </w:p>
        </w:tc>
        <w:tc>
          <w:tcPr>
            <w:tcW w:w="888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ARTICLE XI Miscellaneous</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43</w:t>
            </w:r>
          </w:p>
        </w:tc>
      </w:tr>
      <w:tr>
        <w:trPr>
          <w:trHeight w:val="447"/>
        </w:trPr>
        <w:tc>
          <w:tcPr>
            <w:tcW w:w="12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11.1</w:t>
            </w:r>
          </w:p>
        </w:tc>
        <w:tc>
          <w:tcPr>
            <w:tcW w:w="160" w:type="dxa"/>
            <w:vAlign w:val="bottom"/>
          </w:tcPr>
          <w:p>
            <w:pPr>
              <w:spacing w:after="0"/>
              <w:rPr>
                <w:sz w:val="24"/>
                <w:szCs w:val="24"/>
                <w:color w:val="auto"/>
              </w:rPr>
            </w:pPr>
          </w:p>
        </w:tc>
        <w:tc>
          <w:tcPr>
            <w:tcW w:w="7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Release</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43"/>
        </w:trPr>
        <w:tc>
          <w:tcPr>
            <w:tcW w:w="12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11.2</w:t>
            </w:r>
          </w:p>
        </w:tc>
        <w:tc>
          <w:tcPr>
            <w:tcW w:w="160" w:type="dxa"/>
            <w:vAlign w:val="bottom"/>
          </w:tcPr>
          <w:p>
            <w:pPr>
              <w:spacing w:after="0"/>
              <w:rPr>
                <w:sz w:val="21"/>
                <w:szCs w:val="21"/>
                <w:color w:val="auto"/>
              </w:rPr>
            </w:pPr>
          </w:p>
        </w:tc>
        <w:tc>
          <w:tcPr>
            <w:tcW w:w="7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Fees; Expenses</w:t>
            </w:r>
          </w:p>
        </w:tc>
        <w:tc>
          <w:tcPr>
            <w:tcW w:w="2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r>
      <w:tr>
        <w:trPr>
          <w:trHeight w:val="243"/>
        </w:trPr>
        <w:tc>
          <w:tcPr>
            <w:tcW w:w="12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11.3</w:t>
            </w:r>
          </w:p>
        </w:tc>
        <w:tc>
          <w:tcPr>
            <w:tcW w:w="160" w:type="dxa"/>
            <w:vAlign w:val="bottom"/>
          </w:tcPr>
          <w:p>
            <w:pPr>
              <w:spacing w:after="0"/>
              <w:rPr>
                <w:sz w:val="21"/>
                <w:szCs w:val="21"/>
                <w:color w:val="auto"/>
              </w:rPr>
            </w:pPr>
          </w:p>
        </w:tc>
        <w:tc>
          <w:tcPr>
            <w:tcW w:w="7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Specific Performance</w:t>
            </w:r>
          </w:p>
        </w:tc>
        <w:tc>
          <w:tcPr>
            <w:tcW w:w="2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r>
      <w:tr>
        <w:trPr>
          <w:trHeight w:val="243"/>
        </w:trPr>
        <w:tc>
          <w:tcPr>
            <w:tcW w:w="12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11.4</w:t>
            </w:r>
          </w:p>
        </w:tc>
        <w:tc>
          <w:tcPr>
            <w:tcW w:w="160" w:type="dxa"/>
            <w:vAlign w:val="bottom"/>
          </w:tcPr>
          <w:p>
            <w:pPr>
              <w:spacing w:after="0"/>
              <w:rPr>
                <w:sz w:val="21"/>
                <w:szCs w:val="21"/>
                <w:color w:val="auto"/>
              </w:rPr>
            </w:pPr>
          </w:p>
        </w:tc>
        <w:tc>
          <w:tcPr>
            <w:tcW w:w="7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Consent to Amendments; Waivers</w:t>
            </w:r>
          </w:p>
        </w:tc>
        <w:tc>
          <w:tcPr>
            <w:tcW w:w="2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r>
      <w:tr>
        <w:trPr>
          <w:trHeight w:val="243"/>
        </w:trPr>
        <w:tc>
          <w:tcPr>
            <w:tcW w:w="12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11.5</w:t>
            </w:r>
          </w:p>
        </w:tc>
        <w:tc>
          <w:tcPr>
            <w:tcW w:w="160" w:type="dxa"/>
            <w:vAlign w:val="bottom"/>
          </w:tcPr>
          <w:p>
            <w:pPr>
              <w:spacing w:after="0"/>
              <w:rPr>
                <w:sz w:val="21"/>
                <w:szCs w:val="21"/>
                <w:color w:val="auto"/>
              </w:rPr>
            </w:pPr>
          </w:p>
        </w:tc>
        <w:tc>
          <w:tcPr>
            <w:tcW w:w="7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Successors and Assigns</w:t>
            </w:r>
          </w:p>
        </w:tc>
        <w:tc>
          <w:tcPr>
            <w:tcW w:w="2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r>
      <w:tr>
        <w:trPr>
          <w:trHeight w:val="243"/>
        </w:trPr>
        <w:tc>
          <w:tcPr>
            <w:tcW w:w="12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11.6</w:t>
            </w:r>
          </w:p>
        </w:tc>
        <w:tc>
          <w:tcPr>
            <w:tcW w:w="160" w:type="dxa"/>
            <w:vAlign w:val="bottom"/>
          </w:tcPr>
          <w:p>
            <w:pPr>
              <w:spacing w:after="0"/>
              <w:rPr>
                <w:sz w:val="21"/>
                <w:szCs w:val="21"/>
                <w:color w:val="auto"/>
              </w:rPr>
            </w:pPr>
          </w:p>
        </w:tc>
        <w:tc>
          <w:tcPr>
            <w:tcW w:w="7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Severability</w:t>
            </w:r>
          </w:p>
        </w:tc>
        <w:tc>
          <w:tcPr>
            <w:tcW w:w="2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r>
      <w:tr>
        <w:trPr>
          <w:trHeight w:val="243"/>
        </w:trPr>
        <w:tc>
          <w:tcPr>
            <w:tcW w:w="12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11.7</w:t>
            </w:r>
          </w:p>
        </w:tc>
        <w:tc>
          <w:tcPr>
            <w:tcW w:w="160" w:type="dxa"/>
            <w:vAlign w:val="bottom"/>
          </w:tcPr>
          <w:p>
            <w:pPr>
              <w:spacing w:after="0"/>
              <w:rPr>
                <w:sz w:val="21"/>
                <w:szCs w:val="21"/>
                <w:color w:val="auto"/>
              </w:rPr>
            </w:pPr>
          </w:p>
        </w:tc>
        <w:tc>
          <w:tcPr>
            <w:tcW w:w="7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Counterparts; Facsimile and Email Signatures</w:t>
            </w:r>
          </w:p>
        </w:tc>
        <w:tc>
          <w:tcPr>
            <w:tcW w:w="2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r>
      <w:tr>
        <w:trPr>
          <w:trHeight w:val="243"/>
        </w:trPr>
        <w:tc>
          <w:tcPr>
            <w:tcW w:w="12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11.8</w:t>
            </w:r>
          </w:p>
        </w:tc>
        <w:tc>
          <w:tcPr>
            <w:tcW w:w="160" w:type="dxa"/>
            <w:vAlign w:val="bottom"/>
          </w:tcPr>
          <w:p>
            <w:pPr>
              <w:spacing w:after="0"/>
              <w:rPr>
                <w:sz w:val="21"/>
                <w:szCs w:val="21"/>
                <w:color w:val="auto"/>
              </w:rPr>
            </w:pPr>
          </w:p>
        </w:tc>
        <w:tc>
          <w:tcPr>
            <w:tcW w:w="7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Descriptive Headings; Interpretation</w:t>
            </w:r>
          </w:p>
        </w:tc>
        <w:tc>
          <w:tcPr>
            <w:tcW w:w="2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r>
      <w:tr>
        <w:trPr>
          <w:trHeight w:val="243"/>
        </w:trPr>
        <w:tc>
          <w:tcPr>
            <w:tcW w:w="12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11.9</w:t>
            </w:r>
          </w:p>
        </w:tc>
        <w:tc>
          <w:tcPr>
            <w:tcW w:w="160" w:type="dxa"/>
            <w:vAlign w:val="bottom"/>
          </w:tcPr>
          <w:p>
            <w:pPr>
              <w:spacing w:after="0"/>
              <w:rPr>
                <w:sz w:val="21"/>
                <w:szCs w:val="21"/>
                <w:color w:val="auto"/>
              </w:rPr>
            </w:pPr>
          </w:p>
        </w:tc>
        <w:tc>
          <w:tcPr>
            <w:tcW w:w="7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Entire Agreement</w:t>
            </w:r>
          </w:p>
        </w:tc>
        <w:tc>
          <w:tcPr>
            <w:tcW w:w="2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r>
      <w:tr>
        <w:trPr>
          <w:trHeight w:val="243"/>
        </w:trPr>
        <w:tc>
          <w:tcPr>
            <w:tcW w:w="12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11.10</w:t>
            </w:r>
          </w:p>
        </w:tc>
        <w:tc>
          <w:tcPr>
            <w:tcW w:w="160" w:type="dxa"/>
            <w:vAlign w:val="bottom"/>
          </w:tcPr>
          <w:p>
            <w:pPr>
              <w:spacing w:after="0"/>
              <w:rPr>
                <w:sz w:val="21"/>
                <w:szCs w:val="21"/>
                <w:color w:val="auto"/>
              </w:rPr>
            </w:pPr>
          </w:p>
        </w:tc>
        <w:tc>
          <w:tcPr>
            <w:tcW w:w="7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No Third-Party Beneficiaries</w:t>
            </w:r>
          </w:p>
        </w:tc>
        <w:tc>
          <w:tcPr>
            <w:tcW w:w="2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r>
      <w:tr>
        <w:trPr>
          <w:trHeight w:val="243"/>
        </w:trPr>
        <w:tc>
          <w:tcPr>
            <w:tcW w:w="12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11.11</w:t>
            </w:r>
          </w:p>
        </w:tc>
        <w:tc>
          <w:tcPr>
            <w:tcW w:w="160" w:type="dxa"/>
            <w:vAlign w:val="bottom"/>
          </w:tcPr>
          <w:p>
            <w:pPr>
              <w:spacing w:after="0"/>
              <w:rPr>
                <w:sz w:val="21"/>
                <w:szCs w:val="21"/>
                <w:color w:val="auto"/>
              </w:rPr>
            </w:pPr>
          </w:p>
        </w:tc>
        <w:tc>
          <w:tcPr>
            <w:tcW w:w="7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Schedules and Exhibits</w:t>
            </w:r>
          </w:p>
        </w:tc>
        <w:tc>
          <w:tcPr>
            <w:tcW w:w="2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r>
      <w:tr>
        <w:trPr>
          <w:trHeight w:val="243"/>
        </w:trPr>
        <w:tc>
          <w:tcPr>
            <w:tcW w:w="12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11.12</w:t>
            </w:r>
          </w:p>
        </w:tc>
        <w:tc>
          <w:tcPr>
            <w:tcW w:w="160" w:type="dxa"/>
            <w:vAlign w:val="bottom"/>
          </w:tcPr>
          <w:p>
            <w:pPr>
              <w:spacing w:after="0"/>
              <w:rPr>
                <w:sz w:val="21"/>
                <w:szCs w:val="21"/>
                <w:color w:val="auto"/>
              </w:rPr>
            </w:pPr>
          </w:p>
        </w:tc>
        <w:tc>
          <w:tcPr>
            <w:tcW w:w="7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Governing Law</w:t>
            </w:r>
          </w:p>
        </w:tc>
        <w:tc>
          <w:tcPr>
            <w:tcW w:w="2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45</w:t>
            </w:r>
          </w:p>
        </w:tc>
      </w:tr>
      <w:tr>
        <w:trPr>
          <w:trHeight w:val="243"/>
        </w:trPr>
        <w:tc>
          <w:tcPr>
            <w:tcW w:w="12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11.13</w:t>
            </w:r>
          </w:p>
        </w:tc>
        <w:tc>
          <w:tcPr>
            <w:tcW w:w="160" w:type="dxa"/>
            <w:vAlign w:val="bottom"/>
          </w:tcPr>
          <w:p>
            <w:pPr>
              <w:spacing w:after="0"/>
              <w:rPr>
                <w:sz w:val="21"/>
                <w:szCs w:val="21"/>
                <w:color w:val="auto"/>
              </w:rPr>
            </w:pPr>
          </w:p>
        </w:tc>
        <w:tc>
          <w:tcPr>
            <w:tcW w:w="7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Notices</w:t>
            </w:r>
          </w:p>
        </w:tc>
        <w:tc>
          <w:tcPr>
            <w:tcW w:w="2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45</w:t>
            </w:r>
          </w:p>
        </w:tc>
      </w:tr>
      <w:tr>
        <w:trPr>
          <w:trHeight w:val="282"/>
        </w:trPr>
        <w:tc>
          <w:tcPr>
            <w:tcW w:w="12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11.14</w:t>
            </w:r>
          </w:p>
        </w:tc>
        <w:tc>
          <w:tcPr>
            <w:tcW w:w="160" w:type="dxa"/>
            <w:vAlign w:val="bottom"/>
          </w:tcPr>
          <w:p>
            <w:pPr>
              <w:spacing w:after="0"/>
              <w:rPr>
                <w:sz w:val="24"/>
                <w:szCs w:val="24"/>
                <w:color w:val="auto"/>
              </w:rPr>
            </w:pPr>
          </w:p>
        </w:tc>
        <w:tc>
          <w:tcPr>
            <w:tcW w:w="7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 Strict Construction</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45"/>
        </w:trPr>
        <w:tc>
          <w:tcPr>
            <w:tcW w:w="60" w:type="dxa"/>
            <w:vAlign w:val="bottom"/>
          </w:tcPr>
          <w:p>
            <w:pPr>
              <w:spacing w:after="0"/>
              <w:rPr>
                <w:sz w:val="21"/>
                <w:szCs w:val="21"/>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SCHEDULES</w:t>
            </w:r>
          </w:p>
        </w:tc>
        <w:tc>
          <w:tcPr>
            <w:tcW w:w="758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7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57"/>
        </w:trPr>
        <w:tc>
          <w:tcPr>
            <w:tcW w:w="89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Schedule 1.1  Acquired Assets</w:t>
            </w:r>
          </w:p>
        </w:tc>
        <w:tc>
          <w:tcPr>
            <w:tcW w:w="2200" w:type="dxa"/>
            <w:vAlign w:val="bottom"/>
          </w:tcPr>
          <w:p>
            <w:pPr>
              <w:spacing w:after="0"/>
              <w:rPr>
                <w:sz w:val="24"/>
                <w:szCs w:val="24"/>
                <w:color w:val="auto"/>
              </w:rPr>
            </w:pPr>
          </w:p>
        </w:tc>
      </w:tr>
      <w:tr>
        <w:trPr>
          <w:trHeight w:val="229"/>
        </w:trPr>
        <w:tc>
          <w:tcPr>
            <w:tcW w:w="1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2.1(b)</w:t>
            </w:r>
          </w:p>
        </w:tc>
        <w:tc>
          <w:tcPr>
            <w:tcW w:w="75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Service Agreement</w:t>
            </w:r>
          </w:p>
        </w:tc>
        <w:tc>
          <w:tcPr>
            <w:tcW w:w="2200" w:type="dxa"/>
            <w:vAlign w:val="bottom"/>
          </w:tcPr>
          <w:p>
            <w:pPr>
              <w:spacing w:after="0"/>
              <w:rPr>
                <w:sz w:val="19"/>
                <w:szCs w:val="19"/>
                <w:color w:val="auto"/>
              </w:rPr>
            </w:pPr>
          </w:p>
        </w:tc>
      </w:tr>
      <w:tr>
        <w:trPr>
          <w:trHeight w:val="252"/>
        </w:trPr>
        <w:tc>
          <w:tcPr>
            <w:tcW w:w="1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2.1(c)</w:t>
            </w:r>
          </w:p>
        </w:tc>
        <w:tc>
          <w:tcPr>
            <w:tcW w:w="75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Lock-Up Agreements</w:t>
            </w:r>
          </w:p>
        </w:tc>
        <w:tc>
          <w:tcPr>
            <w:tcW w:w="2200" w:type="dxa"/>
            <w:vAlign w:val="bottom"/>
          </w:tcPr>
          <w:p>
            <w:pPr>
              <w:spacing w:after="0"/>
              <w:rPr>
                <w:sz w:val="21"/>
                <w:szCs w:val="21"/>
                <w:color w:val="auto"/>
              </w:rPr>
            </w:pPr>
          </w:p>
        </w:tc>
      </w:tr>
    </w:tbl>
    <w:p>
      <w:pPr>
        <w:spacing w:after="0"/>
        <w:tabs>
          <w:tab w:leader="none" w:pos="1180" w:val="left"/>
        </w:tabs>
        <w:rPr>
          <w:sz w:val="20"/>
          <w:szCs w:val="20"/>
          <w:color w:val="auto"/>
        </w:rPr>
      </w:pPr>
      <w:r>
        <w:rPr>
          <w:rFonts w:ascii="Times New Roman" w:cs="Times New Roman" w:eastAsia="Times New Roman" w:hAnsi="Times New Roman"/>
          <w:sz w:val="20"/>
          <w:szCs w:val="20"/>
          <w:color w:val="auto"/>
        </w:rPr>
        <w:t>Schedule 3.2</w:t>
      </w:r>
      <w:r>
        <w:rPr>
          <w:sz w:val="20"/>
          <w:szCs w:val="20"/>
          <w:color w:val="auto"/>
        </w:rPr>
        <w:tab/>
      </w:r>
      <w:r>
        <w:rPr>
          <w:rFonts w:ascii="Times New Roman" w:cs="Times New Roman" w:eastAsia="Times New Roman" w:hAnsi="Times New Roman"/>
          <w:sz w:val="19"/>
          <w:szCs w:val="19"/>
          <w:color w:val="auto"/>
        </w:rPr>
        <w:t>Material Consents Disclosure Schedule</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74" w:right="439" w:bottom="1440" w:gutter="0" w:footer="0" w:header="0"/>
        </w:sectPr>
      </w:pPr>
    </w:p>
    <w:bookmarkStart w:id="8" w:name="page9"/>
    <w:bookmarkEnd w:id="8"/>
    <w:p>
      <w:pPr>
        <w:spacing w:after="0" w:line="19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b w:val="1"/>
          <w:bCs w:val="1"/>
          <w:u w:val="single" w:color="auto"/>
          <w:color w:val="auto"/>
        </w:rPr>
        <w:t>ASSET PURCHASE AGREEMENT</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THIS ASSET PURCHASE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2 October, 2025, is made by and among</w:t>
      </w:r>
    </w:p>
    <w:p>
      <w:pPr>
        <w:spacing w:after="0" w:line="22" w:lineRule="exact"/>
        <w:rPr>
          <w:sz w:val="20"/>
          <w:szCs w:val="20"/>
          <w:color w:val="auto"/>
        </w:rPr>
      </w:pPr>
    </w:p>
    <w:p>
      <w:pPr>
        <w:jc w:val="both"/>
        <w:ind w:left="740" w:hanging="3"/>
        <w:spacing w:after="0" w:line="241" w:lineRule="auto"/>
        <w:tabs>
          <w:tab w:leader="none" w:pos="983"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Rezolve Ai PLC a public limited company registered in England &amp; Wales with registered number 14573691 and having its registered office at 21 Sackville Street, London W1S 3DN, United Kingdom (“</w:t>
      </w:r>
      <w:r>
        <w:rPr>
          <w:rFonts w:ascii="Times New Roman" w:cs="Times New Roman" w:eastAsia="Times New Roman" w:hAnsi="Times New Roman"/>
          <w:sz w:val="20"/>
          <w:szCs w:val="20"/>
          <w:u w:val="single" w:color="auto"/>
          <w:color w:val="auto"/>
        </w:rPr>
        <w:t>Rezolve PLC</w:t>
      </w:r>
      <w:r>
        <w:rPr>
          <w:rFonts w:ascii="Times New Roman" w:cs="Times New Roman" w:eastAsia="Times New Roman" w:hAnsi="Times New Roman"/>
          <w:sz w:val="20"/>
          <w:szCs w:val="20"/>
          <w:color w:val="auto"/>
        </w:rPr>
        <w:t>”) (ii) SmartPay Digital Services Limitada, a Brazilian limited liability company (</w:t>
      </w:r>
      <w:r>
        <w:rPr>
          <w:rFonts w:ascii="Times New Roman" w:cs="Times New Roman" w:eastAsia="Times New Roman" w:hAnsi="Times New Roman"/>
          <w:sz w:val="20"/>
          <w:szCs w:val="20"/>
          <w:i w:val="1"/>
          <w:iCs w:val="1"/>
          <w:color w:val="auto"/>
        </w:rPr>
        <w:t>sociedade limitada</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Seller</w:t>
      </w:r>
      <w:r>
        <w:rPr>
          <w:rFonts w:ascii="Times New Roman" w:cs="Times New Roman" w:eastAsia="Times New Roman" w:hAnsi="Times New Roman"/>
          <w:sz w:val="20"/>
          <w:szCs w:val="20"/>
          <w:color w:val="auto"/>
        </w:rPr>
        <w:t>”), and (iii) Rocelo Lopes, resident at Largo Hyppolito do Vale Pereira 207 - Lagoa da Conceição - Florianópolis - Santa Catarina - 88062.210 - Brazil (“</w:t>
      </w:r>
      <w:r>
        <w:rPr>
          <w:rFonts w:ascii="Times New Roman" w:cs="Times New Roman" w:eastAsia="Times New Roman" w:hAnsi="Times New Roman"/>
          <w:sz w:val="20"/>
          <w:szCs w:val="20"/>
          <w:u w:val="single" w:color="auto"/>
          <w:color w:val="auto"/>
        </w:rPr>
        <w:t>Rocelo</w:t>
      </w:r>
      <w:r>
        <w:rPr>
          <w:rFonts w:ascii="Times New Roman" w:cs="Times New Roman" w:eastAsia="Times New Roman" w:hAnsi="Times New Roman"/>
          <w:sz w:val="20"/>
          <w:szCs w:val="20"/>
          <w:color w:val="auto"/>
        </w:rPr>
        <w:t xml:space="preserve">”). Certain terms used herein are defined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hereof.</w:t>
      </w:r>
    </w:p>
    <w:p>
      <w:pPr>
        <w:spacing w:after="0" w:line="187" w:lineRule="exact"/>
        <w:rPr>
          <w:sz w:val="20"/>
          <w:szCs w:val="20"/>
          <w:color w:val="auto"/>
        </w:rPr>
      </w:pPr>
    </w:p>
    <w:p>
      <w:pPr>
        <w:jc w:val="both"/>
        <w:ind w:left="740" w:right="20" w:firstLine="749"/>
        <w:spacing w:after="0" w:line="269" w:lineRule="auto"/>
        <w:rPr>
          <w:sz w:val="20"/>
          <w:szCs w:val="20"/>
          <w:color w:val="auto"/>
        </w:rPr>
      </w:pPr>
      <w:r>
        <w:rPr>
          <w:rFonts w:ascii="Times New Roman" w:cs="Times New Roman" w:eastAsia="Times New Roman" w:hAnsi="Times New Roman"/>
          <w:sz w:val="20"/>
          <w:szCs w:val="20"/>
          <w:color w:val="auto"/>
        </w:rPr>
        <w:t>WHEREAS, Seller owns beneficially and of record the Acquired Assets, and Rocelo owns beneficially and of record 100% of the outstanding Equity Interests of Seller;</w:t>
      </w:r>
    </w:p>
    <w:p>
      <w:pPr>
        <w:spacing w:after="0" w:line="159" w:lineRule="exact"/>
        <w:rPr>
          <w:sz w:val="20"/>
          <w:szCs w:val="20"/>
          <w:color w:val="auto"/>
        </w:rPr>
      </w:pPr>
    </w:p>
    <w:p>
      <w:pPr>
        <w:jc w:val="both"/>
        <w:ind w:left="740" w:right="20" w:firstLine="749"/>
        <w:spacing w:after="0" w:line="269" w:lineRule="auto"/>
        <w:rPr>
          <w:sz w:val="20"/>
          <w:szCs w:val="20"/>
          <w:color w:val="auto"/>
        </w:rPr>
      </w:pPr>
      <w:r>
        <w:rPr>
          <w:rFonts w:ascii="Times New Roman" w:cs="Times New Roman" w:eastAsia="Times New Roman" w:hAnsi="Times New Roman"/>
          <w:sz w:val="20"/>
          <w:szCs w:val="20"/>
          <w:color w:val="auto"/>
        </w:rPr>
        <w:t>WHEREAS, Rezolve Ai PLC desires to purchase from Seller, and Seller desire to sell, assign, transfer, convey and deliver to Purchaser, free and clear of any Liens, certain assets, upon the terms set forth in this Agreement.</w:t>
      </w:r>
    </w:p>
    <w:p>
      <w:pPr>
        <w:spacing w:after="0" w:line="146" w:lineRule="exact"/>
        <w:rPr>
          <w:sz w:val="20"/>
          <w:szCs w:val="20"/>
          <w:color w:val="auto"/>
        </w:rPr>
      </w:pPr>
    </w:p>
    <w:p>
      <w:pPr>
        <w:jc w:val="both"/>
        <w:ind w:left="740" w:firstLine="749"/>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mutual covenants of the parties hereinafter set forth and other good and valuable consideration, the receipt and sufficiency of which are hereby acknowledged, the parties hereto hereby agree as follows:</w:t>
      </w:r>
    </w:p>
    <w:p>
      <w:pPr>
        <w:spacing w:after="0" w:line="17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Purchase and Sale of Acquired Assets; Closing</w:t>
      </w:r>
    </w:p>
    <w:p>
      <w:pPr>
        <w:spacing w:after="0" w:line="194" w:lineRule="exact"/>
        <w:rPr>
          <w:sz w:val="20"/>
          <w:szCs w:val="20"/>
          <w:color w:val="auto"/>
        </w:rPr>
      </w:pPr>
    </w:p>
    <w:p>
      <w:pPr>
        <w:jc w:val="both"/>
        <w:ind w:left="140" w:right="20" w:firstLine="749"/>
        <w:spacing w:after="0" w:line="246" w:lineRule="auto"/>
        <w:rPr>
          <w:sz w:val="20"/>
          <w:szCs w:val="20"/>
          <w:color w:val="auto"/>
        </w:rPr>
      </w:pPr>
      <w:r>
        <w:rPr>
          <w:rFonts w:ascii="Times New Roman" w:cs="Times New Roman" w:eastAsia="Times New Roman" w:hAnsi="Times New Roman"/>
          <w:sz w:val="20"/>
          <w:szCs w:val="20"/>
          <w:color w:val="auto"/>
        </w:rPr>
        <w:t>1.1</w:t>
      </w:r>
      <w:r>
        <w:rPr>
          <w:rFonts w:ascii="Times New Roman" w:cs="Times New Roman" w:eastAsia="Times New Roman" w:hAnsi="Times New Roman"/>
          <w:sz w:val="20"/>
          <w:szCs w:val="20"/>
          <w:u w:val="single" w:color="auto"/>
          <w:color w:val="auto"/>
        </w:rPr>
        <w:t>Acquired Assets</w:t>
      </w:r>
      <w:r>
        <w:rPr>
          <w:rFonts w:ascii="Times New Roman" w:cs="Times New Roman" w:eastAsia="Times New Roman" w:hAnsi="Times New Roman"/>
          <w:sz w:val="20"/>
          <w:szCs w:val="20"/>
          <w:color w:val="auto"/>
        </w:rPr>
        <w:t>. On the basis of the representations, warranties, covenants, and agreements herein, and subject to the terms hereof, at the Closing, Rezolve PLC shall, or shall cause one of its subsidiaries (Rezolve PLC or its subsidiary hereinafter referred to as “</w:t>
      </w:r>
      <w:r>
        <w:rPr>
          <w:rFonts w:ascii="Times New Roman" w:cs="Times New Roman" w:eastAsia="Times New Roman" w:hAnsi="Times New Roman"/>
          <w:sz w:val="20"/>
          <w:szCs w:val="20"/>
          <w:u w:val="single" w:color="auto"/>
          <w:color w:val="auto"/>
        </w:rPr>
        <w:t>Purchaser</w:t>
      </w:r>
      <w:r>
        <w:rPr>
          <w:rFonts w:ascii="Times New Roman" w:cs="Times New Roman" w:eastAsia="Times New Roman" w:hAnsi="Times New Roman"/>
          <w:sz w:val="20"/>
          <w:szCs w:val="20"/>
          <w:color w:val="auto"/>
        </w:rPr>
        <w:t>”) to purchase from Seller, and Seller shall sell convey, assign, transfer and deliver to Purchaser, the assets listed in Schedule 1.1, in each case free and clear of any Liens (the “</w:t>
      </w:r>
      <w:r>
        <w:rPr>
          <w:rFonts w:ascii="Times New Roman" w:cs="Times New Roman" w:eastAsia="Times New Roman" w:hAnsi="Times New Roman"/>
          <w:sz w:val="20"/>
          <w:szCs w:val="20"/>
          <w:u w:val="single" w:color="auto"/>
          <w:color w:val="auto"/>
        </w:rPr>
        <w:t>Acquired Assets</w:t>
      </w:r>
      <w:r>
        <w:rPr>
          <w:rFonts w:ascii="Times New Roman" w:cs="Times New Roman" w:eastAsia="Times New Roman" w:hAnsi="Times New Roman"/>
          <w:sz w:val="20"/>
          <w:szCs w:val="20"/>
          <w:color w:val="auto"/>
        </w:rPr>
        <w:t>”) for an aggregate purchase price equal to the Purchase Price.</w:t>
      </w:r>
    </w:p>
    <w:p>
      <w:pPr>
        <w:spacing w:after="0" w:line="185" w:lineRule="exact"/>
        <w:rPr>
          <w:sz w:val="20"/>
          <w:szCs w:val="20"/>
          <w:color w:val="auto"/>
        </w:rPr>
      </w:pPr>
    </w:p>
    <w:p>
      <w:pPr>
        <w:jc w:val="both"/>
        <w:ind w:left="140" w:right="20" w:firstLine="749"/>
        <w:spacing w:after="0" w:line="249" w:lineRule="auto"/>
        <w:rPr>
          <w:sz w:val="20"/>
          <w:szCs w:val="20"/>
          <w:color w:val="auto"/>
        </w:rPr>
      </w:pPr>
      <w:r>
        <w:rPr>
          <w:rFonts w:ascii="Times New Roman" w:cs="Times New Roman" w:eastAsia="Times New Roman" w:hAnsi="Times New Roman"/>
          <w:sz w:val="20"/>
          <w:szCs w:val="20"/>
          <w:color w:val="auto"/>
        </w:rPr>
        <w:t>1.2</w:t>
      </w:r>
      <w:r>
        <w:rPr>
          <w:rFonts w:ascii="Times New Roman" w:cs="Times New Roman" w:eastAsia="Times New Roman" w:hAnsi="Times New Roman"/>
          <w:sz w:val="20"/>
          <w:szCs w:val="20"/>
          <w:u w:val="single" w:color="auto"/>
          <w:color w:val="auto"/>
        </w:rPr>
        <w:t>The Closing</w:t>
      </w:r>
      <w:r>
        <w:rPr>
          <w:rFonts w:ascii="Times New Roman" w:cs="Times New Roman" w:eastAsia="Times New Roman" w:hAnsi="Times New Roman"/>
          <w:sz w:val="20"/>
          <w:szCs w:val="20"/>
          <w:color w:val="auto"/>
        </w:rPr>
        <w:t>. The closing of the transactions contemplated by this Agreement (the “</w:t>
      </w:r>
      <w:r>
        <w:rPr>
          <w:rFonts w:ascii="Times New Roman" w:cs="Times New Roman" w:eastAsia="Times New Roman" w:hAnsi="Times New Roman"/>
          <w:sz w:val="20"/>
          <w:szCs w:val="20"/>
          <w:u w:val="single" w:color="auto"/>
          <w:color w:val="auto"/>
        </w:rPr>
        <w:t>Closing</w:t>
      </w:r>
      <w:r>
        <w:rPr>
          <w:rFonts w:ascii="Times New Roman" w:cs="Times New Roman" w:eastAsia="Times New Roman" w:hAnsi="Times New Roman"/>
          <w:sz w:val="20"/>
          <w:szCs w:val="20"/>
          <w:color w:val="auto"/>
        </w:rPr>
        <w:t>”) shall occur remotely via conference call and the electronic exchange of documents and signatures and payment of Initial Consideration within 10 Business Days from the date in which the conditions in Article III are satisfied (the “</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and the Closing shall be deemed to be effective as of the Adjustment Calculation Time. On the Closing Date:</w:t>
      </w:r>
    </w:p>
    <w:p>
      <w:pPr>
        <w:spacing w:after="0" w:line="18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(a) Purchaser shall pay, or cause to be paid an amount as described below (the “</w:t>
      </w:r>
      <w:r>
        <w:rPr>
          <w:rFonts w:ascii="Times New Roman" w:cs="Times New Roman" w:eastAsia="Times New Roman" w:hAnsi="Times New Roman"/>
          <w:sz w:val="20"/>
          <w:szCs w:val="20"/>
          <w:u w:val="single" w:color="auto"/>
          <w:color w:val="auto"/>
        </w:rPr>
        <w:t>Initial Consideration</w:t>
      </w:r>
      <w:r>
        <w:rPr>
          <w:rFonts w:ascii="Times New Roman" w:cs="Times New Roman" w:eastAsia="Times New Roman" w:hAnsi="Times New Roman"/>
          <w:sz w:val="20"/>
          <w:szCs w:val="20"/>
          <w:color w:val="auto"/>
        </w:rPr>
        <w:t>”), by</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causing:</w:t>
      </w:r>
    </w:p>
    <w:p>
      <w:pPr>
        <w:spacing w:after="0" w:line="18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(i) A payment of USDT1,900,000 to Seller by way of transfer of such USDT to the Seller’s</w:t>
      </w:r>
    </w:p>
    <w:p>
      <w:pPr>
        <w:spacing w:after="0" w:line="2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Wallet;</w:t>
      </w:r>
    </w:p>
    <w:p>
      <w:pPr>
        <w:spacing w:after="0" w:line="194" w:lineRule="exact"/>
        <w:rPr>
          <w:sz w:val="20"/>
          <w:szCs w:val="20"/>
          <w:color w:val="auto"/>
        </w:rPr>
      </w:pPr>
    </w:p>
    <w:p>
      <w:pPr>
        <w:jc w:val="both"/>
        <w:ind w:left="1740" w:right="20" w:firstLine="1498"/>
        <w:spacing w:after="0" w:line="254" w:lineRule="auto"/>
        <w:tabs>
          <w:tab w:leader="none" w:pos="354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be issued to Seller 2 million USDT in Consideration Shares, to be determined by the VWAP of the Buyer’s common stock on NASDAQ over the five (5) trading day period immediately prior to closing, rounded to the nearest full share;</w:t>
      </w:r>
    </w:p>
    <w:p>
      <w:pPr>
        <w:spacing w:after="0" w:line="160" w:lineRule="exact"/>
        <w:rPr>
          <w:rFonts w:ascii="Times New Roman" w:cs="Times New Roman" w:eastAsia="Times New Roman" w:hAnsi="Times New Roman"/>
          <w:sz w:val="20"/>
          <w:szCs w:val="20"/>
          <w:color w:val="auto"/>
        </w:rPr>
      </w:pPr>
    </w:p>
    <w:p>
      <w:pPr>
        <w:ind w:left="740" w:right="100" w:firstLine="1494"/>
        <w:spacing w:after="0" w:line="269" w:lineRule="auto"/>
        <w:tabs>
          <w:tab w:leader="none" w:pos="252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other documents and agreements required to be delivered pursuant to this Agreement with respect to the Closing will be exchanged at the Closing.</w:t>
      </w:r>
    </w:p>
    <w:p>
      <w:pPr>
        <w:spacing w:after="0" w:line="200" w:lineRule="exact"/>
        <w:rPr>
          <w:sz w:val="20"/>
          <w:szCs w:val="20"/>
          <w:color w:val="auto"/>
        </w:rPr>
      </w:pPr>
    </w:p>
    <w:p>
      <w:pPr>
        <w:spacing w:after="0" w:line="2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155468366.9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675640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9" w:name="page10"/>
    <w:bookmarkEnd w:id="9"/>
    <w:p>
      <w:pPr>
        <w:ind w:left="140" w:right="780" w:firstLine="749"/>
        <w:spacing w:after="0" w:line="295" w:lineRule="auto"/>
        <w:rPr>
          <w:sz w:val="20"/>
          <w:szCs w:val="20"/>
          <w:color w:val="auto"/>
        </w:rPr>
      </w:pPr>
      <w:r>
        <w:rPr>
          <w:rFonts w:ascii="Times New Roman" w:cs="Times New Roman" w:eastAsia="Times New Roman" w:hAnsi="Times New Roman"/>
          <w:sz w:val="19"/>
          <w:szCs w:val="19"/>
          <w:color w:val="auto"/>
        </w:rPr>
        <w:t>1.3</w:t>
      </w:r>
      <w:r>
        <w:rPr>
          <w:rFonts w:ascii="Times New Roman" w:cs="Times New Roman" w:eastAsia="Times New Roman" w:hAnsi="Times New Roman"/>
          <w:sz w:val="19"/>
          <w:szCs w:val="19"/>
          <w:u w:val="single" w:color="auto"/>
          <w:color w:val="auto"/>
        </w:rPr>
        <w:t>The Earn Out</w:t>
      </w:r>
      <w:r>
        <w:rPr>
          <w:rFonts w:ascii="Times New Roman" w:cs="Times New Roman" w:eastAsia="Times New Roman" w:hAnsi="Times New Roman"/>
          <w:sz w:val="19"/>
          <w:szCs w:val="19"/>
          <w:color w:val="auto"/>
        </w:rPr>
        <w:t>. Seller shall be entitled to such number of Earn-Out USDT and Earn-Out Shares (if any) as required following the agreement or determination of the First and Second Earn-Out pursuant to Sections (a) to (f) (inclusive).</w:t>
      </w:r>
    </w:p>
    <w:p>
      <w:pPr>
        <w:spacing w:after="0" w:line="124" w:lineRule="exact"/>
        <w:rPr>
          <w:sz w:val="20"/>
          <w:szCs w:val="20"/>
          <w:color w:val="auto"/>
        </w:rPr>
      </w:pPr>
    </w:p>
    <w:p>
      <w:pPr>
        <w:jc w:val="both"/>
        <w:ind w:left="740" w:right="100" w:firstLine="1494"/>
        <w:spacing w:after="0" w:line="254" w:lineRule="auto"/>
        <w:tabs>
          <w:tab w:leader="none" w:pos="252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shall be entitled to receive a payment (the “</w:t>
      </w:r>
      <w:r>
        <w:rPr>
          <w:rFonts w:ascii="Times New Roman" w:cs="Times New Roman" w:eastAsia="Times New Roman" w:hAnsi="Times New Roman"/>
          <w:sz w:val="20"/>
          <w:szCs w:val="20"/>
          <w:u w:val="single" w:color="auto"/>
          <w:color w:val="auto"/>
        </w:rPr>
        <w:t>First Earn-Out Payment</w:t>
      </w:r>
      <w:r>
        <w:rPr>
          <w:rFonts w:ascii="Times New Roman" w:cs="Times New Roman" w:eastAsia="Times New Roman" w:hAnsi="Times New Roman"/>
          <w:sz w:val="20"/>
          <w:szCs w:val="20"/>
          <w:color w:val="auto"/>
        </w:rPr>
        <w:t>”) conditional upon satisfaction of the First Earn-Out Conditions. If the First Earn-Out Conditions are satisfied, Purchaser shall pay, or cause to be paid:</w:t>
      </w:r>
    </w:p>
    <w:p>
      <w:pPr>
        <w:spacing w:after="0" w:line="160" w:lineRule="exact"/>
        <w:rPr>
          <w:rFonts w:ascii="Times New Roman" w:cs="Times New Roman" w:eastAsia="Times New Roman" w:hAnsi="Times New Roman"/>
          <w:sz w:val="20"/>
          <w:szCs w:val="20"/>
          <w:color w:val="auto"/>
        </w:rPr>
      </w:pPr>
    </w:p>
    <w:p>
      <w:pPr>
        <w:ind w:left="3540" w:hanging="302"/>
        <w:spacing w:after="0"/>
        <w:tabs>
          <w:tab w:leader="none" w:pos="35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payment of USDT2,000,000 to the Seller by way of transfer of such USDT to the Seller’s</w:t>
      </w:r>
    </w:p>
    <w:p>
      <w:pPr>
        <w:spacing w:after="0" w:line="21" w:lineRule="exact"/>
        <w:rPr>
          <w:rFonts w:ascii="Times New Roman" w:cs="Times New Roman" w:eastAsia="Times New Roman" w:hAnsi="Times New Roman"/>
          <w:sz w:val="20"/>
          <w:szCs w:val="20"/>
          <w:color w:val="auto"/>
        </w:rPr>
      </w:pPr>
    </w:p>
    <w:p>
      <w:pPr>
        <w:ind w:left="17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Wallet; and</w:t>
      </w:r>
    </w:p>
    <w:p>
      <w:pPr>
        <w:spacing w:after="0" w:line="167" w:lineRule="exact"/>
        <w:rPr>
          <w:sz w:val="20"/>
          <w:szCs w:val="20"/>
          <w:color w:val="auto"/>
        </w:rPr>
      </w:pPr>
    </w:p>
    <w:p>
      <w:pPr>
        <w:ind w:left="1740" w:firstLine="1498"/>
        <w:spacing w:after="0" w:line="246" w:lineRule="auto"/>
        <w:rPr>
          <w:sz w:val="20"/>
          <w:szCs w:val="20"/>
          <w:color w:val="auto"/>
        </w:rPr>
      </w:pPr>
      <w:r>
        <w:rPr>
          <w:rFonts w:ascii="Times New Roman" w:cs="Times New Roman" w:eastAsia="Times New Roman" w:hAnsi="Times New Roman"/>
          <w:sz w:val="20"/>
          <w:szCs w:val="20"/>
          <w:color w:val="auto"/>
        </w:rPr>
        <w:t>(ii) to be issued to Seller the equivalent of USDT4,000,000 in Consideration Shares, to be determined by the VWAP of the Buyer’s common stock on NASDAQ over the five (5) trading day period immediately prior to closing, rounded to the nearest full share, provided, that, in the event of any variation of capital such as a consolidation or subdivision, rights issue or bonus issue, the Purchaser shall be entitled to, acting reasonably, adjust the number of shares to be issued to reflect such variation of share capital);</w:t>
      </w:r>
    </w:p>
    <w:p>
      <w:pPr>
        <w:spacing w:after="0" w:line="185" w:lineRule="exact"/>
        <w:rPr>
          <w:sz w:val="20"/>
          <w:szCs w:val="20"/>
          <w:color w:val="auto"/>
        </w:rPr>
      </w:pPr>
    </w:p>
    <w:p>
      <w:pPr>
        <w:jc w:val="both"/>
        <w:ind w:left="1740" w:right="80" w:firstLine="1498"/>
        <w:spacing w:after="0" w:line="242"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(i) the Service Agreement is in force at the time at the time of grant or has been terminated by Purchaser or its Affiliate, as applicable, without cause as defined therein; and (ii) the Relevant Net Profit of Purchaser for the 12-month period ending 31 December 2026 (as fully recognized in accordance with USGAAP and as shown in the audited consolidated accounts of the Purchaser for the 12-month period ending 31 December 2026) is at least USDT2,400,000 (together, the "</w:t>
      </w:r>
      <w:r>
        <w:rPr>
          <w:rFonts w:ascii="Times New Roman" w:cs="Times New Roman" w:eastAsia="Times New Roman" w:hAnsi="Times New Roman"/>
          <w:sz w:val="20"/>
          <w:szCs w:val="20"/>
          <w:u w:val="single" w:color="auto"/>
          <w:color w:val="auto"/>
        </w:rPr>
        <w:t>First Earn-Out Conditions</w:t>
      </w:r>
      <w:r>
        <w:rPr>
          <w:rFonts w:ascii="Times New Roman" w:cs="Times New Roman" w:eastAsia="Times New Roman" w:hAnsi="Times New Roman"/>
          <w:sz w:val="20"/>
          <w:szCs w:val="20"/>
          <w:color w:val="auto"/>
        </w:rPr>
        <w:t>"). In the event that either or both of the First Earn-Out Conditions are not satisfied, then Seller shall have no right to such First Earn-Out payment save that as long as the First Earn-Out Condition is satisfied and the Relevant Net Profit for the First Earn-Out Period is greater than USDT1,680,000 (the “</w:t>
      </w:r>
      <w:r>
        <w:rPr>
          <w:rFonts w:ascii="Times New Roman" w:cs="Times New Roman" w:eastAsia="Times New Roman" w:hAnsi="Times New Roman"/>
          <w:sz w:val="20"/>
          <w:szCs w:val="20"/>
          <w:u w:val="single" w:color="auto"/>
          <w:color w:val="auto"/>
        </w:rPr>
        <w:t>First Floor</w:t>
      </w:r>
      <w:r>
        <w:rPr>
          <w:rFonts w:ascii="Times New Roman" w:cs="Times New Roman" w:eastAsia="Times New Roman" w:hAnsi="Times New Roman"/>
          <w:sz w:val="20"/>
          <w:szCs w:val="20"/>
          <w:color w:val="auto"/>
        </w:rPr>
        <w:t>”), Seller shall be issued with a pro-rata amount of USDT and issued a pro-rata number of Consideration Shares to reflect the actual Relevant Net Profit achieved between the First Floor and the USDT2,400,000. In the event that the Relevant Net Profit for the First Earn- Out Period exceeds USDT2,400,000, then any excess amounts up to USDT1,080,000 (the “</w:t>
      </w:r>
      <w:r>
        <w:rPr>
          <w:rFonts w:ascii="Times New Roman" w:cs="Times New Roman" w:eastAsia="Times New Roman" w:hAnsi="Times New Roman"/>
          <w:sz w:val="20"/>
          <w:szCs w:val="20"/>
          <w:u w:val="single" w:color="auto"/>
          <w:color w:val="auto"/>
        </w:rPr>
        <w:t>First Earn-Out Surplus</w:t>
      </w:r>
      <w:r>
        <w:rPr>
          <w:rFonts w:ascii="Times New Roman" w:cs="Times New Roman" w:eastAsia="Times New Roman" w:hAnsi="Times New Roman"/>
          <w:sz w:val="20"/>
          <w:szCs w:val="20"/>
          <w:color w:val="auto"/>
        </w:rPr>
        <w:t>”) shall be considered towards the calculation of the Relevant Net Profit for the Second Earn-Out Period.</w:t>
      </w:r>
    </w:p>
    <w:p>
      <w:pPr>
        <w:spacing w:after="0" w:line="187" w:lineRule="exact"/>
        <w:rPr>
          <w:sz w:val="20"/>
          <w:szCs w:val="20"/>
          <w:color w:val="auto"/>
        </w:rPr>
      </w:pPr>
    </w:p>
    <w:p>
      <w:pPr>
        <w:jc w:val="both"/>
        <w:ind w:left="740" w:right="100" w:firstLine="1494"/>
        <w:spacing w:after="0" w:line="245" w:lineRule="auto"/>
        <w:tabs>
          <w:tab w:leader="none" w:pos="252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not later than 30 April 2027, the Purchaser shall provide Seller with: (i) a copy of the audited consolidated accounts of the Purchaser in respect of the year ending 31 December 2026; and (ii) a written statement setting out the Relevant Net Profit generated by the Acquired Assets during the First Earn-Out Period and the resulting Earn-Out, if any (the “</w:t>
      </w:r>
      <w:r>
        <w:rPr>
          <w:rFonts w:ascii="Times New Roman" w:cs="Times New Roman" w:eastAsia="Times New Roman" w:hAnsi="Times New Roman"/>
          <w:sz w:val="20"/>
          <w:szCs w:val="20"/>
          <w:u w:val="single" w:color="auto"/>
          <w:color w:val="auto"/>
        </w:rPr>
        <w:t>First Earn-Out Statement</w:t>
      </w:r>
      <w:r>
        <w:rPr>
          <w:rFonts w:ascii="Times New Roman" w:cs="Times New Roman" w:eastAsia="Times New Roman" w:hAnsi="Times New Roman"/>
          <w:sz w:val="20"/>
          <w:szCs w:val="20"/>
          <w:color w:val="auto"/>
        </w:rPr>
        <w:t>”). Seller shall have the right to review the Purchaser’s financial records, solely as they pertain to the calculation of Relevant Net Profit generated by the Acquired Assets during the First Earn-Out Period, within 30 days of receiving the First Earn-Out Statement, subject to reasonable notice and confidentiality obligations.</w:t>
      </w:r>
    </w:p>
    <w:p>
      <w:pPr>
        <w:spacing w:after="0" w:line="184" w:lineRule="exact"/>
        <w:rPr>
          <w:rFonts w:ascii="Times New Roman" w:cs="Times New Roman" w:eastAsia="Times New Roman" w:hAnsi="Times New Roman"/>
          <w:sz w:val="20"/>
          <w:szCs w:val="20"/>
          <w:color w:val="auto"/>
        </w:rPr>
      </w:pPr>
    </w:p>
    <w:p>
      <w:pPr>
        <w:jc w:val="both"/>
        <w:ind w:left="1740" w:right="80" w:firstLine="1503"/>
        <w:spacing w:after="0" w:line="242" w:lineRule="auto"/>
        <w:tabs>
          <w:tab w:leader="none" w:pos="3666"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Seller disputes the Relevant Net Profit calculation in the First Earn- Out Statement, Seller must notify the Purchaser in writing within 30 days of receipt of the First Earn-Out Statement, specifying the basis of the dispute (the "</w:t>
      </w:r>
      <w:r>
        <w:rPr>
          <w:rFonts w:ascii="Times New Roman" w:cs="Times New Roman" w:eastAsia="Times New Roman" w:hAnsi="Times New Roman"/>
          <w:sz w:val="20"/>
          <w:szCs w:val="20"/>
          <w:u w:val="single" w:color="auto"/>
          <w:color w:val="auto"/>
        </w:rPr>
        <w:t>First Earn-Out Dispute Notice</w:t>
      </w:r>
      <w:r>
        <w:rPr>
          <w:rFonts w:ascii="Times New Roman" w:cs="Times New Roman" w:eastAsia="Times New Roman" w:hAnsi="Times New Roman"/>
          <w:sz w:val="20"/>
          <w:szCs w:val="20"/>
          <w:color w:val="auto"/>
        </w:rPr>
        <w:t>"). If no such First Earn-Out Dispute Notice is served within such 30-day period then the First Earn- Out Statement and the First Earn-Out shall be deemed agreed. If a First Earn-Out Dispute Notice is served within such 30 day period and the parties cannot resolve the dispute within 20 days of the date of service of the First Earn-Out Dispute Notice, the matter shall be referred to an independent accountant (the "</w:t>
      </w:r>
      <w:r>
        <w:rPr>
          <w:rFonts w:ascii="Times New Roman" w:cs="Times New Roman" w:eastAsia="Times New Roman" w:hAnsi="Times New Roman"/>
          <w:sz w:val="20"/>
          <w:szCs w:val="20"/>
          <w:u w:val="single" w:color="auto"/>
          <w:color w:val="auto"/>
        </w:rPr>
        <w:t>Expert Accountant</w:t>
      </w:r>
      <w:r>
        <w:rPr>
          <w:rFonts w:ascii="Times New Roman" w:cs="Times New Roman" w:eastAsia="Times New Roman" w:hAnsi="Times New Roman"/>
          <w:sz w:val="20"/>
          <w:szCs w:val="20"/>
          <w:color w:val="auto"/>
        </w:rPr>
        <w:t>"), appointed jointly by the parties, or in the event of failure to agree on an independent accountant within a further 15 days then as nominated by the then President of the Institute of Chartered Accountants in England and Wales on the joint application of the Purchaser and Seller. The Expert Accountant shall be instructed to determine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40" w:top="1399" w:right="619" w:bottom="1440" w:gutter="0" w:footer="0" w:header="0"/>
        </w:sectPr>
      </w:pPr>
    </w:p>
    <w:bookmarkStart w:id="10" w:name="page11"/>
    <w:bookmarkEnd w:id="10"/>
    <w:p>
      <w:pPr>
        <w:spacing w:after="0" w:line="108" w:lineRule="exact"/>
        <w:rPr>
          <w:sz w:val="20"/>
          <w:szCs w:val="20"/>
          <w:color w:val="auto"/>
        </w:rPr>
      </w:pPr>
    </w:p>
    <w:p>
      <w:pPr>
        <w:jc w:val="both"/>
        <w:ind w:left="1740"/>
        <w:spacing w:after="0" w:line="242" w:lineRule="auto"/>
        <w:rPr>
          <w:sz w:val="20"/>
          <w:szCs w:val="20"/>
          <w:color w:val="auto"/>
        </w:rPr>
      </w:pPr>
      <w:r>
        <w:rPr>
          <w:rFonts w:ascii="Times New Roman" w:cs="Times New Roman" w:eastAsia="Times New Roman" w:hAnsi="Times New Roman"/>
          <w:sz w:val="20"/>
          <w:szCs w:val="20"/>
          <w:color w:val="auto"/>
        </w:rPr>
        <w:t>the Relevant Net Profit for the First Earn-Out Period and the amount of the First Earn- Out and to notify such determination to the parties, shall act as an expert and not as an arbitrator and his decision shall be final and binding in the absence of manifest error. The Expert Accountant's fees will be payable by the Seller in the event that the Expert Accountant determines that the Relevant Net Profit for the First Earn-Out Period is less than or equal to the Relevant Net Profit set out in the Purchaser’s First Earn-Out Statement and shall be borne by the Purchaser in the event that the Relevant Net Profit for the First Earn-Out Period as determined by the Expert Accountant exceeded the amount set out in the Purchaser’s Earn-Out Statement. The parties shall provide such reasonable access at reasonable times to each other and to the Expert Accountant to the accounting records and working papers used or required for the determination of the Relevant Net Profit for the First Earn-Out Period provided that all such records and working papers shall be kept confidential by the parties hereto (save to the extent that disclosure is required by applicable law or regulation or by court order).</w:t>
      </w:r>
    </w:p>
    <w:p>
      <w:pPr>
        <w:spacing w:after="0" w:line="176" w:lineRule="exact"/>
        <w:rPr>
          <w:sz w:val="20"/>
          <w:szCs w:val="20"/>
          <w:color w:val="auto"/>
        </w:rPr>
      </w:pPr>
    </w:p>
    <w:p>
      <w:pPr>
        <w:jc w:val="both"/>
        <w:ind w:left="740" w:right="20" w:firstLine="1494"/>
        <w:spacing w:after="0" w:line="254" w:lineRule="auto"/>
        <w:tabs>
          <w:tab w:leader="none" w:pos="252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shall be entitled to receive a payment (the “</w:t>
      </w:r>
      <w:r>
        <w:rPr>
          <w:rFonts w:ascii="Times New Roman" w:cs="Times New Roman" w:eastAsia="Times New Roman" w:hAnsi="Times New Roman"/>
          <w:sz w:val="20"/>
          <w:szCs w:val="20"/>
          <w:u w:val="single" w:color="auto"/>
          <w:color w:val="auto"/>
        </w:rPr>
        <w:t>Second Earn-Out Payment</w:t>
      </w:r>
      <w:r>
        <w:rPr>
          <w:rFonts w:ascii="Times New Roman" w:cs="Times New Roman" w:eastAsia="Times New Roman" w:hAnsi="Times New Roman"/>
          <w:sz w:val="20"/>
          <w:szCs w:val="20"/>
          <w:color w:val="auto"/>
        </w:rPr>
        <w:t>”) conditional upon satisfaction of the Second Earn-Out Conditions. If the Second Earn-Out Conditions are satisfied, Purchaser shall pay, or cause to be paid:</w:t>
      </w:r>
    </w:p>
    <w:p>
      <w:pPr>
        <w:spacing w:after="0" w:line="160" w:lineRule="exact"/>
        <w:rPr>
          <w:rFonts w:ascii="Times New Roman" w:cs="Times New Roman" w:eastAsia="Times New Roman" w:hAnsi="Times New Roman"/>
          <w:sz w:val="20"/>
          <w:szCs w:val="20"/>
          <w:color w:val="auto"/>
        </w:rPr>
      </w:pPr>
    </w:p>
    <w:p>
      <w:pPr>
        <w:ind w:left="3540" w:hanging="302"/>
        <w:spacing w:after="0"/>
        <w:tabs>
          <w:tab w:leader="none" w:pos="354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payment of USDT2,000,000 to Seller by way of transfer of such USDT to the Seller’s</w:t>
      </w:r>
    </w:p>
    <w:p>
      <w:pPr>
        <w:spacing w:after="0" w:line="21" w:lineRule="exact"/>
        <w:rPr>
          <w:rFonts w:ascii="Times New Roman" w:cs="Times New Roman" w:eastAsia="Times New Roman" w:hAnsi="Times New Roman"/>
          <w:sz w:val="20"/>
          <w:szCs w:val="20"/>
          <w:color w:val="auto"/>
        </w:rPr>
      </w:pPr>
    </w:p>
    <w:p>
      <w:pPr>
        <w:ind w:left="17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Wallet; and</w:t>
      </w:r>
    </w:p>
    <w:p>
      <w:pPr>
        <w:spacing w:after="0" w:line="193" w:lineRule="exact"/>
        <w:rPr>
          <w:rFonts w:ascii="Times New Roman" w:cs="Times New Roman" w:eastAsia="Times New Roman" w:hAnsi="Times New Roman"/>
          <w:sz w:val="20"/>
          <w:szCs w:val="20"/>
          <w:color w:val="auto"/>
        </w:rPr>
      </w:pPr>
    </w:p>
    <w:p>
      <w:pPr>
        <w:jc w:val="both"/>
        <w:ind w:left="1740" w:right="20" w:firstLine="1498"/>
        <w:spacing w:after="0" w:line="246" w:lineRule="auto"/>
        <w:tabs>
          <w:tab w:leader="none" w:pos="354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be issued to Seller the equivalent of USDT4,000,000, to be determined by the VWAP of the Buyer’s common stock on NASDAQ over the five (5) trading day period immediately prior to closing, rounded to the nearest full share, provided, that, in the event of any variation of capital such as a consolidation or subdivision, rights issue or bonus issue, the Purchaser shall be entitled to, acting reasonably, adjust the number of shares to be issued to reflect such variation of share capital);</w:t>
      </w:r>
    </w:p>
    <w:p>
      <w:pPr>
        <w:spacing w:after="0" w:line="158" w:lineRule="exact"/>
        <w:rPr>
          <w:sz w:val="20"/>
          <w:szCs w:val="20"/>
          <w:color w:val="auto"/>
        </w:rPr>
      </w:pPr>
    </w:p>
    <w:p>
      <w:pPr>
        <w:jc w:val="both"/>
        <w:ind w:left="1740" w:firstLine="1498"/>
        <w:spacing w:after="0" w:line="242"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(i) the Service Agreement is in force at the time at the time of grant or has been terminated by Purchaser or its Affiliate, as applicable, without cause as defined therein; and (ii) the Relevant Net Profit of the Purchaser for the 12-month period ending 31 December 2027 (as fully recognized in accordance with USGAAP and as shown in the audited consolidated accounts of the Purchaser for the 12-month period ending 31 December 2027) is at least USDT3,600,000 (together, the "</w:t>
      </w:r>
      <w:r>
        <w:rPr>
          <w:rFonts w:ascii="Times New Roman" w:cs="Times New Roman" w:eastAsia="Times New Roman" w:hAnsi="Times New Roman"/>
          <w:sz w:val="20"/>
          <w:szCs w:val="20"/>
          <w:u w:val="single" w:color="auto"/>
          <w:color w:val="auto"/>
        </w:rPr>
        <w:t>Second Earn-Out Conditions</w:t>
      </w:r>
      <w:r>
        <w:rPr>
          <w:rFonts w:ascii="Times New Roman" w:cs="Times New Roman" w:eastAsia="Times New Roman" w:hAnsi="Times New Roman"/>
          <w:sz w:val="20"/>
          <w:szCs w:val="20"/>
          <w:color w:val="auto"/>
        </w:rPr>
        <w:t>"); provided, that, any First Earn-Out Surplus may be applied to the calculation of the Relevant Net Profit of the Second Earn-Out Period for the purposes of satisfaction of the Second Earn-Out Conditions. In the event that either or both of the Second Earn-Out Conditions are not satisfied, then Seller shall have no right to such Second Earn-Out payment save that as long as the first Second Earn- Out Condition is satisfied and the Relevant Net Profit for the Second Earn-Out Period is greater than USDT2,520,000 (the “</w:t>
      </w:r>
      <w:r>
        <w:rPr>
          <w:rFonts w:ascii="Times New Roman" w:cs="Times New Roman" w:eastAsia="Times New Roman" w:hAnsi="Times New Roman"/>
          <w:sz w:val="20"/>
          <w:szCs w:val="20"/>
          <w:u w:val="single" w:color="auto"/>
          <w:color w:val="auto"/>
        </w:rPr>
        <w:t>Second Floor</w:t>
      </w:r>
      <w:r>
        <w:rPr>
          <w:rFonts w:ascii="Times New Roman" w:cs="Times New Roman" w:eastAsia="Times New Roman" w:hAnsi="Times New Roman"/>
          <w:sz w:val="20"/>
          <w:szCs w:val="20"/>
          <w:color w:val="auto"/>
        </w:rPr>
        <w:t>”) , Seller shall be issued with a pro-rata amount of USDT and issued a pro-rata number of Consideration Shares to reflect the actual Relevant Net Profit achieved between the Second Floor and the USDT3,600,000.</w:t>
      </w:r>
    </w:p>
    <w:p>
      <w:pPr>
        <w:spacing w:after="0" w:line="174" w:lineRule="exact"/>
        <w:rPr>
          <w:sz w:val="20"/>
          <w:szCs w:val="20"/>
          <w:color w:val="auto"/>
        </w:rPr>
      </w:pPr>
    </w:p>
    <w:p>
      <w:pPr>
        <w:jc w:val="both"/>
        <w:ind w:left="740" w:right="20" w:firstLine="1494"/>
        <w:spacing w:after="0" w:line="245" w:lineRule="auto"/>
        <w:tabs>
          <w:tab w:leader="none" w:pos="252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not later than 30 April 2028, the Purchaser shall provide the Seller with: (i) a copy of the audited consolidated accounts of the Purchaser in respect of the year ending 31 December 2027; and (ii) a written statement setting out the Relevant Net Profit generated by the Acquired Assets during the Second Earn-Out Period and the resulting Earn-Out, if any (the “</w:t>
      </w:r>
      <w:r>
        <w:rPr>
          <w:rFonts w:ascii="Times New Roman" w:cs="Times New Roman" w:eastAsia="Times New Roman" w:hAnsi="Times New Roman"/>
          <w:sz w:val="20"/>
          <w:szCs w:val="20"/>
          <w:u w:val="single" w:color="auto"/>
          <w:color w:val="auto"/>
        </w:rPr>
        <w:t>Second Earn-Out Statement</w:t>
      </w:r>
      <w:r>
        <w:rPr>
          <w:rFonts w:ascii="Times New Roman" w:cs="Times New Roman" w:eastAsia="Times New Roman" w:hAnsi="Times New Roman"/>
          <w:sz w:val="20"/>
          <w:szCs w:val="20"/>
          <w:color w:val="auto"/>
        </w:rPr>
        <w:t>”). The Seller shall have the right to review the Purchaser’s financial records, solely as they pertain to the calculation of Relevant Net Profit generated by the Acquired Assets during the Second Earn-Out Period, within 30 days of receiving the Second Earn-Out Statement, subject to reasonable notice and confidentiality obligations.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512445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11" w:name="page12"/>
    <w:bookmarkEnd w:id="11"/>
    <w:p>
      <w:pPr>
        <w:spacing w:after="0" w:line="108" w:lineRule="exact"/>
        <w:rPr>
          <w:sz w:val="20"/>
          <w:szCs w:val="20"/>
          <w:color w:val="auto"/>
        </w:rPr>
      </w:pPr>
    </w:p>
    <w:p>
      <w:pPr>
        <w:jc w:val="both"/>
        <w:ind w:left="1740" w:firstLine="1498"/>
        <w:spacing w:after="0"/>
        <w:tabs>
          <w:tab w:leader="none" w:pos="354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Seller disputes the Relevant Net Profit calculation in the Second Earn-Out Statement, the Seller must notify the Purchaser in writing within 30 days of receipt of the Second Earn-Out Statement, specifying the basis of the dispute (the "</w:t>
      </w:r>
      <w:r>
        <w:rPr>
          <w:rFonts w:ascii="Times New Roman" w:cs="Times New Roman" w:eastAsia="Times New Roman" w:hAnsi="Times New Roman"/>
          <w:sz w:val="20"/>
          <w:szCs w:val="20"/>
          <w:u w:val="single" w:color="auto"/>
          <w:color w:val="auto"/>
        </w:rPr>
        <w:t>Second Earn-Out Dispute Notice</w:t>
      </w:r>
      <w:r>
        <w:rPr>
          <w:rFonts w:ascii="Times New Roman" w:cs="Times New Roman" w:eastAsia="Times New Roman" w:hAnsi="Times New Roman"/>
          <w:sz w:val="20"/>
          <w:szCs w:val="20"/>
          <w:color w:val="auto"/>
        </w:rPr>
        <w:t>"). If no such Second Earn-Out Dispute Notice is served within such 30-day period then the Second Earn-Out Statement and the First Earn-Out shall be deemed agreed. If a Second Earn-Out Dispute Notice is served within such 30 day period and the parties cannot resolve the dispute within 20 days of the date of service of the Second Earn-Out Dispute Notice, the matter shall be referred to an Expert Accountant, appointed jointly by the parties, or in the event of failure to agree on an independent accountant within a further 15 days then as nominated by the then President of the Institute of Chartered Accountants in England and Wales on the joint application of the Purchaser and the Seller. The Expert Accountant shall be instructed to determine the Relevant Net Profit for the Second Earn-Out Period and the amount of the Second Earn-Out and to notify such determination to the parties, shall act as an expert and not as an arbitrator and his decision shall be final and binding in the absence of manifest error. The Expert Accountant's fees will be payable by the Seller in the event that the Expert Accountant determines that the Relevant Net Profit for the Second Earn-Out Period is less than or equal to the Relevant Net Profit set out in the Purchaser’s Second Earn-Out Statement and shall be borne by the Purchaser in the event that the Relevant Net Profit for the Second Earn-Out Period as determined by the Expert Accountant exceeded the amount set out in the Purchaser’s Second Earn-Out Statement. The parties shall provide such reasonable access at reasonable times to each other and to the Expert Accountant to the accounting records and working papers used or required for the determination of the Relevant Net Profit for the Second Earn-Out Period provided that all such records and working papers shall be kept confidential by the parties hereto (save to the extent that disclosure is required by applicable law or regulation or by court order).</w:t>
      </w:r>
    </w:p>
    <w:p>
      <w:pPr>
        <w:spacing w:after="0" w:line="205" w:lineRule="exact"/>
        <w:rPr>
          <w:rFonts w:ascii="Times New Roman" w:cs="Times New Roman" w:eastAsia="Times New Roman" w:hAnsi="Times New Roman"/>
          <w:sz w:val="20"/>
          <w:szCs w:val="20"/>
          <w:color w:val="auto"/>
        </w:rPr>
      </w:pPr>
    </w:p>
    <w:p>
      <w:pPr>
        <w:jc w:val="both"/>
        <w:ind w:left="740" w:right="20" w:firstLine="1494"/>
        <w:spacing w:after="0" w:line="245" w:lineRule="auto"/>
        <w:tabs>
          <w:tab w:leader="none" w:pos="252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reasonably practicable following the agreement or notification of determination by the Expert Accountant of each of the First and Second Earn-Out, the Purchaser shall issue to the Seller the relevant number of Consideration Shares by delivering to the benefit of the Seller by allotting such shares directly to GTU Ops Inc to be held in depositary receipt form for the benefit of the Seller, and the Seller's name is to be entered on the register of depositary receipts (as held by Computershare Trust Company N.A (“</w:t>
      </w:r>
      <w:r>
        <w:rPr>
          <w:rFonts w:ascii="Times New Roman" w:cs="Times New Roman" w:eastAsia="Times New Roman" w:hAnsi="Times New Roman"/>
          <w:sz w:val="20"/>
          <w:szCs w:val="20"/>
          <w:u w:val="single" w:color="auto"/>
          <w:color w:val="auto"/>
        </w:rPr>
        <w:t>Computershare</w:t>
      </w:r>
      <w:r>
        <w:rPr>
          <w:rFonts w:ascii="Times New Roman" w:cs="Times New Roman" w:eastAsia="Times New Roman" w:hAnsi="Times New Roman"/>
          <w:sz w:val="20"/>
          <w:szCs w:val="20"/>
          <w:color w:val="auto"/>
        </w:rPr>
        <w:t>”)) as the beneficial holder of such shares (with such entitlement to be represented by the issue of depositary receipt certificates by Computershare).</w:t>
      </w:r>
    </w:p>
    <w:p>
      <w:pPr>
        <w:spacing w:after="0" w:line="184" w:lineRule="exact"/>
        <w:rPr>
          <w:rFonts w:ascii="Times New Roman" w:cs="Times New Roman" w:eastAsia="Times New Roman" w:hAnsi="Times New Roman"/>
          <w:sz w:val="20"/>
          <w:szCs w:val="20"/>
          <w:color w:val="auto"/>
        </w:rPr>
      </w:pPr>
    </w:p>
    <w:p>
      <w:pPr>
        <w:ind w:left="2980" w:hanging="746"/>
        <w:spacing w:after="0"/>
        <w:tabs>
          <w:tab w:leader="none" w:pos="29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Closing and up to (and including) 31 December 2027:</w:t>
      </w:r>
    </w:p>
    <w:p>
      <w:pPr>
        <w:spacing w:after="0" w:line="215" w:lineRule="exact"/>
        <w:rPr>
          <w:rFonts w:ascii="Times New Roman" w:cs="Times New Roman" w:eastAsia="Times New Roman" w:hAnsi="Times New Roman"/>
          <w:sz w:val="20"/>
          <w:szCs w:val="20"/>
          <w:color w:val="auto"/>
        </w:rPr>
      </w:pPr>
    </w:p>
    <w:p>
      <w:pPr>
        <w:jc w:val="both"/>
        <w:ind w:left="1740" w:right="20" w:firstLine="1498"/>
        <w:spacing w:after="0" w:line="254" w:lineRule="auto"/>
        <w:tabs>
          <w:tab w:leader="none" w:pos="354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shall operate the Business in good faith and in the Ordinary Course of Business and invest reasonable resources into product development, marketing and personnel to allow for the continued operation and organic growth of the Business;</w:t>
      </w:r>
    </w:p>
    <w:p>
      <w:pPr>
        <w:spacing w:after="0" w:line="174" w:lineRule="exact"/>
        <w:rPr>
          <w:sz w:val="20"/>
          <w:szCs w:val="20"/>
          <w:color w:val="auto"/>
        </w:rPr>
      </w:pPr>
    </w:p>
    <w:p>
      <w:pPr>
        <w:ind w:left="1740" w:right="20" w:firstLine="1498"/>
        <w:spacing w:after="0" w:line="269" w:lineRule="auto"/>
        <w:tabs>
          <w:tab w:leader="none" w:pos="35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shall have the right to monitor the conduct of the Business on an ongoing basis, and Purchaser shall deliver documents reasonably requested by Seller for this purpose;</w:t>
      </w:r>
    </w:p>
    <w:p>
      <w:pPr>
        <w:spacing w:after="0" w:line="159" w:lineRule="exact"/>
        <w:rPr>
          <w:sz w:val="20"/>
          <w:szCs w:val="20"/>
          <w:color w:val="auto"/>
        </w:rPr>
      </w:pPr>
    </w:p>
    <w:p>
      <w:pPr>
        <w:jc w:val="both"/>
        <w:ind w:left="1740" w:right="20" w:firstLine="1498"/>
        <w:spacing w:after="0" w:line="249" w:lineRule="auto"/>
        <w:rPr>
          <w:sz w:val="20"/>
          <w:szCs w:val="20"/>
          <w:color w:val="auto"/>
        </w:rPr>
      </w:pPr>
      <w:r>
        <w:rPr>
          <w:rFonts w:ascii="Times New Roman" w:cs="Times New Roman" w:eastAsia="Times New Roman" w:hAnsi="Times New Roman"/>
          <w:sz w:val="20"/>
          <w:szCs w:val="20"/>
          <w:color w:val="auto"/>
        </w:rPr>
        <w:t>(iii)the Purchaser shall not take any action with the primary intent of reducing or deferring Relevant Net Profit to avoid or minimize the First or Second Earn-Out Payment and, if so required by Seller, shall demonstrate the commercial reasoning of any given action that may have reduced or deferred the Relevant Net Profit;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12" w:name="page13"/>
    <w:bookmarkEnd w:id="12"/>
    <w:p>
      <w:pPr>
        <w:jc w:val="both"/>
        <w:ind w:left="1740" w:firstLine="1498"/>
        <w:spacing w:after="0" w:line="246" w:lineRule="auto"/>
        <w:rPr>
          <w:sz w:val="20"/>
          <w:szCs w:val="20"/>
          <w:color w:val="auto"/>
        </w:rPr>
      </w:pPr>
      <w:r>
        <w:rPr>
          <w:rFonts w:ascii="Times New Roman" w:cs="Times New Roman" w:eastAsia="Times New Roman" w:hAnsi="Times New Roman"/>
          <w:sz w:val="20"/>
          <w:szCs w:val="20"/>
          <w:color w:val="auto"/>
        </w:rPr>
        <w:t>(iv)the Purchaser shall not: (a) cease to carry on its business, materially alter the nature of its business or dispose of the whole or any material part of its assets or business (and whether by one transaction or a series of transactions) save in the ordinary course of its business and/or insolvency; and/or (b) acquire any other business or acquire or subscribe for shares in any other company (other than the Purchaser), in each case without the prior written agreement of the Seller; and</w:t>
      </w:r>
    </w:p>
    <w:p>
      <w:pPr>
        <w:spacing w:after="0" w:line="185" w:lineRule="exact"/>
        <w:rPr>
          <w:sz w:val="20"/>
          <w:szCs w:val="20"/>
          <w:color w:val="auto"/>
        </w:rPr>
      </w:pPr>
    </w:p>
    <w:p>
      <w:pPr>
        <w:jc w:val="both"/>
        <w:ind w:left="1740" w:firstLine="1498"/>
        <w:spacing w:after="0" w:line="266" w:lineRule="auto"/>
        <w:tabs>
          <w:tab w:leader="none" w:pos="354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Purchaser shall not terminate, materially reduce, or fail to renew any material vendor or customer relationship in a manner that adversely affects the Relevant Net Profit, unless such action is: (i) required by applicable law, (ii) in the Ordinary Course of Business or commercially reasonable; (iii) based on documented performance or compliance issues of the vendor or customer, or (iv) approved in writing by the Seller.</w:t>
      </w:r>
    </w:p>
    <w:p>
      <w:pPr>
        <w:spacing w:after="0" w:line="165" w:lineRule="exact"/>
        <w:rPr>
          <w:sz w:val="20"/>
          <w:szCs w:val="20"/>
          <w:color w:val="auto"/>
        </w:rPr>
      </w:pPr>
    </w:p>
    <w:p>
      <w:pPr>
        <w:jc w:val="both"/>
        <w:ind w:left="140" w:firstLine="749"/>
        <w:spacing w:after="0" w:line="246" w:lineRule="auto"/>
        <w:rPr>
          <w:sz w:val="20"/>
          <w:szCs w:val="20"/>
          <w:color w:val="auto"/>
        </w:rPr>
      </w:pPr>
      <w:r>
        <w:rPr>
          <w:rFonts w:ascii="Times New Roman" w:cs="Times New Roman" w:eastAsia="Times New Roman" w:hAnsi="Times New Roman"/>
          <w:sz w:val="20"/>
          <w:szCs w:val="20"/>
          <w:color w:val="auto"/>
        </w:rPr>
        <w:t>1.4</w:t>
      </w: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Seller may, subject to Purchaser’s prior written consent (not to be unreasonably withheld), designate an Affiliate or nominated account for receipt of any payments due under Section 1.3, provided that (i) such designation does not create adverse tax consequences or regulatory exposure for Purchaser or its Affiliates; and (ii) any designee that will receive Consideration Shares shall enter into a lock-up agreement in a form reasonably satisfactory to Purchaser. Any consent required from Purchaser under this Section 1.4 shall be evaluated in good faith and with due regard to prevailing legal, tax, and compliance considerations.</w:t>
      </w:r>
    </w:p>
    <w:p>
      <w:pPr>
        <w:spacing w:after="0" w:line="185" w:lineRule="exact"/>
        <w:rPr>
          <w:sz w:val="20"/>
          <w:szCs w:val="20"/>
          <w:color w:val="auto"/>
        </w:rPr>
      </w:pPr>
    </w:p>
    <w:p>
      <w:pPr>
        <w:jc w:val="both"/>
        <w:ind w:left="140" w:firstLine="749"/>
        <w:spacing w:after="0" w:line="243" w:lineRule="auto"/>
        <w:rPr>
          <w:sz w:val="20"/>
          <w:szCs w:val="20"/>
          <w:color w:val="auto"/>
        </w:rPr>
      </w:pPr>
      <w:r>
        <w:rPr>
          <w:rFonts w:ascii="Times New Roman" w:cs="Times New Roman" w:eastAsia="Times New Roman" w:hAnsi="Times New Roman"/>
          <w:sz w:val="20"/>
          <w:szCs w:val="20"/>
          <w:color w:val="auto"/>
        </w:rPr>
        <w:t>1.5</w:t>
      </w:r>
      <w:r>
        <w:rPr>
          <w:rFonts w:ascii="Times New Roman" w:cs="Times New Roman" w:eastAsia="Times New Roman" w:hAnsi="Times New Roman"/>
          <w:sz w:val="20"/>
          <w:szCs w:val="20"/>
          <w:u w:val="single" w:color="auto"/>
          <w:color w:val="auto"/>
        </w:rPr>
        <w:t>Tax Withholdings</w:t>
      </w:r>
      <w:r>
        <w:rPr>
          <w:rFonts w:ascii="Times New Roman" w:cs="Times New Roman" w:eastAsia="Times New Roman" w:hAnsi="Times New Roman"/>
          <w:sz w:val="20"/>
          <w:szCs w:val="20"/>
          <w:color w:val="auto"/>
        </w:rPr>
        <w:t>. Notwithstanding anything in this Agreement to the contrary, the Purchaser shall be entitled to deduct and withhold from the consideration payable to the Seller pursuant to this Agreement such amounts as the Purchaser may be required to pay, deduct or withhold therefrom under any provision of applicable Tax law, including without limitation withholding taxes, if any. Purchaser shall notify Seller of any amounts required to be withheld, such notice to include reasonable justification of the requirement to withhold and the quantum. To the extent such amounts are so paid, deducted or withheld, such amounts shall be treated for all purposes under this Agreement as having been paid to the Person to whom such amounts would otherwise have been paid. The Parties shall cooperate with each other, as and to the extent reasonably requested by the Seller or the Purchaser, to minimize or eliminate any potential deductions and withholdings that the Purchaser, or other applicable withholding agent on behalf of Purchaser, may believe it is required to make under applicable Law.</w:t>
      </w:r>
    </w:p>
    <w:p>
      <w:pPr>
        <w:spacing w:after="0" w:line="19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3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Closing Deliveries</w:t>
      </w:r>
    </w:p>
    <w:p>
      <w:pPr>
        <w:spacing w:after="0" w:line="187" w:lineRule="exact"/>
        <w:rPr>
          <w:sz w:val="20"/>
          <w:szCs w:val="20"/>
          <w:color w:val="auto"/>
        </w:rPr>
      </w:pPr>
    </w:p>
    <w:p>
      <w:pPr>
        <w:jc w:val="both"/>
        <w:ind w:left="140" w:firstLine="749"/>
        <w:spacing w:after="0" w:line="269" w:lineRule="auto"/>
        <w:rPr>
          <w:sz w:val="20"/>
          <w:szCs w:val="20"/>
          <w:color w:val="auto"/>
        </w:rPr>
      </w:pPr>
      <w:r>
        <w:rPr>
          <w:rFonts w:ascii="Times New Roman" w:cs="Times New Roman" w:eastAsia="Times New Roman" w:hAnsi="Times New Roman"/>
          <w:sz w:val="20"/>
          <w:szCs w:val="20"/>
          <w:color w:val="auto"/>
        </w:rPr>
        <w:t>2.1</w:t>
      </w:r>
      <w:r>
        <w:rPr>
          <w:rFonts w:ascii="Times New Roman" w:cs="Times New Roman" w:eastAsia="Times New Roman" w:hAnsi="Times New Roman"/>
          <w:sz w:val="20"/>
          <w:szCs w:val="20"/>
          <w:u w:val="single" w:color="auto"/>
          <w:color w:val="auto"/>
        </w:rPr>
        <w:t>Closing Deliveries of Seller</w:t>
      </w:r>
      <w:r>
        <w:rPr>
          <w:rFonts w:ascii="Times New Roman" w:cs="Times New Roman" w:eastAsia="Times New Roman" w:hAnsi="Times New Roman"/>
          <w:sz w:val="20"/>
          <w:szCs w:val="20"/>
          <w:color w:val="auto"/>
        </w:rPr>
        <w:t>. At the Closing, Seller shall execute and/or deliver or cause to be executed and/or delivered, as applicable, to Purchaser:</w:t>
      </w:r>
    </w:p>
    <w:p>
      <w:pPr>
        <w:spacing w:after="0" w:line="159" w:lineRule="exact"/>
        <w:rPr>
          <w:sz w:val="20"/>
          <w:szCs w:val="20"/>
          <w:color w:val="auto"/>
        </w:rPr>
      </w:pPr>
    </w:p>
    <w:p>
      <w:pPr>
        <w:ind w:left="2980" w:hanging="746"/>
        <w:spacing w:after="0"/>
        <w:tabs>
          <w:tab w:leader="none" w:pos="2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Consents</w:t>
      </w:r>
      <w:r>
        <w:rPr>
          <w:rFonts w:ascii="Times New Roman" w:cs="Times New Roman" w:eastAsia="Times New Roman" w:hAnsi="Times New Roman"/>
          <w:sz w:val="20"/>
          <w:szCs w:val="20"/>
          <w:color w:val="auto"/>
        </w:rPr>
        <w:t>. Evidence satisfactory to Purchaser of the receipt of all Material Consents.</w:t>
      </w:r>
    </w:p>
    <w:p>
      <w:pPr>
        <w:spacing w:after="0" w:line="215" w:lineRule="exact"/>
        <w:rPr>
          <w:rFonts w:ascii="Times New Roman" w:cs="Times New Roman" w:eastAsia="Times New Roman" w:hAnsi="Times New Roman"/>
          <w:sz w:val="20"/>
          <w:szCs w:val="20"/>
          <w:color w:val="auto"/>
        </w:rPr>
      </w:pPr>
    </w:p>
    <w:p>
      <w:pPr>
        <w:ind w:left="740" w:right="60" w:firstLine="1494"/>
        <w:spacing w:after="0" w:line="269" w:lineRule="auto"/>
        <w:tabs>
          <w:tab w:leader="none" w:pos="2526"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Agreement</w:t>
      </w:r>
      <w:r>
        <w:rPr>
          <w:rFonts w:ascii="Times New Roman" w:cs="Times New Roman" w:eastAsia="Times New Roman" w:hAnsi="Times New Roman"/>
          <w:sz w:val="20"/>
          <w:szCs w:val="20"/>
          <w:color w:val="auto"/>
        </w:rPr>
        <w:t>. The Service Agreement, duly executed by Truther Payments Limited or an Affiliate of Seller as agreed between the parties.</w:t>
      </w:r>
    </w:p>
    <w:p>
      <w:pPr>
        <w:spacing w:after="0" w:line="159" w:lineRule="exact"/>
        <w:rPr>
          <w:rFonts w:ascii="Times New Roman" w:cs="Times New Roman" w:eastAsia="Times New Roman" w:hAnsi="Times New Roman"/>
          <w:sz w:val="20"/>
          <w:szCs w:val="20"/>
          <w:color w:val="auto"/>
        </w:rPr>
      </w:pPr>
    </w:p>
    <w:p>
      <w:pPr>
        <w:ind w:left="2980" w:hanging="746"/>
        <w:spacing w:after="0"/>
        <w:tabs>
          <w:tab w:leader="none" w:pos="2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Lock-Up Agreements</w:t>
      </w:r>
      <w:r>
        <w:rPr>
          <w:rFonts w:ascii="Times New Roman" w:cs="Times New Roman" w:eastAsia="Times New Roman" w:hAnsi="Times New Roman"/>
          <w:sz w:val="20"/>
          <w:szCs w:val="20"/>
          <w:color w:val="auto"/>
        </w:rPr>
        <w:t>. The Lock-Up Agreements, duly executed by the Seller and Rocelo.</w:t>
      </w:r>
    </w:p>
    <w:p>
      <w:pPr>
        <w:spacing w:after="0" w:line="202" w:lineRule="exact"/>
        <w:rPr>
          <w:rFonts w:ascii="Times New Roman" w:cs="Times New Roman" w:eastAsia="Times New Roman" w:hAnsi="Times New Roman"/>
          <w:sz w:val="20"/>
          <w:szCs w:val="20"/>
          <w:color w:val="auto"/>
        </w:rPr>
      </w:pPr>
    </w:p>
    <w:p>
      <w:pPr>
        <w:ind w:left="740" w:right="120" w:firstLine="1494"/>
        <w:spacing w:after="0" w:line="269" w:lineRule="auto"/>
        <w:tabs>
          <w:tab w:leader="none" w:pos="2526"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Documents</w:t>
      </w:r>
      <w:r>
        <w:rPr>
          <w:rFonts w:ascii="Times New Roman" w:cs="Times New Roman" w:eastAsia="Times New Roman" w:hAnsi="Times New Roman"/>
          <w:sz w:val="20"/>
          <w:szCs w:val="20"/>
          <w:color w:val="auto"/>
        </w:rPr>
        <w:t>. Instruments required to transfer each of the Acquired Assets to the Purchaser, in a form reasonably satisfactory to Purchaser.</w:t>
      </w:r>
    </w:p>
    <w:p>
      <w:pPr>
        <w:spacing w:after="0" w:line="24" w:lineRule="exact"/>
        <w:rPr>
          <w:rFonts w:ascii="Times New Roman" w:cs="Times New Roman" w:eastAsia="Times New Roman" w:hAnsi="Times New Roman"/>
          <w:sz w:val="20"/>
          <w:szCs w:val="20"/>
          <w:color w:val="auto"/>
        </w:rPr>
      </w:pPr>
    </w:p>
    <w:p>
      <w:pPr>
        <w:ind w:left="2980" w:hanging="746"/>
        <w:spacing w:after="0"/>
        <w:tabs>
          <w:tab w:leader="none" w:pos="2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w:t>
      </w:r>
      <w:r>
        <w:rPr>
          <w:rFonts w:ascii="Times New Roman" w:cs="Times New Roman" w:eastAsia="Times New Roman" w:hAnsi="Times New Roman"/>
          <w:sz w:val="20"/>
          <w:szCs w:val="20"/>
          <w:color w:val="auto"/>
        </w:rPr>
        <w:t>. Such other instruments and certificates as may be reasonably requested by Purchaser.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399" w:right="719" w:bottom="1440" w:gutter="0" w:footer="0" w:header="0"/>
        </w:sectPr>
      </w:pPr>
    </w:p>
    <w:bookmarkStart w:id="13" w:name="page14"/>
    <w:bookmarkEnd w:id="13"/>
    <w:p>
      <w:pPr>
        <w:spacing w:after="0" w:line="108" w:lineRule="exact"/>
        <w:rPr>
          <w:sz w:val="20"/>
          <w:szCs w:val="20"/>
          <w:color w:val="auto"/>
        </w:rPr>
      </w:pPr>
    </w:p>
    <w:p>
      <w:pPr>
        <w:jc w:val="both"/>
        <w:ind w:left="140" w:right="20" w:firstLine="749"/>
        <w:spacing w:after="0" w:line="254"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Closing Deliveries of Purchaser</w:t>
      </w:r>
      <w:r>
        <w:rPr>
          <w:rFonts w:ascii="Times New Roman" w:cs="Times New Roman" w:eastAsia="Times New Roman" w:hAnsi="Times New Roman"/>
          <w:sz w:val="20"/>
          <w:szCs w:val="20"/>
          <w:color w:val="auto"/>
        </w:rPr>
        <w:t xml:space="preserve">. At the Closing, Purchaser will execute and/or deliver or cause to be executed and/or delivered to Seller simultaneously with the payment of the Purchase Price in accordance with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and delivery of the items referred to in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above:</w:t>
      </w:r>
    </w:p>
    <w:p>
      <w:pPr>
        <w:spacing w:after="0" w:line="174" w:lineRule="exact"/>
        <w:rPr>
          <w:sz w:val="20"/>
          <w:szCs w:val="20"/>
          <w:color w:val="auto"/>
        </w:rPr>
      </w:pPr>
    </w:p>
    <w:p>
      <w:pPr>
        <w:jc w:val="both"/>
        <w:ind w:left="740" w:right="20" w:firstLine="1494"/>
        <w:spacing w:after="0" w:line="246" w:lineRule="auto"/>
        <w:tabs>
          <w:tab w:leader="none" w:pos="252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Consideration Shares</w:t>
      </w:r>
      <w:r>
        <w:rPr>
          <w:rFonts w:ascii="Times New Roman" w:cs="Times New Roman" w:eastAsia="Times New Roman" w:hAnsi="Times New Roman"/>
          <w:sz w:val="20"/>
          <w:szCs w:val="20"/>
          <w:color w:val="auto"/>
        </w:rPr>
        <w:t>. Purchaser will deliver, or, as the case may be, will cause to be delivered, to the Seller the Initial Consideration Shares directly to GTU Ops Inc to be held in depositary receipt form for the benefit of the Seller, with Seller’ name to be entered on the register of depositary receipts (as held by Computershare) as the beneficial holder of the Consideration Shares to which Seller is entitled (with such entitlement to be represented by the issue of depositary receipt certificates by Computershare).</w:t>
      </w:r>
    </w:p>
    <w:p>
      <w:pPr>
        <w:spacing w:after="0" w:line="184" w:lineRule="exact"/>
        <w:rPr>
          <w:rFonts w:ascii="Times New Roman" w:cs="Times New Roman" w:eastAsia="Times New Roman" w:hAnsi="Times New Roman"/>
          <w:sz w:val="20"/>
          <w:szCs w:val="20"/>
          <w:color w:val="auto"/>
        </w:rPr>
      </w:pPr>
    </w:p>
    <w:p>
      <w:pPr>
        <w:ind w:left="2980" w:hanging="746"/>
        <w:spacing w:after="0"/>
        <w:tabs>
          <w:tab w:leader="none" w:pos="2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Agreement</w:t>
      </w:r>
      <w:r>
        <w:rPr>
          <w:rFonts w:ascii="Times New Roman" w:cs="Times New Roman" w:eastAsia="Times New Roman" w:hAnsi="Times New Roman"/>
          <w:sz w:val="20"/>
          <w:szCs w:val="20"/>
          <w:color w:val="auto"/>
        </w:rPr>
        <w:t>. The Service Agreement, duly executed by Purchaser.</w:t>
      </w:r>
    </w:p>
    <w:p>
      <w:pPr>
        <w:spacing w:after="0" w:line="215" w:lineRule="exact"/>
        <w:rPr>
          <w:rFonts w:ascii="Times New Roman" w:cs="Times New Roman" w:eastAsia="Times New Roman" w:hAnsi="Times New Roman"/>
          <w:sz w:val="20"/>
          <w:szCs w:val="20"/>
          <w:color w:val="auto"/>
        </w:rPr>
      </w:pPr>
    </w:p>
    <w:p>
      <w:pPr>
        <w:ind w:left="2980" w:hanging="746"/>
        <w:spacing w:after="0"/>
        <w:tabs>
          <w:tab w:leader="none" w:pos="2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Lock-Up Agreements</w:t>
      </w:r>
      <w:r>
        <w:rPr>
          <w:rFonts w:ascii="Times New Roman" w:cs="Times New Roman" w:eastAsia="Times New Roman" w:hAnsi="Times New Roman"/>
          <w:sz w:val="20"/>
          <w:szCs w:val="20"/>
          <w:color w:val="auto"/>
        </w:rPr>
        <w:t>. The Lock-Up Agreements, duly executed by Rezolve PLC.</w:t>
      </w:r>
    </w:p>
    <w:p>
      <w:pPr>
        <w:spacing w:after="0" w:line="215" w:lineRule="exact"/>
        <w:rPr>
          <w:rFonts w:ascii="Times New Roman" w:cs="Times New Roman" w:eastAsia="Times New Roman" w:hAnsi="Times New Roman"/>
          <w:sz w:val="20"/>
          <w:szCs w:val="20"/>
          <w:color w:val="auto"/>
        </w:rPr>
      </w:pPr>
    </w:p>
    <w:p>
      <w:pPr>
        <w:jc w:val="both"/>
        <w:ind w:left="740" w:right="20" w:firstLine="1494"/>
        <w:spacing w:after="0" w:line="254" w:lineRule="auto"/>
        <w:tabs>
          <w:tab w:leader="none" w:pos="252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Officer Certificate</w:t>
      </w:r>
      <w:r>
        <w:rPr>
          <w:rFonts w:ascii="Times New Roman" w:cs="Times New Roman" w:eastAsia="Times New Roman" w:hAnsi="Times New Roman"/>
          <w:sz w:val="20"/>
          <w:szCs w:val="20"/>
          <w:color w:val="auto"/>
        </w:rPr>
        <w:t>. A certificate of a senior officer of the Purchaser certifying as to (A) authorizing resolutions of the Purchaser’s board of directors, (B) the incumbency of the Purchaser’s officers executing the Documents on behalf of the Purchaser, and (C) the good standing or existence of the Purchaser in its jurisdiction of formation.</w:t>
      </w:r>
    </w:p>
    <w:p>
      <w:pPr>
        <w:spacing w:after="0" w:line="18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20"/>
          <w:szCs w:val="20"/>
          <w:b w:val="1"/>
          <w:bCs w:val="1"/>
          <w:color w:val="auto"/>
        </w:rPr>
        <w:t>Conditions to Closing</w:t>
      </w:r>
    </w:p>
    <w:p>
      <w:pPr>
        <w:spacing w:after="0" w:line="194" w:lineRule="exact"/>
        <w:rPr>
          <w:sz w:val="20"/>
          <w:szCs w:val="20"/>
          <w:color w:val="auto"/>
        </w:rPr>
      </w:pPr>
    </w:p>
    <w:p>
      <w:pPr>
        <w:ind w:left="140" w:right="20" w:firstLine="749"/>
        <w:spacing w:after="0" w:line="269" w:lineRule="auto"/>
        <w:rPr>
          <w:sz w:val="20"/>
          <w:szCs w:val="20"/>
          <w:color w:val="auto"/>
        </w:rPr>
      </w:pPr>
      <w:r>
        <w:rPr>
          <w:rFonts w:ascii="Times New Roman" w:cs="Times New Roman" w:eastAsia="Times New Roman" w:hAnsi="Times New Roman"/>
          <w:sz w:val="20"/>
          <w:szCs w:val="20"/>
          <w:color w:val="auto"/>
        </w:rPr>
        <w:t>3.1</w:t>
      </w:r>
      <w:r>
        <w:rPr>
          <w:rFonts w:ascii="Times New Roman" w:cs="Times New Roman" w:eastAsia="Times New Roman" w:hAnsi="Times New Roman"/>
          <w:sz w:val="20"/>
          <w:szCs w:val="20"/>
          <w:u w:val="single" w:color="auto"/>
          <w:color w:val="auto"/>
        </w:rPr>
        <w:t>Conditions to the Obligations of All Parties</w:t>
      </w:r>
      <w:r>
        <w:rPr>
          <w:rFonts w:ascii="Times New Roman" w:cs="Times New Roman" w:eastAsia="Times New Roman" w:hAnsi="Times New Roman"/>
          <w:sz w:val="20"/>
          <w:szCs w:val="20"/>
          <w:color w:val="auto"/>
        </w:rPr>
        <w:t>. The obligations of the Parties to consummate the Closing are subject to the satisfaction of the following conditions as of the Closing Date:</w:t>
      </w:r>
    </w:p>
    <w:p>
      <w:pPr>
        <w:spacing w:after="0" w:line="146" w:lineRule="exact"/>
        <w:rPr>
          <w:sz w:val="20"/>
          <w:szCs w:val="20"/>
          <w:color w:val="auto"/>
        </w:rPr>
      </w:pPr>
    </w:p>
    <w:p>
      <w:pPr>
        <w:jc w:val="both"/>
        <w:ind w:left="740" w:right="20" w:firstLine="1419"/>
        <w:spacing w:after="0" w:line="254" w:lineRule="auto"/>
        <w:tabs>
          <w:tab w:leader="none" w:pos="252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judgment, decree or order will have been entered by any Governmental Authority which would prevent the performance of this Agreement or the consummation of the Closing or any of the transactions contemplated hereby, declare unlawful the transactions contemplated by this Agreement or cause such transactions to be rescinded; and</w:t>
      </w:r>
    </w:p>
    <w:p>
      <w:pPr>
        <w:spacing w:after="0" w:line="66" w:lineRule="exact"/>
        <w:rPr>
          <w:rFonts w:ascii="Times New Roman" w:cs="Times New Roman" w:eastAsia="Times New Roman" w:hAnsi="Times New Roman"/>
          <w:sz w:val="20"/>
          <w:szCs w:val="20"/>
          <w:color w:val="auto"/>
        </w:rPr>
      </w:pPr>
    </w:p>
    <w:p>
      <w:pPr>
        <w:ind w:left="2680" w:hanging="521"/>
        <w:spacing w:after="0"/>
        <w:tabs>
          <w:tab w:leader="none" w:pos="26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will not have been terminated in accordance with Section 10.1.</w:t>
      </w:r>
    </w:p>
    <w:p>
      <w:pPr>
        <w:spacing w:after="0" w:line="200" w:lineRule="exact"/>
        <w:rPr>
          <w:sz w:val="20"/>
          <w:szCs w:val="20"/>
          <w:color w:val="auto"/>
        </w:rPr>
      </w:pPr>
    </w:p>
    <w:p>
      <w:pPr>
        <w:spacing w:after="0" w:line="245" w:lineRule="exact"/>
        <w:rPr>
          <w:sz w:val="20"/>
          <w:szCs w:val="20"/>
          <w:color w:val="auto"/>
        </w:rPr>
      </w:pPr>
    </w:p>
    <w:p>
      <w:pPr>
        <w:ind w:left="140" w:right="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Conditions to the Obligations of Purchaser</w:t>
      </w:r>
      <w:r>
        <w:rPr>
          <w:rFonts w:ascii="Times New Roman" w:cs="Times New Roman" w:eastAsia="Times New Roman" w:hAnsi="Times New Roman"/>
          <w:sz w:val="20"/>
          <w:szCs w:val="20"/>
          <w:color w:val="auto"/>
        </w:rPr>
        <w:t>. The obligation of the Purchaser to consummate the Closing is subject to the satisfaction, or waiver in writing by Purchaser, of the following conditions as of the Closing Date:</w:t>
      </w:r>
    </w:p>
    <w:p>
      <w:pPr>
        <w:spacing w:after="0" w:line="159" w:lineRule="exact"/>
        <w:rPr>
          <w:sz w:val="20"/>
          <w:szCs w:val="20"/>
          <w:color w:val="auto"/>
        </w:rPr>
      </w:pPr>
    </w:p>
    <w:p>
      <w:pPr>
        <w:jc w:val="both"/>
        <w:ind w:left="740" w:firstLine="1404"/>
        <w:spacing w:after="0" w:line="246" w:lineRule="auto"/>
        <w:tabs>
          <w:tab w:leader="none" w:pos="2523"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Each of the representations and warranties of Seller and Rocelo contained (other than Fundamental Representations), respectively, will be true and correct in all material respects as of the Closing Date (except to the extent any such representation and warranty expressly relates to an earlier date (in which case as of such earlier date)), and (ii) the Fundamental Representations of Seller will be true and correct in all respects as of the Closing Date (except to the extent any such representation and warranty expressly relates to an earlier date (in which case as of such earlier date));</w:t>
      </w:r>
    </w:p>
    <w:p>
      <w:pPr>
        <w:spacing w:after="0" w:line="76" w:lineRule="exact"/>
        <w:rPr>
          <w:rFonts w:ascii="Times New Roman" w:cs="Times New Roman" w:eastAsia="Times New Roman" w:hAnsi="Times New Roman"/>
          <w:sz w:val="20"/>
          <w:szCs w:val="20"/>
          <w:color w:val="auto"/>
        </w:rPr>
      </w:pPr>
    </w:p>
    <w:p>
      <w:pPr>
        <w:ind w:left="740" w:right="20" w:firstLine="1419"/>
        <w:spacing w:after="0" w:line="267" w:lineRule="auto"/>
        <w:tabs>
          <w:tab w:leader="none" w:pos="252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and Rocelo will have performed in all material respects all of the covenants and agreements required to be performed by them under this Agreement at or prior to the Closing;</w:t>
      </w:r>
    </w:p>
    <w:p>
      <w:pPr>
        <w:spacing w:after="0" w:line="1" w:lineRule="exact"/>
        <w:rPr>
          <w:rFonts w:ascii="Times New Roman" w:cs="Times New Roman" w:eastAsia="Times New Roman" w:hAnsi="Times New Roman"/>
          <w:sz w:val="20"/>
          <w:szCs w:val="20"/>
          <w:color w:val="auto"/>
        </w:rPr>
      </w:pPr>
    </w:p>
    <w:p>
      <w:pPr>
        <w:ind w:left="2680" w:hanging="521"/>
        <w:spacing w:after="0"/>
        <w:tabs>
          <w:tab w:leader="none" w:pos="268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Material Consents will have been obtained; and</w:t>
      </w:r>
    </w:p>
    <w:p>
      <w:pPr>
        <w:spacing w:after="0" w:line="107" w:lineRule="exact"/>
        <w:rPr>
          <w:rFonts w:ascii="Times New Roman" w:cs="Times New Roman" w:eastAsia="Times New Roman" w:hAnsi="Times New Roman"/>
          <w:sz w:val="20"/>
          <w:szCs w:val="20"/>
          <w:color w:val="auto"/>
        </w:rPr>
      </w:pPr>
    </w:p>
    <w:p>
      <w:pPr>
        <w:jc w:val="both"/>
        <w:ind w:left="740" w:right="20" w:firstLine="1419"/>
        <w:spacing w:after="0" w:line="254" w:lineRule="auto"/>
        <w:tabs>
          <w:tab w:leader="none" w:pos="252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the date of this Agreement to the Closing Date, there shall not have been a Material Adverse Effect and no event, circumstance or condition shall have occurred that could reasonably be expected to have a Material Adverse Effect.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512445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14" w:name="page15"/>
    <w:bookmarkEnd w:id="14"/>
    <w:p>
      <w:pPr>
        <w:spacing w:after="0" w:line="135" w:lineRule="exact"/>
        <w:rPr>
          <w:sz w:val="20"/>
          <w:szCs w:val="20"/>
          <w:color w:val="auto"/>
        </w:rPr>
      </w:pPr>
    </w:p>
    <w:p>
      <w:pPr>
        <w:ind w:left="140" w:right="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Conditions to the Obligations of Seller</w:t>
      </w:r>
      <w:r>
        <w:rPr>
          <w:rFonts w:ascii="Times New Roman" w:cs="Times New Roman" w:eastAsia="Times New Roman" w:hAnsi="Times New Roman"/>
          <w:sz w:val="20"/>
          <w:szCs w:val="20"/>
          <w:color w:val="auto"/>
        </w:rPr>
        <w:t>. The obligation of the Purchaser to consummate the Closing is subject to the satisfaction, or waiver in writing by Seller, of the following conditions as of the Closing Date:</w:t>
      </w:r>
    </w:p>
    <w:p>
      <w:pPr>
        <w:spacing w:after="0" w:line="159" w:lineRule="exact"/>
        <w:rPr>
          <w:sz w:val="20"/>
          <w:szCs w:val="20"/>
          <w:color w:val="auto"/>
        </w:rPr>
      </w:pPr>
    </w:p>
    <w:p>
      <w:pPr>
        <w:jc w:val="both"/>
        <w:ind w:left="740" w:firstLine="1404"/>
        <w:spacing w:after="0" w:line="246" w:lineRule="auto"/>
        <w:tabs>
          <w:tab w:leader="none" w:pos="2523"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Each of the representations and warranties of Purchaser contained (other than Fundamental Representations), respectively, will be true and correct in all material respects as of the Closing Date (except to the extent any such representation and warranty expressly relates to an earlier date (in which case as of such earlier date)), and (ii) the Fundamental Representations of Purchaser will be true and correct in all respects as of the Closing Date (except to the extent any such representation and warranty expressly relates to an earlier date (in which case as of such earlier date)); and</w:t>
      </w:r>
    </w:p>
    <w:p>
      <w:pPr>
        <w:spacing w:after="0" w:line="76" w:lineRule="exact"/>
        <w:rPr>
          <w:rFonts w:ascii="Times New Roman" w:cs="Times New Roman" w:eastAsia="Times New Roman" w:hAnsi="Times New Roman"/>
          <w:sz w:val="20"/>
          <w:szCs w:val="20"/>
          <w:color w:val="auto"/>
        </w:rPr>
      </w:pPr>
    </w:p>
    <w:p>
      <w:pPr>
        <w:ind w:left="740" w:right="20" w:firstLine="1419"/>
        <w:spacing w:after="0" w:line="269" w:lineRule="auto"/>
        <w:tabs>
          <w:tab w:leader="none" w:pos="252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Purchaser will have performed in all material respects all of the covenants and agreements required to be performed by them under this Agreement at or prior to the Closing.</w:t>
      </w:r>
    </w:p>
    <w:p>
      <w:pPr>
        <w:spacing w:after="0" w:line="16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0"/>
          <w:szCs w:val="20"/>
          <w:b w:val="1"/>
          <w:bCs w:val="1"/>
          <w:color w:val="auto"/>
        </w:rPr>
        <w:t>Representations and Warranties Regarding Seller</w:t>
      </w:r>
    </w:p>
    <w:p>
      <w:pPr>
        <w:spacing w:after="0" w:line="194" w:lineRule="exact"/>
        <w:rPr>
          <w:sz w:val="20"/>
          <w:szCs w:val="20"/>
          <w:color w:val="auto"/>
        </w:rPr>
      </w:pPr>
    </w:p>
    <w:p>
      <w:pPr>
        <w:jc w:val="both"/>
        <w:ind w:left="740" w:right="20" w:firstLine="749"/>
        <w:spacing w:after="0" w:line="245" w:lineRule="auto"/>
        <w:rPr>
          <w:sz w:val="20"/>
          <w:szCs w:val="20"/>
          <w:color w:val="auto"/>
        </w:rPr>
      </w:pPr>
      <w:r>
        <w:rPr>
          <w:rFonts w:ascii="Times New Roman" w:cs="Times New Roman" w:eastAsia="Times New Roman" w:hAnsi="Times New Roman"/>
          <w:sz w:val="20"/>
          <w:szCs w:val="20"/>
          <w:color w:val="auto"/>
        </w:rPr>
        <w:t>As a material inducement to Purchaser to enter into this Agreement and to consummate the transactions contemplated hereby, the Seller hereby represents and warrants to Purchaser that the following representations and warranties are true and correct as of the date hereof, except as set forth in the disclosure schedule delivered by the Seller to the Purchase (the “</w:t>
      </w:r>
      <w:r>
        <w:rPr>
          <w:rFonts w:ascii="Times New Roman" w:cs="Times New Roman" w:eastAsia="Times New Roman" w:hAnsi="Times New Roman"/>
          <w:sz w:val="20"/>
          <w:szCs w:val="20"/>
          <w:u w:val="single" w:color="auto"/>
          <w:color w:val="auto"/>
        </w:rPr>
        <w:t>Disclosure Schedule</w:t>
      </w:r>
      <w:r>
        <w:rPr>
          <w:rFonts w:ascii="Times New Roman" w:cs="Times New Roman" w:eastAsia="Times New Roman" w:hAnsi="Times New Roman"/>
          <w:sz w:val="20"/>
          <w:szCs w:val="20"/>
          <w:color w:val="auto"/>
        </w:rPr>
        <w:t xml:space="preserve">”). The Disclosure Schedule shall be arranged corresponding to the numbered and lettered sections and subsections contained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respectively, and the disclosures in any section or subsection of the Disclosure Schedule shall qualify only the corresponding section or subsection, unless otherwise specified.</w:t>
      </w:r>
    </w:p>
    <w:p>
      <w:pPr>
        <w:spacing w:after="0" w:line="184" w:lineRule="exact"/>
        <w:rPr>
          <w:sz w:val="20"/>
          <w:szCs w:val="20"/>
          <w:color w:val="auto"/>
        </w:rPr>
      </w:pPr>
    </w:p>
    <w:p>
      <w:pPr>
        <w:ind w:left="880"/>
        <w:spacing w:after="0"/>
        <w:tabs>
          <w:tab w:leader="none" w:pos="162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9"/>
          <w:szCs w:val="19"/>
          <w:u w:val="single" w:color="auto"/>
          <w:color w:val="auto"/>
        </w:rPr>
        <w:t>Organization; Authority; No Breach</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40" w:right="20" w:firstLine="1494"/>
        <w:spacing w:after="0" w:line="246" w:lineRule="auto"/>
        <w:tabs>
          <w:tab w:leader="none" w:pos="2526"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is duly organized, validly existing and in good standing under the Laws of its jurisdiction of formation and is qualified to do business in every jurisdiction in which the failure to be so qualified would be material to the Seller. Seller possesses all requisite corporate power and authority necessary to own and operate its properties, to carry on its Business and to carry out the transactions contemplated by this Agreement. Seller is not in default under or in violation of any provision of its Organizational Documents.</w:t>
      </w:r>
    </w:p>
    <w:p>
      <w:pPr>
        <w:spacing w:after="0" w:line="184" w:lineRule="exact"/>
        <w:rPr>
          <w:rFonts w:ascii="Times New Roman" w:cs="Times New Roman" w:eastAsia="Times New Roman" w:hAnsi="Times New Roman"/>
          <w:sz w:val="20"/>
          <w:szCs w:val="20"/>
          <w:color w:val="auto"/>
        </w:rPr>
      </w:pPr>
    </w:p>
    <w:p>
      <w:pPr>
        <w:jc w:val="both"/>
        <w:ind w:left="740" w:right="20" w:firstLine="1494"/>
        <w:spacing w:after="0" w:line="243" w:lineRule="auto"/>
        <w:tabs>
          <w:tab w:leader="none" w:pos="2526"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Seller’s execution, delivery and performance of the Documents and all other agreements and instruments contemplated thereby have been duly authorized by other Person whose authorization and/or approval is required for such execution, delivery and performance. The Documents and all other agreements or instruments contemplated thereby, when executed and delivered by Seller, in accordance with the terms thereof, shall each constitute a valid and binding obligation of the Seller, enforceable in accordance with its terms, in each case subject to the effect of any applicable bankruptcy, reorganization, insolvency, moratorium or similar laws affecting creditors’ rights generally and subject, as to enforceability, to the effect of general principles of equity (regardless of whether such enforceability is considered in a proceeding in equity or at law).</w:t>
      </w:r>
    </w:p>
    <w:p>
      <w:pPr>
        <w:spacing w:after="0" w:line="40" w:lineRule="exact"/>
        <w:rPr>
          <w:rFonts w:ascii="Times New Roman" w:cs="Times New Roman" w:eastAsia="Times New Roman" w:hAnsi="Times New Roman"/>
          <w:sz w:val="20"/>
          <w:szCs w:val="20"/>
          <w:color w:val="auto"/>
        </w:rPr>
      </w:pPr>
    </w:p>
    <w:p>
      <w:pPr>
        <w:jc w:val="both"/>
        <w:ind w:left="740" w:right="20" w:firstLine="1494"/>
        <w:spacing w:after="0" w:line="254" w:lineRule="auto"/>
        <w:tabs>
          <w:tab w:leader="none" w:pos="2526"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is not required to give any notice to, make any filing with, or obtain any authorization, consent, or approval of any Governmental Authority in connection with the consummation of the transactions contemplated by this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15" w:name="page16"/>
    <w:bookmarkEnd w:id="15"/>
    <w:p>
      <w:pPr>
        <w:spacing w:after="0" w:line="135" w:lineRule="exact"/>
        <w:rPr>
          <w:sz w:val="20"/>
          <w:szCs w:val="20"/>
          <w:color w:val="auto"/>
        </w:rPr>
      </w:pPr>
    </w:p>
    <w:p>
      <w:pPr>
        <w:ind w:left="880"/>
        <w:spacing w:after="0"/>
        <w:tabs>
          <w:tab w:leader="none" w:pos="162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u w:val="single" w:color="auto"/>
          <w:color w:val="auto"/>
        </w:rPr>
        <w:t>Financial Statements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40" w:right="20" w:firstLine="1494"/>
        <w:spacing w:after="0" w:line="242" w:lineRule="auto"/>
        <w:tabs>
          <w:tab w:leader="none" w:pos="2526"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has provided to Purchaser true, correct and complete copies of (i) unaudited internal financial statements for the Business for the fiscal year ended December 31, 2024, including a profit and loss statement and a balance sheet, (ii) unaudited internal profit and loss report for the period ending August 31, 2025, and (iii) supporting monthly bank statements for the periods December 2024 through January 2025. All of the foregoing financial statements are hereinafter collectively referred to as the “</w:t>
      </w: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Each of the Financial Statements (including in all cases the notes thereto, if any) (A) is correct and complete in all material respects and has been prepared from, and is in accordance with, the books and records of the Seller (which, in turn, are correct and complete in all material respects), (B) fairly presents the financial condition, assets, liabilities, operating results and cash flows of the Seller for the periods covered thereby and (C) has been prepared in accordance with Brazilian accounting standards, consistently applied throughout such Financial Statements and the periods covered thereby.</w:t>
      </w:r>
    </w:p>
    <w:p>
      <w:pPr>
        <w:spacing w:after="0" w:line="178" w:lineRule="exact"/>
        <w:rPr>
          <w:rFonts w:ascii="Times New Roman" w:cs="Times New Roman" w:eastAsia="Times New Roman" w:hAnsi="Times New Roman"/>
          <w:sz w:val="20"/>
          <w:szCs w:val="20"/>
          <w:color w:val="auto"/>
        </w:rPr>
      </w:pPr>
    </w:p>
    <w:p>
      <w:pPr>
        <w:jc w:val="both"/>
        <w:ind w:left="740" w:firstLine="1494"/>
        <w:spacing w:after="0" w:line="242" w:lineRule="auto"/>
        <w:tabs>
          <w:tab w:leader="none" w:pos="2527"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books and records of the Seller accurately reflect the assets, liabilities, financial condition and results of operations of the Seller in all material respects and have been maintained in accordance with reasonably good business and bookkeeping practices. The Seller maintains and complies in all material respects with a system of accounting controls, consistent with companies of a similar size in their industry, sufficient to provide reasonable assurances that: (i) the Business is operated in accordance with management’s general or specific authorization; (ii) transactions are recorded as necessary to maintain accountability for items therein; (iii) access to properties and assets is permitted only in accordance with management’s general or specific authorization; and (iv) the recorded accountability for items is compared with the actual levels at regular intervals and appropriate actions are taken with respect to any differences. There has never been, to the Knowledge of the Seller, (A) any significant deficiency or weakness in the system of internal accounting controls used by the Seller, (B) any fraud or other wrongdoing that involves any of the management of the Seller or other employees who have a role in the preparation of financial statements or the internal accounting controls used by the Seller or (C) any claim or allegation regarding any of the foregoing.</w:t>
      </w:r>
    </w:p>
    <w:p>
      <w:pPr>
        <w:spacing w:after="0" w:line="183" w:lineRule="exact"/>
        <w:rPr>
          <w:rFonts w:ascii="Times New Roman" w:cs="Times New Roman" w:eastAsia="Times New Roman" w:hAnsi="Times New Roman"/>
          <w:sz w:val="20"/>
          <w:szCs w:val="20"/>
          <w:color w:val="auto"/>
        </w:rPr>
      </w:pPr>
    </w:p>
    <w:p>
      <w:pPr>
        <w:jc w:val="both"/>
        <w:ind w:left="740" w:firstLine="1494"/>
        <w:spacing w:after="0" w:line="261" w:lineRule="auto"/>
        <w:tabs>
          <w:tab w:leader="none" w:pos="2527" w:val="left"/>
        </w:tabs>
        <w:numPr>
          <w:ilvl w:val="1"/>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of the accounts receivable reflected on the Most Recent Balance Sheet are (i) actual and </w:t>
      </w:r>
      <w:r>
        <w:rPr>
          <w:rFonts w:ascii="Times New Roman" w:cs="Times New Roman" w:eastAsia="Times New Roman" w:hAnsi="Times New Roman"/>
          <w:sz w:val="19"/>
          <w:szCs w:val="19"/>
          <w:i w:val="1"/>
          <w:iCs w:val="1"/>
          <w:color w:val="auto"/>
        </w:rPr>
        <w:t>bona fide</w:t>
      </w:r>
      <w:r>
        <w:rPr>
          <w:rFonts w:ascii="Times New Roman" w:cs="Times New Roman" w:eastAsia="Times New Roman" w:hAnsi="Times New Roman"/>
          <w:sz w:val="19"/>
          <w:szCs w:val="19"/>
          <w:color w:val="auto"/>
        </w:rPr>
        <w:t xml:space="preserve"> receivables representing obligations for the total dollar amount thereof shown on the Seller’s books and records which resulted from transactions in the Ordinary Course of Business and in a manner consistent with the Seller’s normal credit practices, and</w:t>
      </w:r>
    </w:p>
    <w:p>
      <w:pPr>
        <w:spacing w:after="0" w:line="1" w:lineRule="exact"/>
        <w:rPr>
          <w:rFonts w:ascii="Times New Roman" w:cs="Times New Roman" w:eastAsia="Times New Roman" w:hAnsi="Times New Roman"/>
          <w:sz w:val="19"/>
          <w:szCs w:val="19"/>
          <w:color w:val="auto"/>
        </w:rPr>
      </w:pPr>
    </w:p>
    <w:p>
      <w:pPr>
        <w:jc w:val="both"/>
        <w:ind w:left="740" w:hanging="3"/>
        <w:spacing w:after="0" w:line="241" w:lineRule="auto"/>
        <w:tabs>
          <w:tab w:leader="none" w:pos="1053"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fully collectible in the Ordinary Course of Business after giving effect to any reserves for doubtful accounts. All of the accounts payable reflected on the Most Recent Balance Sheet arose in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arm’s-length transactions in the Ordinary Course of Business and no such accounts payable is materially delinquent in its payment, and since the date of the Most Recent Balance Sheet, Seller has paid its accounts payable in the Ordinary Course of Business and in a manner which is consistent with its past practices.</w:t>
      </w:r>
    </w:p>
    <w:p>
      <w:pPr>
        <w:spacing w:after="0" w:line="187" w:lineRule="exact"/>
        <w:rPr>
          <w:sz w:val="20"/>
          <w:szCs w:val="20"/>
          <w:color w:val="auto"/>
        </w:rPr>
      </w:pPr>
    </w:p>
    <w:p>
      <w:pPr>
        <w:jc w:val="both"/>
        <w:ind w:left="140" w:right="20" w:firstLine="749"/>
        <w:spacing w:after="0" w:line="249" w:lineRule="auto"/>
        <w:rPr>
          <w:sz w:val="20"/>
          <w:szCs w:val="20"/>
          <w:color w:val="auto"/>
        </w:rPr>
      </w:pPr>
      <w:r>
        <w:rPr>
          <w:rFonts w:ascii="Times New Roman" w:cs="Times New Roman" w:eastAsia="Times New Roman" w:hAnsi="Times New Roman"/>
          <w:sz w:val="20"/>
          <w:szCs w:val="20"/>
          <w:color w:val="auto"/>
        </w:rPr>
        <w:t>4.3</w:t>
      </w:r>
      <w:r>
        <w:rPr>
          <w:rFonts w:ascii="Times New Roman" w:cs="Times New Roman" w:eastAsia="Times New Roman" w:hAnsi="Times New Roman"/>
          <w:sz w:val="20"/>
          <w:szCs w:val="20"/>
          <w:u w:val="single" w:color="auto"/>
          <w:color w:val="auto"/>
        </w:rPr>
        <w:t>Absence of Certain Developments</w:t>
      </w:r>
      <w:r>
        <w:rPr>
          <w:rFonts w:ascii="Times New Roman" w:cs="Times New Roman" w:eastAsia="Times New Roman" w:hAnsi="Times New Roman"/>
          <w:sz w:val="20"/>
          <w:szCs w:val="20"/>
          <w:color w:val="auto"/>
        </w:rPr>
        <w:t>. Since August 1, 2025, there has not been any Material Adverse Effect and, to the Knowledge of the Seller, no event has occurred or circumstances exist that would reasonably be expected to result in a Material Adverse Effect. Except as expressly contemplated by this Agreement, the Seller has conducted the Business in the Ordinary Course of Business.</w:t>
      </w:r>
    </w:p>
    <w:p>
      <w:pPr>
        <w:spacing w:after="0" w:line="166" w:lineRule="exact"/>
        <w:rPr>
          <w:sz w:val="20"/>
          <w:szCs w:val="20"/>
          <w:color w:val="auto"/>
        </w:rPr>
      </w:pPr>
    </w:p>
    <w:p>
      <w:pPr>
        <w:jc w:val="both"/>
        <w:ind w:left="140" w:right="20" w:firstLine="749"/>
        <w:spacing w:after="0" w:line="243"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Assets</w:t>
      </w:r>
      <w:r>
        <w:rPr>
          <w:rFonts w:ascii="Times New Roman" w:cs="Times New Roman" w:eastAsia="Times New Roman" w:hAnsi="Times New Roman"/>
          <w:sz w:val="20"/>
          <w:szCs w:val="20"/>
          <w:color w:val="auto"/>
        </w:rPr>
        <w:t>. Seller has good and valid title to, a valid leasehold interest in, or a valid license to use, the Acquired Assets, free and clear of all Liens, except for (a) inventory disposed of in the Ordinary Course of Business and (b) Permitted Liens. The Acquired Assets constitute all of the property and assets, tangible or intangible (i) owned, leased or licensed by the Seller that are primarily used in the operation of the Business as currently conducted or otherwise related thereto, (ii) necessary and sufficient to conduct the Business in the same manner immediately following the Closing as conducted and proposed to be conducted on and prior to the Closing and (iii) required to generate the historical operating results depicted in the statements of profit and loss included in the Financial Statements. The Seller’s equipment and other tangible assets are in good operating condition (normal wear and tear excepted) and are fit in all material respects for use in the Ordinary Course of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16" w:name="page17"/>
    <w:bookmarkEnd w:id="16"/>
    <w:p>
      <w:pPr>
        <w:spacing w:after="0" w:line="135" w:lineRule="exact"/>
        <w:rPr>
          <w:sz w:val="20"/>
          <w:szCs w:val="20"/>
          <w:color w:val="auto"/>
        </w:rPr>
      </w:pPr>
    </w:p>
    <w:p>
      <w:pPr>
        <w:ind w:left="140"/>
        <w:spacing w:after="0" w:line="269" w:lineRule="auto"/>
        <w:rPr>
          <w:sz w:val="20"/>
          <w:szCs w:val="20"/>
          <w:color w:val="auto"/>
        </w:rPr>
      </w:pPr>
      <w:r>
        <w:rPr>
          <w:rFonts w:ascii="Times New Roman" w:cs="Times New Roman" w:eastAsia="Times New Roman" w:hAnsi="Times New Roman"/>
          <w:sz w:val="20"/>
          <w:szCs w:val="20"/>
          <w:color w:val="auto"/>
        </w:rPr>
        <w:t>The Seller owns, or has a valid leasehold interest in, all properties and assets necessary for the conduct of the Business as presently conducted.</w:t>
      </w:r>
    </w:p>
    <w:p>
      <w:pPr>
        <w:spacing w:after="0" w:line="159" w:lineRule="exact"/>
        <w:rPr>
          <w:sz w:val="20"/>
          <w:szCs w:val="20"/>
          <w:color w:val="auto"/>
        </w:rPr>
      </w:pPr>
    </w:p>
    <w:p>
      <w:pPr>
        <w:ind w:left="880"/>
        <w:spacing w:after="0"/>
        <w:tabs>
          <w:tab w:leader="none" w:pos="162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19"/>
          <w:szCs w:val="19"/>
          <w:u w:val="single" w:color="auto"/>
          <w:color w:val="auto"/>
        </w:rPr>
        <w:t>Tax Matters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40" w:firstLine="1494"/>
        <w:spacing w:after="0" w:line="245" w:lineRule="auto"/>
        <w:tabs>
          <w:tab w:leader="none" w:pos="2526"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(i) has timely paid all Taxes required to be paid by them on or before the date hereof (including all Taxes shown due and owing on any Tax Return) and (ii) has filed or caused to be filed in a timely manner (within any applicable extension periods) all Tax Returns required to be filed by them with the appropriate Governmental Authorities in all jurisdictions in which such Tax Returns are required to be filed (including, for greater certainty, by reason of any activity of the Seller giving rise to a permanent establishment in a foreign jurisdiction), and all such Tax Returns are true, correct and complete in all respects.</w:t>
      </w:r>
    </w:p>
    <w:p>
      <w:pPr>
        <w:spacing w:after="0" w:line="184" w:lineRule="exact"/>
        <w:rPr>
          <w:rFonts w:ascii="Times New Roman" w:cs="Times New Roman" w:eastAsia="Times New Roman" w:hAnsi="Times New Roman"/>
          <w:sz w:val="20"/>
          <w:szCs w:val="20"/>
          <w:color w:val="auto"/>
        </w:rPr>
      </w:pPr>
    </w:p>
    <w:p>
      <w:pPr>
        <w:ind w:left="740" w:firstLine="1494"/>
        <w:spacing w:after="0" w:line="269" w:lineRule="auto"/>
        <w:tabs>
          <w:tab w:leader="none" w:pos="2526"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Liens for Taxes (other than unregistered Liens for Taxes, assessments, or similar charges not yet due and payable) upon any of the assets of the Acquired Assets.</w:t>
      </w:r>
    </w:p>
    <w:p>
      <w:pPr>
        <w:spacing w:after="0" w:line="145" w:lineRule="exact"/>
        <w:rPr>
          <w:rFonts w:ascii="Times New Roman" w:cs="Times New Roman" w:eastAsia="Times New Roman" w:hAnsi="Times New Roman"/>
          <w:sz w:val="20"/>
          <w:szCs w:val="20"/>
          <w:color w:val="auto"/>
        </w:rPr>
      </w:pPr>
    </w:p>
    <w:p>
      <w:pPr>
        <w:jc w:val="both"/>
        <w:ind w:left="740" w:firstLine="1494"/>
        <w:spacing w:after="0" w:line="246" w:lineRule="auto"/>
        <w:tabs>
          <w:tab w:leader="none" w:pos="2526"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has properly (i) collected and remitted sales, use, value added, goods and services and similar Taxes required to be collected and remitted by it and (ii) for all transactions that are exempt from sales, use, value added, goods and services and similar Taxes and that were made without charging or remitting such Taxes, received and retained (and to the extent required, submitted to the appropriate Tax authority) any appropriate Tax exemption certificates and other documentation qualifying such transaction as exempt.</w:t>
      </w:r>
    </w:p>
    <w:p>
      <w:pPr>
        <w:spacing w:after="0" w:line="198" w:lineRule="exact"/>
        <w:rPr>
          <w:rFonts w:ascii="Times New Roman" w:cs="Times New Roman" w:eastAsia="Times New Roman" w:hAnsi="Times New Roman"/>
          <w:sz w:val="20"/>
          <w:szCs w:val="20"/>
          <w:color w:val="auto"/>
        </w:rPr>
      </w:pPr>
    </w:p>
    <w:p>
      <w:pPr>
        <w:ind w:left="740" w:firstLine="1494"/>
        <w:spacing w:after="0" w:line="269" w:lineRule="auto"/>
        <w:tabs>
          <w:tab w:leader="none" w:pos="2526"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has complied in all material respect with the inter-company transfer pricing provisions of each applicable Law relating to Taxes, including the contemporaneous documentation and disclosure requirements thereunder.</w:t>
      </w:r>
    </w:p>
    <w:p>
      <w:pPr>
        <w:spacing w:after="0" w:line="145" w:lineRule="exact"/>
        <w:rPr>
          <w:rFonts w:ascii="Times New Roman" w:cs="Times New Roman" w:eastAsia="Times New Roman" w:hAnsi="Times New Roman"/>
          <w:sz w:val="20"/>
          <w:szCs w:val="20"/>
          <w:color w:val="auto"/>
        </w:rPr>
      </w:pPr>
    </w:p>
    <w:p>
      <w:pPr>
        <w:ind w:left="740" w:firstLine="1494"/>
        <w:spacing w:after="0" w:line="269" w:lineRule="auto"/>
        <w:tabs>
          <w:tab w:leader="none" w:pos="2526"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has, in all material respects, maintained and continue to maintain all books and records required to be maintained under applicable Laws in respect of Taxes.</w:t>
      </w:r>
    </w:p>
    <w:p>
      <w:pPr>
        <w:spacing w:after="0" w:line="159" w:lineRule="exact"/>
        <w:rPr>
          <w:rFonts w:ascii="Times New Roman" w:cs="Times New Roman" w:eastAsia="Times New Roman" w:hAnsi="Times New Roman"/>
          <w:sz w:val="20"/>
          <w:szCs w:val="20"/>
          <w:color w:val="auto"/>
        </w:rPr>
      </w:pPr>
    </w:p>
    <w:p>
      <w:pPr>
        <w:jc w:val="both"/>
        <w:ind w:left="740" w:firstLine="1494"/>
        <w:spacing w:after="0" w:line="249" w:lineRule="auto"/>
        <w:tabs>
          <w:tab w:leader="none" w:pos="2526"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will not be required to include in a taxable period ending after the Closing Date any amount of net taxable income (after taking into account deductions claimed for such a period that relate to a prior period) attributable to income that accrued, or that was required to be reported for financial accounting purposes, in a prior taxable period but that was not included in taxable income for that or another prior taxable period.</w:t>
      </w:r>
    </w:p>
    <w:p>
      <w:pPr>
        <w:spacing w:after="0" w:line="179" w:lineRule="exact"/>
        <w:rPr>
          <w:rFonts w:ascii="Times New Roman" w:cs="Times New Roman" w:eastAsia="Times New Roman" w:hAnsi="Times New Roman"/>
          <w:sz w:val="20"/>
          <w:szCs w:val="20"/>
          <w:color w:val="auto"/>
        </w:rPr>
      </w:pPr>
    </w:p>
    <w:p>
      <w:pPr>
        <w:jc w:val="both"/>
        <w:ind w:left="740" w:firstLine="1494"/>
        <w:spacing w:after="0" w:line="245" w:lineRule="auto"/>
        <w:tabs>
          <w:tab w:leader="none" w:pos="2526"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will not be required to include any item of income in, or exclude any item of deduction from, taxable income for any taxable period (or portion thereof) ending after the Closing Date as a result of any (i) change in method of accounting by Seller prior to the Closing Date for a taxable period ending on or prior to the Closing Date; (ii) installment sale or open transaction disposition made on or prior to the Closing Date; (iii) prepaid amount received or deferred revenue accrued on or prior to the Closing Date, including any income eligible for deferral under any applicable Tax Law; or (iv) any use of an improper method of accounting for a taxable period ending on or prior to the Closing Date.</w:t>
      </w:r>
    </w:p>
    <w:p>
      <w:pPr>
        <w:spacing w:after="0" w:line="35" w:lineRule="exact"/>
        <w:rPr>
          <w:rFonts w:ascii="Times New Roman" w:cs="Times New Roman" w:eastAsia="Times New Roman" w:hAnsi="Times New Roman"/>
          <w:sz w:val="20"/>
          <w:szCs w:val="20"/>
          <w:color w:val="auto"/>
        </w:rPr>
      </w:pPr>
    </w:p>
    <w:p>
      <w:pPr>
        <w:jc w:val="both"/>
        <w:ind w:left="740" w:firstLine="1494"/>
        <w:spacing w:after="0" w:line="249" w:lineRule="auto"/>
        <w:tabs>
          <w:tab w:leader="none" w:pos="2526"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has not received from any Tax authority (including jurisdictions where the Seller has not filed Tax Returns) any, and none of the following are threatened, (A) notice indicating an intent to open an audit or other review, (B) notice of infraction, (C) request for information related to Tax matters, or (D) notice of deficiency or proposed adjustment or notice of reassessment for any amount of Tax proposed, asserted, or assessed by any Tax authority against the Seller.</w:t>
      </w:r>
    </w:p>
    <w:p>
      <w:pPr>
        <w:spacing w:after="0" w:line="179" w:lineRule="exact"/>
        <w:rPr>
          <w:rFonts w:ascii="Times New Roman" w:cs="Times New Roman" w:eastAsia="Times New Roman" w:hAnsi="Times New Roman"/>
          <w:sz w:val="20"/>
          <w:szCs w:val="20"/>
          <w:color w:val="auto"/>
        </w:rPr>
      </w:pPr>
    </w:p>
    <w:p>
      <w:pPr>
        <w:ind w:left="2980" w:hanging="746"/>
        <w:spacing w:after="0"/>
        <w:tabs>
          <w:tab w:leader="none" w:pos="29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Tax authority has initiated any audit, review or Action in respect of Seller.</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40" w:right="719" w:bottom="1440" w:gutter="0" w:footer="0" w:header="0"/>
        </w:sectPr>
      </w:pPr>
    </w:p>
    <w:bookmarkStart w:id="17" w:name="page18"/>
    <w:bookmarkEnd w:id="17"/>
    <w:p>
      <w:pPr>
        <w:spacing w:after="0" w:line="135" w:lineRule="exact"/>
        <w:rPr>
          <w:sz w:val="20"/>
          <w:szCs w:val="20"/>
          <w:color w:val="auto"/>
        </w:rPr>
      </w:pPr>
    </w:p>
    <w:p>
      <w:pPr>
        <w:jc w:val="both"/>
        <w:ind w:left="740" w:right="20" w:firstLine="1494"/>
        <w:spacing w:after="0" w:line="254" w:lineRule="auto"/>
        <w:tabs>
          <w:tab w:leader="none" w:pos="252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facts, circumstances, acts, omissions, events, transactions, or series of events or transactions occurring wholly or partly on or before the Closing Date, that could, or are likely to, give rise to any discussions, audits, assertions, or claims in respect of Taxes of Seller.</w:t>
      </w:r>
    </w:p>
    <w:p>
      <w:pPr>
        <w:spacing w:after="0" w:line="174" w:lineRule="exact"/>
        <w:rPr>
          <w:rFonts w:ascii="Times New Roman" w:cs="Times New Roman" w:eastAsia="Times New Roman" w:hAnsi="Times New Roman"/>
          <w:sz w:val="20"/>
          <w:szCs w:val="20"/>
          <w:color w:val="auto"/>
        </w:rPr>
      </w:pPr>
    </w:p>
    <w:p>
      <w:pPr>
        <w:jc w:val="both"/>
        <w:ind w:left="740" w:right="20" w:firstLine="1494"/>
        <w:spacing w:after="0" w:line="254" w:lineRule="auto"/>
        <w:tabs>
          <w:tab w:leader="none" w:pos="252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is not, and has not been, subject to Tax in any jurisdiction other than their respective countries of incorporation, or formation by virtue of having a permanent establishment or other place of business or taxable presence in any country other than the country under the Laws of which Seller is organized.</w:t>
      </w:r>
    </w:p>
    <w:p>
      <w:pPr>
        <w:spacing w:after="0" w:line="174" w:lineRule="exact"/>
        <w:rPr>
          <w:sz w:val="20"/>
          <w:szCs w:val="20"/>
          <w:color w:val="auto"/>
        </w:rPr>
      </w:pPr>
    </w:p>
    <w:p>
      <w:pPr>
        <w:ind w:left="880"/>
        <w:spacing w:after="0"/>
        <w:tabs>
          <w:tab w:leader="none" w:pos="1620" w:val="left"/>
        </w:tabs>
        <w:rPr>
          <w:sz w:val="20"/>
          <w:szCs w:val="20"/>
          <w:color w:val="auto"/>
        </w:rPr>
      </w:pPr>
      <w:r>
        <w:rPr>
          <w:rFonts w:ascii="Times New Roman" w:cs="Times New Roman" w:eastAsia="Times New Roman" w:hAnsi="Times New Roman"/>
          <w:sz w:val="20"/>
          <w:szCs w:val="20"/>
          <w:color w:val="auto"/>
        </w:rPr>
        <w:t>4.6</w:t>
      </w:r>
      <w:r>
        <w:rPr>
          <w:sz w:val="20"/>
          <w:szCs w:val="20"/>
          <w:color w:val="auto"/>
        </w:rPr>
        <w:tab/>
      </w:r>
      <w:r>
        <w:rPr>
          <w:rFonts w:ascii="Times New Roman" w:cs="Times New Roman" w:eastAsia="Times New Roman" w:hAnsi="Times New Roman"/>
          <w:sz w:val="19"/>
          <w:szCs w:val="19"/>
          <w:u w:val="single" w:color="auto"/>
          <w:color w:val="auto"/>
        </w:rPr>
        <w:t>Contracts and Commitments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740" w:firstLine="1494"/>
        <w:spacing w:after="0" w:line="269" w:lineRule="auto"/>
        <w:tabs>
          <w:tab w:leader="none" w:pos="2527"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Section 4.6(a)</w:t>
      </w:r>
      <w:r>
        <w:rPr>
          <w:rFonts w:ascii="Times New Roman" w:cs="Times New Roman" w:eastAsia="Times New Roman" w:hAnsi="Times New Roman"/>
          <w:sz w:val="20"/>
          <w:szCs w:val="20"/>
          <w:color w:val="auto"/>
        </w:rPr>
        <w:t xml:space="preserve"> of the Disclosure Schedule (specifying the particular subsection below to which any such disclosure relates), Seller is not a party to nor bound by any written or oral:</w:t>
      </w:r>
    </w:p>
    <w:p>
      <w:pPr>
        <w:spacing w:after="0" w:line="145" w:lineRule="exact"/>
        <w:rPr>
          <w:rFonts w:ascii="Times New Roman" w:cs="Times New Roman" w:eastAsia="Times New Roman" w:hAnsi="Times New Roman"/>
          <w:sz w:val="20"/>
          <w:szCs w:val="20"/>
          <w:color w:val="auto"/>
        </w:rPr>
      </w:pPr>
    </w:p>
    <w:p>
      <w:pPr>
        <w:jc w:val="both"/>
        <w:ind w:left="1740" w:right="20" w:firstLine="1498"/>
        <w:spacing w:after="0" w:line="249" w:lineRule="auto"/>
        <w:tabs>
          <w:tab w:leader="none" w:pos="354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pension, profit-sharing, option, employee stock purchase or other plan or arrangement providing for deferred or other compensation to employees or any other Benefit Plan, arrangement or practice, whether formal or informal, or any Contract related to any of the foregoing (including any contract with any service provider with respect to any such plan, arrangement or practice);</w:t>
      </w:r>
    </w:p>
    <w:p>
      <w:pPr>
        <w:spacing w:after="0" w:line="179" w:lineRule="exact"/>
        <w:rPr>
          <w:rFonts w:ascii="Times New Roman" w:cs="Times New Roman" w:eastAsia="Times New Roman" w:hAnsi="Times New Roman"/>
          <w:sz w:val="20"/>
          <w:szCs w:val="20"/>
          <w:color w:val="auto"/>
        </w:rPr>
      </w:pPr>
    </w:p>
    <w:p>
      <w:pPr>
        <w:ind w:left="1740" w:right="20" w:firstLine="1498"/>
        <w:spacing w:after="0" w:line="269" w:lineRule="auto"/>
        <w:tabs>
          <w:tab w:leader="none" w:pos="354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collective bargaining agreement or any other Contract with any trade union or other labour organization, or severance agreements, programs, policies or arrangements;</w:t>
      </w:r>
    </w:p>
    <w:p>
      <w:pPr>
        <w:spacing w:after="0" w:line="159" w:lineRule="exact"/>
        <w:rPr>
          <w:sz w:val="20"/>
          <w:szCs w:val="20"/>
          <w:color w:val="auto"/>
        </w:rPr>
      </w:pPr>
    </w:p>
    <w:p>
      <w:pPr>
        <w:jc w:val="both"/>
        <w:ind w:left="1740" w:right="20" w:firstLine="1498"/>
        <w:spacing w:after="0" w:line="243" w:lineRule="auto"/>
        <w:rPr>
          <w:sz w:val="20"/>
          <w:szCs w:val="20"/>
          <w:color w:val="auto"/>
        </w:rPr>
      </w:pPr>
      <w:r>
        <w:rPr>
          <w:rFonts w:ascii="Times New Roman" w:cs="Times New Roman" w:eastAsia="Times New Roman" w:hAnsi="Times New Roman"/>
          <w:sz w:val="20"/>
          <w:szCs w:val="20"/>
          <w:color w:val="auto"/>
        </w:rPr>
        <w:t>(iii)active management agreement, consulting agreement, Employee leasing agreement or Contract for or relating to the employment or services of any officer, individual employee, Independent Contractor or other Person on a full-time, part-time, consulting or other basis, or any other arrangement or understanding (A) providing for the payment of any cash or other compensation or benefits upon the consummation of the transactions contemplated hereby, (B) containing any restrictive covenants or similar obligations to the benefit of Seller or (C) restricting its ability to terminate the employment or services of any Employee or Independent Contractor within 30 days' notice for any lawful reason or for no reason without penalty or liability as permitted by Laws;</w:t>
      </w:r>
    </w:p>
    <w:p>
      <w:pPr>
        <w:spacing w:after="0" w:line="189" w:lineRule="exact"/>
        <w:rPr>
          <w:sz w:val="20"/>
          <w:szCs w:val="20"/>
          <w:color w:val="auto"/>
        </w:rPr>
      </w:pPr>
    </w:p>
    <w:p>
      <w:pPr>
        <w:jc w:val="both"/>
        <w:ind w:left="1740" w:right="20" w:firstLine="1498"/>
        <w:spacing w:after="0" w:line="254" w:lineRule="auto"/>
        <w:rPr>
          <w:sz w:val="20"/>
          <w:szCs w:val="20"/>
          <w:color w:val="auto"/>
        </w:rPr>
      </w:pPr>
      <w:r>
        <w:rPr>
          <w:rFonts w:ascii="Times New Roman" w:cs="Times New Roman" w:eastAsia="Times New Roman" w:hAnsi="Times New Roman"/>
          <w:sz w:val="20"/>
          <w:szCs w:val="20"/>
          <w:color w:val="auto"/>
        </w:rPr>
        <w:t>(iv)Contract or indenture relating to borrowed money or other Indebtedness or the mortgaging, pledging or otherwise placing a Lien on any material asset or material group of assets of the Seller or any letter of credit arrangements, or any guarantee therefor;</w:t>
      </w:r>
    </w:p>
    <w:p>
      <w:pPr>
        <w:spacing w:after="0" w:line="161" w:lineRule="exact"/>
        <w:rPr>
          <w:sz w:val="20"/>
          <w:szCs w:val="20"/>
          <w:color w:val="auto"/>
        </w:rPr>
      </w:pPr>
    </w:p>
    <w:p>
      <w:pPr>
        <w:jc w:val="both"/>
        <w:ind w:left="1740" w:right="20" w:firstLine="1498"/>
        <w:spacing w:after="0" w:line="249" w:lineRule="auto"/>
        <w:tabs>
          <w:tab w:leader="none" w:pos="35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 or Contract under which Seller is (A) lessee of or holds or operates any personal property, owned by any other party, except for any lease of personal property under which the aggregate annual rental payments do not exceed $50,000 or (B) lessor of or permits any third party to hold or operate any property, real or personal, owned or controlled by Seller;</w:t>
      </w:r>
    </w:p>
    <w:p>
      <w:pPr>
        <w:spacing w:after="0" w:line="45" w:lineRule="exact"/>
        <w:rPr>
          <w:sz w:val="20"/>
          <w:szCs w:val="20"/>
          <w:color w:val="auto"/>
        </w:rPr>
      </w:pPr>
    </w:p>
    <w:p>
      <w:pPr>
        <w:jc w:val="both"/>
        <w:ind w:left="1740" w:right="20" w:firstLine="1498"/>
        <w:spacing w:after="0" w:line="249" w:lineRule="auto"/>
        <w:rPr>
          <w:sz w:val="20"/>
          <w:szCs w:val="20"/>
          <w:color w:val="auto"/>
        </w:rPr>
      </w:pPr>
      <w:r>
        <w:rPr>
          <w:rFonts w:ascii="Times New Roman" w:cs="Times New Roman" w:eastAsia="Times New Roman" w:hAnsi="Times New Roman"/>
          <w:sz w:val="20"/>
          <w:szCs w:val="20"/>
          <w:color w:val="auto"/>
        </w:rPr>
        <w:t>(vi)other Contract or group of related Contracts with the same party or group of affiliated parties that involves payments over the life thereof by or to the Seller in excess of $50,000 per year or $200,000 in the aggregate, or which are not terminable by Seller upon 30 days’ or less notice without premium, penalty or any Liability;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18" w:name="page19"/>
    <w:bookmarkEnd w:id="18"/>
    <w:p>
      <w:pPr>
        <w:spacing w:after="0" w:line="135" w:lineRule="exact"/>
        <w:rPr>
          <w:sz w:val="20"/>
          <w:szCs w:val="20"/>
          <w:color w:val="auto"/>
        </w:rPr>
      </w:pPr>
    </w:p>
    <w:p>
      <w:pPr>
        <w:jc w:val="both"/>
        <w:ind w:left="1740" w:right="20" w:firstLine="1498"/>
        <w:spacing w:after="0" w:line="254" w:lineRule="auto"/>
        <w:rPr>
          <w:sz w:val="20"/>
          <w:szCs w:val="20"/>
          <w:color w:val="auto"/>
        </w:rPr>
      </w:pPr>
      <w:r>
        <w:rPr>
          <w:rFonts w:ascii="Times New Roman" w:cs="Times New Roman" w:eastAsia="Times New Roman" w:hAnsi="Times New Roman"/>
          <w:sz w:val="20"/>
          <w:szCs w:val="20"/>
          <w:color w:val="auto"/>
        </w:rPr>
        <w:t>(vii)Contract with a customer of Seller which (x) contains any term which deviates in a way that is materially adverse to Seller, (y) contains any additional term that is materially adverse to Seller or (z) omits any term beneficial to Seller and such omission is materially adverse to Seller;</w:t>
      </w:r>
    </w:p>
    <w:p>
      <w:pPr>
        <w:spacing w:after="0" w:line="174" w:lineRule="exact"/>
        <w:rPr>
          <w:sz w:val="20"/>
          <w:szCs w:val="20"/>
          <w:color w:val="auto"/>
        </w:rPr>
      </w:pPr>
    </w:p>
    <w:p>
      <w:pPr>
        <w:jc w:val="both"/>
        <w:ind w:left="1740" w:right="20" w:firstLine="1498"/>
        <w:spacing w:after="0" w:line="269" w:lineRule="auto"/>
        <w:rPr>
          <w:sz w:val="20"/>
          <w:szCs w:val="20"/>
          <w:color w:val="auto"/>
        </w:rPr>
      </w:pPr>
      <w:r>
        <w:rPr>
          <w:rFonts w:ascii="Times New Roman" w:cs="Times New Roman" w:eastAsia="Times New Roman" w:hAnsi="Times New Roman"/>
          <w:sz w:val="20"/>
          <w:szCs w:val="20"/>
          <w:color w:val="auto"/>
        </w:rPr>
        <w:t>(viii)Contract relating to the ownership of, Investments in or loans and advances to any Person, including Investments in joint ventures and minority equity investments;</w:t>
      </w:r>
    </w:p>
    <w:p>
      <w:pPr>
        <w:spacing w:after="0" w:line="159" w:lineRule="exact"/>
        <w:rPr>
          <w:sz w:val="20"/>
          <w:szCs w:val="20"/>
          <w:color w:val="auto"/>
        </w:rPr>
      </w:pPr>
    </w:p>
    <w:p>
      <w:pPr>
        <w:jc w:val="both"/>
        <w:ind w:left="1740" w:firstLine="1498"/>
        <w:spacing w:after="0" w:line="249" w:lineRule="auto"/>
        <w:rPr>
          <w:sz w:val="20"/>
          <w:szCs w:val="20"/>
          <w:color w:val="auto"/>
        </w:rPr>
      </w:pPr>
      <w:r>
        <w:rPr>
          <w:rFonts w:ascii="Times New Roman" w:cs="Times New Roman" w:eastAsia="Times New Roman" w:hAnsi="Times New Roman"/>
          <w:sz w:val="20"/>
          <w:szCs w:val="20"/>
          <w:color w:val="auto"/>
        </w:rPr>
        <w:t>(ix)Inbound License (except for Inbound licenses that are non-exclusive end user licenses of commercially available off-the-shelf software subject to “shrink-wrap” or “click-wrap” license agreements solely for Seller’s internal use and with a total replacement cost of less than $10,000, annually, that is not embedded in or used to provide Company Products, and is not modified or distributed by Seller);</w:t>
      </w:r>
    </w:p>
    <w:p>
      <w:pPr>
        <w:spacing w:after="0" w:line="180" w:lineRule="exact"/>
        <w:rPr>
          <w:sz w:val="20"/>
          <w:szCs w:val="20"/>
          <w:color w:val="auto"/>
        </w:rPr>
      </w:pPr>
    </w:p>
    <w:p>
      <w:pPr>
        <w:jc w:val="both"/>
        <w:ind w:left="1740" w:right="20" w:firstLine="1498"/>
        <w:spacing w:after="0" w:line="249" w:lineRule="auto"/>
        <w:tabs>
          <w:tab w:leader="none" w:pos="35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Outbound License (other than licenses for the Company Products licensed to customers on a non-exclusive basis in the Ordinary Course of Business pursuant to a Contract that is no less protective of Seller, in a material respect for liability coverage, than the Seller’s standard form of customer Contract made available to Purchaser);</w:t>
      </w:r>
    </w:p>
    <w:p>
      <w:pPr>
        <w:spacing w:after="0" w:line="179" w:lineRule="exact"/>
        <w:rPr>
          <w:rFonts w:ascii="Times New Roman" w:cs="Times New Roman" w:eastAsia="Times New Roman" w:hAnsi="Times New Roman"/>
          <w:sz w:val="20"/>
          <w:szCs w:val="20"/>
          <w:color w:val="auto"/>
        </w:rPr>
      </w:pPr>
    </w:p>
    <w:p>
      <w:pPr>
        <w:ind w:left="3980" w:hanging="742"/>
        <w:spacing w:after="0"/>
        <w:tabs>
          <w:tab w:leader="none" w:pos="39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 for the development, assignment or transfer of Intellectual Property;</w:t>
      </w:r>
    </w:p>
    <w:p>
      <w:pPr>
        <w:spacing w:after="0" w:line="216" w:lineRule="exact"/>
        <w:rPr>
          <w:sz w:val="20"/>
          <w:szCs w:val="20"/>
          <w:color w:val="auto"/>
        </w:rPr>
      </w:pPr>
    </w:p>
    <w:p>
      <w:pPr>
        <w:jc w:val="both"/>
        <w:ind w:left="1740" w:right="20" w:firstLine="1498"/>
        <w:spacing w:after="0" w:line="254" w:lineRule="auto"/>
        <w:rPr>
          <w:sz w:val="20"/>
          <w:szCs w:val="20"/>
          <w:color w:val="auto"/>
        </w:rPr>
      </w:pPr>
      <w:r>
        <w:rPr>
          <w:rFonts w:ascii="Times New Roman" w:cs="Times New Roman" w:eastAsia="Times New Roman" w:hAnsi="Times New Roman"/>
          <w:sz w:val="20"/>
          <w:szCs w:val="20"/>
          <w:color w:val="auto"/>
        </w:rPr>
        <w:t>(xii)Contract whereby Seller has intended to resolve an actual or potential dispute relating to Intellectual Property, including settlement agreements or covenants not to assert, any waiver or release of any rights to Intellectual Property or coexistence agreements;</w:t>
      </w:r>
    </w:p>
    <w:p>
      <w:pPr>
        <w:spacing w:after="0" w:line="161" w:lineRule="exact"/>
        <w:rPr>
          <w:sz w:val="20"/>
          <w:szCs w:val="20"/>
          <w:color w:val="auto"/>
        </w:rPr>
      </w:pPr>
    </w:p>
    <w:p>
      <w:pPr>
        <w:jc w:val="both"/>
        <w:ind w:left="1740" w:right="20" w:firstLine="1498"/>
        <w:spacing w:after="0" w:line="254" w:lineRule="auto"/>
        <w:rPr>
          <w:sz w:val="20"/>
          <w:szCs w:val="20"/>
          <w:color w:val="auto"/>
        </w:rPr>
      </w:pPr>
      <w:r>
        <w:rPr>
          <w:rFonts w:ascii="Times New Roman" w:cs="Times New Roman" w:eastAsia="Times New Roman" w:hAnsi="Times New Roman"/>
          <w:sz w:val="20"/>
          <w:szCs w:val="20"/>
          <w:color w:val="auto"/>
        </w:rPr>
        <w:t>(xiii)Contract prohibiting it from engaging in any business, including any oral or written arrangement to not conduct business with any other Person as a result of conducting business with a current or prospective client, or restricting Seller from soliciting or hiring any Person;</w:t>
      </w:r>
    </w:p>
    <w:p>
      <w:pPr>
        <w:spacing w:after="0" w:line="174" w:lineRule="exact"/>
        <w:rPr>
          <w:sz w:val="20"/>
          <w:szCs w:val="20"/>
          <w:color w:val="auto"/>
        </w:rPr>
      </w:pPr>
    </w:p>
    <w:p>
      <w:pPr>
        <w:jc w:val="both"/>
        <w:ind w:left="1740" w:right="20" w:firstLine="1498"/>
        <w:spacing w:after="0" w:line="269" w:lineRule="auto"/>
        <w:rPr>
          <w:sz w:val="20"/>
          <w:szCs w:val="20"/>
          <w:color w:val="auto"/>
        </w:rPr>
      </w:pPr>
      <w:r>
        <w:rPr>
          <w:rFonts w:ascii="Times New Roman" w:cs="Times New Roman" w:eastAsia="Times New Roman" w:hAnsi="Times New Roman"/>
          <w:sz w:val="20"/>
          <w:szCs w:val="20"/>
          <w:color w:val="auto"/>
        </w:rPr>
        <w:t>(xiv)Contract or commitment for the purchase by Seller of machinery, equipment or other personal property for an amount in excess of $50,000;</w:t>
      </w:r>
    </w:p>
    <w:p>
      <w:pPr>
        <w:spacing w:after="0" w:line="159" w:lineRule="exact"/>
        <w:rPr>
          <w:sz w:val="20"/>
          <w:szCs w:val="20"/>
          <w:color w:val="auto"/>
        </w:rPr>
      </w:pPr>
    </w:p>
    <w:p>
      <w:pPr>
        <w:jc w:val="both"/>
        <w:ind w:left="1740" w:right="20" w:firstLine="1498"/>
        <w:spacing w:after="0" w:line="274" w:lineRule="auto"/>
        <w:rPr>
          <w:sz w:val="20"/>
          <w:szCs w:val="20"/>
          <w:color w:val="auto"/>
        </w:rPr>
      </w:pPr>
      <w:r>
        <w:rPr>
          <w:rFonts w:ascii="Times New Roman" w:cs="Times New Roman" w:eastAsia="Times New Roman" w:hAnsi="Times New Roman"/>
          <w:sz w:val="19"/>
          <w:szCs w:val="19"/>
          <w:color w:val="auto"/>
        </w:rPr>
        <w:t>(xv)Contract that provides any customer or other business relation of the Seller with pricing, discounts or benefits that change based on the pricing, discounts or benefits offered to other customers or business relations of Seller, including, without limitation, any agreement containing “most favored nation” provisions;</w:t>
      </w:r>
    </w:p>
    <w:p>
      <w:pPr>
        <w:spacing w:after="0" w:line="156" w:lineRule="exact"/>
        <w:rPr>
          <w:sz w:val="20"/>
          <w:szCs w:val="20"/>
          <w:color w:val="auto"/>
        </w:rPr>
      </w:pPr>
    </w:p>
    <w:p>
      <w:pPr>
        <w:jc w:val="both"/>
        <w:ind w:left="1740" w:right="20" w:firstLine="1498"/>
        <w:spacing w:after="0" w:line="254" w:lineRule="auto"/>
        <w:rPr>
          <w:sz w:val="20"/>
          <w:szCs w:val="20"/>
          <w:color w:val="auto"/>
        </w:rPr>
      </w:pPr>
      <w:r>
        <w:rPr>
          <w:rFonts w:ascii="Times New Roman" w:cs="Times New Roman" w:eastAsia="Times New Roman" w:hAnsi="Times New Roman"/>
          <w:sz w:val="20"/>
          <w:szCs w:val="20"/>
          <w:color w:val="auto"/>
        </w:rPr>
        <w:t>(xvi)any settlement, conciliation or similar Contract with any Person or pursuant to which Seller will be required to satisfy any monetary or material non-monetary obligations after the date of this Agreement;</w:t>
      </w:r>
    </w:p>
    <w:p>
      <w:pPr>
        <w:spacing w:after="0" w:line="174" w:lineRule="exact"/>
        <w:rPr>
          <w:sz w:val="20"/>
          <w:szCs w:val="20"/>
          <w:color w:val="auto"/>
        </w:rPr>
      </w:pPr>
    </w:p>
    <w:p>
      <w:pPr>
        <w:jc w:val="both"/>
        <w:ind w:left="1740" w:right="20" w:firstLine="1498"/>
        <w:spacing w:after="0" w:line="269" w:lineRule="auto"/>
        <w:rPr>
          <w:sz w:val="20"/>
          <w:szCs w:val="20"/>
          <w:color w:val="auto"/>
        </w:rPr>
      </w:pPr>
      <w:r>
        <w:rPr>
          <w:rFonts w:ascii="Times New Roman" w:cs="Times New Roman" w:eastAsia="Times New Roman" w:hAnsi="Times New Roman"/>
          <w:sz w:val="20"/>
          <w:szCs w:val="20"/>
          <w:color w:val="auto"/>
        </w:rPr>
        <w:t>(xvii)Contract for the disposition of any material assets or business of Seller or any agreement for the acquisition of any material assets or business of any other Person;</w:t>
      </w:r>
    </w:p>
    <w:p>
      <w:pPr>
        <w:spacing w:after="0" w:line="11" w:lineRule="exact"/>
        <w:rPr>
          <w:sz w:val="20"/>
          <w:szCs w:val="20"/>
          <w:color w:val="auto"/>
        </w:rPr>
      </w:pPr>
    </w:p>
    <w:p>
      <w:pPr>
        <w:jc w:val="both"/>
        <w:ind w:left="1740" w:right="20" w:firstLine="1498"/>
        <w:spacing w:after="0" w:line="269" w:lineRule="auto"/>
        <w:rPr>
          <w:sz w:val="20"/>
          <w:szCs w:val="20"/>
          <w:color w:val="auto"/>
        </w:rPr>
      </w:pPr>
      <w:r>
        <w:rPr>
          <w:rFonts w:ascii="Times New Roman" w:cs="Times New Roman" w:eastAsia="Times New Roman" w:hAnsi="Times New Roman"/>
          <w:sz w:val="20"/>
          <w:szCs w:val="20"/>
          <w:color w:val="auto"/>
        </w:rPr>
        <w:t>(xviii)any agreement contemplating indemnity with any customer of Seller under which Seller is obligated to indemnify such Person against product warranty or infringement;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19" w:name="page20"/>
    <w:bookmarkEnd w:id="19"/>
    <w:p>
      <w:pPr>
        <w:spacing w:after="0" w:line="135" w:lineRule="exact"/>
        <w:rPr>
          <w:sz w:val="20"/>
          <w:szCs w:val="20"/>
          <w:color w:val="auto"/>
        </w:rPr>
      </w:pPr>
    </w:p>
    <w:p>
      <w:pPr>
        <w:jc w:val="both"/>
        <w:ind w:left="1740" w:right="20" w:firstLine="1498"/>
        <w:spacing w:after="0" w:line="269" w:lineRule="auto"/>
        <w:rPr>
          <w:sz w:val="20"/>
          <w:szCs w:val="20"/>
          <w:color w:val="auto"/>
        </w:rPr>
      </w:pPr>
      <w:r>
        <w:rPr>
          <w:rFonts w:ascii="Times New Roman" w:cs="Times New Roman" w:eastAsia="Times New Roman" w:hAnsi="Times New Roman"/>
          <w:sz w:val="20"/>
          <w:szCs w:val="20"/>
          <w:color w:val="auto"/>
        </w:rPr>
        <w:t>(xix)Contract or order between Seller and a Governmental Authority or between Seller as a subcontractor (at any tier) in connection with a Contract between another Person and a Governmental Authority;</w:t>
      </w:r>
    </w:p>
    <w:p>
      <w:pPr>
        <w:spacing w:after="0" w:line="159" w:lineRule="exact"/>
        <w:rPr>
          <w:sz w:val="20"/>
          <w:szCs w:val="20"/>
          <w:color w:val="auto"/>
        </w:rPr>
      </w:pPr>
    </w:p>
    <w:p>
      <w:pPr>
        <w:jc w:val="both"/>
        <w:ind w:left="1740" w:right="20" w:firstLine="1498"/>
        <w:spacing w:after="0" w:line="254" w:lineRule="auto"/>
        <w:rPr>
          <w:sz w:val="20"/>
          <w:szCs w:val="20"/>
          <w:color w:val="auto"/>
        </w:rPr>
      </w:pPr>
      <w:r>
        <w:rPr>
          <w:rFonts w:ascii="Times New Roman" w:cs="Times New Roman" w:eastAsia="Times New Roman" w:hAnsi="Times New Roman"/>
          <w:sz w:val="20"/>
          <w:szCs w:val="20"/>
          <w:color w:val="auto"/>
        </w:rPr>
        <w:t>(xx)warranty Contract with respect to Seller’s services rendered or their products sold, leased or licensed which contains terms and conditions that differ in any material respect from standard warranty terms and conditions provided to customers of Seller at the time of entering into such Contracts; or</w:t>
      </w:r>
    </w:p>
    <w:p>
      <w:pPr>
        <w:spacing w:after="0" w:line="161" w:lineRule="exact"/>
        <w:rPr>
          <w:sz w:val="20"/>
          <w:szCs w:val="20"/>
          <w:color w:val="auto"/>
        </w:rPr>
      </w:pPr>
    </w:p>
    <w:p>
      <w:pPr>
        <w:ind w:left="3980" w:hanging="742"/>
        <w:spacing w:after="0"/>
        <w:tabs>
          <w:tab w:leader="none" w:pos="398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with a Material Customer or Material Vendor.</w:t>
      </w:r>
    </w:p>
    <w:p>
      <w:pPr>
        <w:spacing w:after="0" w:line="215" w:lineRule="exact"/>
        <w:rPr>
          <w:rFonts w:ascii="Times New Roman" w:cs="Times New Roman" w:eastAsia="Times New Roman" w:hAnsi="Times New Roman"/>
          <w:sz w:val="20"/>
          <w:szCs w:val="20"/>
          <w:color w:val="auto"/>
        </w:rPr>
      </w:pPr>
    </w:p>
    <w:p>
      <w:pPr>
        <w:jc w:val="both"/>
        <w:ind w:left="740" w:right="20" w:firstLine="1494"/>
        <w:spacing w:after="0" w:line="242" w:lineRule="auto"/>
        <w:tabs>
          <w:tab w:leader="none" w:pos="252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of the Contracts set forth or required to be set forth on </w:t>
      </w:r>
      <w:r>
        <w:rPr>
          <w:rFonts w:ascii="Times New Roman" w:cs="Times New Roman" w:eastAsia="Times New Roman" w:hAnsi="Times New Roman"/>
          <w:sz w:val="20"/>
          <w:szCs w:val="20"/>
          <w:u w:val="single" w:color="auto"/>
          <w:color w:val="auto"/>
        </w:rPr>
        <w:t>Section 4.6(a)</w:t>
      </w:r>
      <w:r>
        <w:rPr>
          <w:rFonts w:ascii="Times New Roman" w:cs="Times New Roman" w:eastAsia="Times New Roman" w:hAnsi="Times New Roman"/>
          <w:sz w:val="20"/>
          <w:szCs w:val="20"/>
          <w:color w:val="auto"/>
        </w:rPr>
        <w:t xml:space="preserve"> of the Disclosure Schedule, the Benefit Plans and the Leases (collectively, the “</w:t>
      </w:r>
      <w:r>
        <w:rPr>
          <w:rFonts w:ascii="Times New Roman" w:cs="Times New Roman" w:eastAsia="Times New Roman" w:hAnsi="Times New Roman"/>
          <w:sz w:val="20"/>
          <w:szCs w:val="20"/>
          <w:u w:val="single" w:color="auto"/>
          <w:color w:val="auto"/>
        </w:rPr>
        <w:t>Material Contracts</w:t>
      </w:r>
      <w:r>
        <w:rPr>
          <w:rFonts w:ascii="Times New Roman" w:cs="Times New Roman" w:eastAsia="Times New Roman" w:hAnsi="Times New Roman"/>
          <w:sz w:val="20"/>
          <w:szCs w:val="20"/>
          <w:color w:val="auto"/>
        </w:rPr>
        <w:t>”) are valid, binding, fully executed and enforceable as to Seller, and to the Knowledge of the Seller, as to the other parties thereto, in accordance with their respective terms, in each case subject to (i) the effect of any applicable bankruptcy, reorganization, insolvency, moratorium or similar laws affecting creditors’ rights generally and (ii) as to enforceability, to the effect of general principles of equity (regardless of whether such enforceability is considered in a proceeding in equity or at law). Seller has performed all obligations required to be performed by them in all material respects and are not in default under or in breach of nor in receipt of any claim of default or breach under any Material Contract, and no event has occurred which with the passage of time or the giving of notice or both would result in a default, breach or event of noncompliance under any Material Contract. To the Knowledge of Seller, there has been no breach or cancellation or anticipated breach or cancellation by the other parties to any Material Contract. Seller has made available to Purchaser true and complete copies of all written Material Contracts and an accurate description of all oral Material Contracts, in each case including all amendments thereto.</w:t>
      </w:r>
    </w:p>
    <w:p>
      <w:pPr>
        <w:spacing w:after="0" w:line="187" w:lineRule="exact"/>
        <w:rPr>
          <w:sz w:val="20"/>
          <w:szCs w:val="20"/>
          <w:color w:val="auto"/>
        </w:rPr>
      </w:pPr>
    </w:p>
    <w:p>
      <w:pPr>
        <w:ind w:left="880"/>
        <w:spacing w:after="0"/>
        <w:tabs>
          <w:tab w:leader="none" w:pos="1620" w:val="left"/>
        </w:tabs>
        <w:rPr>
          <w:sz w:val="20"/>
          <w:szCs w:val="20"/>
          <w:color w:val="auto"/>
        </w:rPr>
      </w:pPr>
      <w:r>
        <w:rPr>
          <w:rFonts w:ascii="Times New Roman" w:cs="Times New Roman" w:eastAsia="Times New Roman" w:hAnsi="Times New Roman"/>
          <w:sz w:val="20"/>
          <w:szCs w:val="20"/>
          <w:color w:val="auto"/>
        </w:rPr>
        <w:t>4.7</w:t>
      </w:r>
      <w:r>
        <w:rPr>
          <w:sz w:val="20"/>
          <w:szCs w:val="20"/>
          <w:color w:val="auto"/>
        </w:rPr>
        <w:tab/>
      </w:r>
      <w:r>
        <w:rPr>
          <w:rFonts w:ascii="Times New Roman" w:cs="Times New Roman" w:eastAsia="Times New Roman" w:hAnsi="Times New Roman"/>
          <w:sz w:val="19"/>
          <w:szCs w:val="19"/>
          <w:u w:val="single" w:color="auto"/>
          <w:color w:val="auto"/>
        </w:rPr>
        <w:t>Intellectual Property, Privacy and Data Security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40" w:right="20" w:firstLine="1494"/>
        <w:spacing w:after="0" w:line="242" w:lineRule="auto"/>
        <w:tabs>
          <w:tab w:leader="none" w:pos="252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4.7(a)(i)</w:t>
      </w:r>
      <w:r>
        <w:rPr>
          <w:rFonts w:ascii="Times New Roman" w:cs="Times New Roman" w:eastAsia="Times New Roman" w:hAnsi="Times New Roman"/>
          <w:sz w:val="20"/>
          <w:szCs w:val="20"/>
          <w:color w:val="auto"/>
        </w:rPr>
        <w:t xml:space="preserve"> of the Disclosure Schedule contains a complete and accurate list of all Registered Intellectual Property (specifying the owner thereof and the jurisdiction in which such item has been issued, registered or filed and the applicable issuance, grant, registration or serial number(s) and related dates, as applicable, and any actions that must be taken within 90 days of the date of the Closing to preserve such item, including the payment of any registration, maintenance or renewal fees or the filing of any documents, applications or certificates). All Registered Intellectual Property: is in full force and effect; is valid, subsisting and enforceable; is up to date on all registration, maintenance and renewal fees currently due and no such registration, maintenance and renewal fees are currently outstanding; and has been obtained and maintained in compliance with all applicable rules, policies and procedures of the applicable Governmental Authorities. No third party has any ownership right, title or interest in or to, or claim to, or Lien on, any of the Registered Intellectual Property, and Seller has obtained a waiver of moral rights in respect of any copyright works.</w:t>
      </w:r>
    </w:p>
    <w:p>
      <w:pPr>
        <w:spacing w:after="0" w:line="192" w:lineRule="exact"/>
        <w:rPr>
          <w:rFonts w:ascii="Times New Roman" w:cs="Times New Roman" w:eastAsia="Times New Roman" w:hAnsi="Times New Roman"/>
          <w:sz w:val="20"/>
          <w:szCs w:val="20"/>
          <w:color w:val="auto"/>
        </w:rPr>
      </w:pPr>
    </w:p>
    <w:p>
      <w:pPr>
        <w:jc w:val="both"/>
        <w:ind w:left="740" w:firstLine="1494"/>
        <w:spacing w:after="0" w:line="242" w:lineRule="auto"/>
        <w:tabs>
          <w:tab w:leader="none" w:pos="2527"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solely and exclusively owns all right, title and interest (including the sole right to enforce) in and to the Owned Intellectual Property free and clear of all Liens except for Permitted Liens. In respect of the Owned Intellectual Property, Seller has obtained a waiver of moral rights from any and all authors of copyright works. Seller lawfully owns, or otherwise have sufficient rights to, all Company Intellectual Property to conduct the Business in the manner in which it is currently being conducted. All Owned Intellectual Property is fully transferable, alienable and licensable by Seller without restriction and without payment of any kind to any third party and without approval of any third party. The execution of this Agreement and the consummation of the transactions contemplated hereby will not result in the loss or impairment of any of the Company Intellectual Property, or give rise to any right of any Person to terminate any rights under any License, charge additional fees under any License or exercise any new or additional rights under any Company Intellectual Property. No funding, facilities or personnel of any educational institution or Governmental Authorities were used, directly or indirectly, to develop or create, in whole or in part, any Owned Intellectual Property.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512445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20" w:name="page21"/>
    <w:bookmarkEnd w:id="20"/>
    <w:p>
      <w:pPr>
        <w:spacing w:after="0" w:line="135" w:lineRule="exact"/>
        <w:rPr>
          <w:sz w:val="20"/>
          <w:szCs w:val="20"/>
          <w:color w:val="auto"/>
        </w:rPr>
      </w:pPr>
    </w:p>
    <w:p>
      <w:pPr>
        <w:jc w:val="both"/>
        <w:ind w:left="740" w:firstLine="1494"/>
        <w:spacing w:after="0" w:line="242" w:lineRule="auto"/>
        <w:tabs>
          <w:tab w:leader="none" w:pos="2527"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no time during the conception of or reduction to practice of any of the Owned Intellectual Property was the Seller or, to the Knowledge of the Seller, any developer, inventor or other contributor to such Owned Intellectual Property (i) operating under any grants from any R&amp;D Sponsor, (ii) performing (directly or indirectly) research sponsored by any R&amp;D Sponsor or (iii) subject to any employment agreement, consulting or professional offer letter or invention assignment or non-disclosure agreement or other obligation with any third party that could adversely affect the Seller’s rights in, or give any such third party rights in or to, such Owned Intellectual Property, other than rights to use the Owned Intellectual Property for the sole benefit of Seller. Without limiting the foregoing, no developer, inventor or other contributor to any Owned Intellectual Property was employed by or has performed services for any R&amp;D Sponsor during the period of time during which such developer, inventor or other contributor was also performing services for Seller or during the 12 month period immediately prior to his or her employment or engagement with Seller. No R&amp;D Sponsor has any claim of, right or license to, ownership of or other Lien on any Company Intellectual Property.</w:t>
      </w:r>
    </w:p>
    <w:p>
      <w:pPr>
        <w:spacing w:after="0" w:line="189" w:lineRule="exact"/>
        <w:rPr>
          <w:rFonts w:ascii="Times New Roman" w:cs="Times New Roman" w:eastAsia="Times New Roman" w:hAnsi="Times New Roman"/>
          <w:sz w:val="20"/>
          <w:szCs w:val="20"/>
          <w:color w:val="auto"/>
        </w:rPr>
      </w:pPr>
    </w:p>
    <w:p>
      <w:pPr>
        <w:jc w:val="both"/>
        <w:ind w:left="740" w:firstLine="1494"/>
        <w:spacing w:after="0" w:line="242" w:lineRule="auto"/>
        <w:tabs>
          <w:tab w:leader="none" w:pos="2527"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Company Products (including the use thereof), Company Intellectual Property and the conduct of the Business do not violate, infringe (directly, contributorily, by inducement, or otherwise) or misappropriate any Intellectual Property of any Person (and have not previously done so). There is no past, pending or threatened Action involving any Company Intellectual Property (including any Actions contesting the validity, use, ownership or enforceability of any of the Company Intellectual Property), Company Product or the conduct of the Business, or alleging that any of the foregoing infringes, misappropriates or otherwise violates the rights of any Person, nor are there any facts or circumstances that might reasonably serve as the basis for any such Action; and Seller has not received any of the following: any notice that they must license or refrain from using any Intellectual Property or any offer by any other Person to license any Intellectual Property to Seller. To the Knowledge of the Seller, no Person is infringing, misappropriating or otherwise violating or conflicting with any Company Intellectual Property, and no Person has previously done any of the foregoing</w:t>
      </w:r>
    </w:p>
    <w:p>
      <w:pPr>
        <w:spacing w:after="0" w:line="192" w:lineRule="exact"/>
        <w:rPr>
          <w:rFonts w:ascii="Times New Roman" w:cs="Times New Roman" w:eastAsia="Times New Roman" w:hAnsi="Times New Roman"/>
          <w:sz w:val="20"/>
          <w:szCs w:val="20"/>
          <w:color w:val="auto"/>
        </w:rPr>
      </w:pPr>
    </w:p>
    <w:p>
      <w:pPr>
        <w:jc w:val="both"/>
        <w:ind w:left="740" w:firstLine="1494"/>
        <w:spacing w:after="0" w:line="258" w:lineRule="auto"/>
        <w:tabs>
          <w:tab w:leader="none" w:pos="2527"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Licenses are in full force and effect and are valid, binding and enforceable against all parties thereto in accordance with their terms; and, to the Knowledge of the Seller, there is no event or condition that is or will result in a breach, default or violation thereunder (with or without due notice or lapse of time or both) by any party thereto; and, Seller has not received notice of any such breach, default or violation. There are no royalties, honoraria, fees or other payments payable by Seller to any Person (other than employment salaries to Employees, or fees and other consideration payable to Independent Contractors not contingent on or related to use of such Independent Contractors' work product developed on behalf of Seller) as a result of the ownership, use, possession, license-in, license-out, distribution, deployment, development, support, maintenance, provision, marketing, sale or other exploitation of any Company Product or Company Intellectual Property.</w:t>
      </w:r>
    </w:p>
    <w:p>
      <w:pPr>
        <w:spacing w:after="0" w:line="173" w:lineRule="exact"/>
        <w:rPr>
          <w:rFonts w:ascii="Times New Roman" w:cs="Times New Roman" w:eastAsia="Times New Roman" w:hAnsi="Times New Roman"/>
          <w:sz w:val="19"/>
          <w:szCs w:val="19"/>
          <w:color w:val="auto"/>
        </w:rPr>
      </w:pPr>
    </w:p>
    <w:p>
      <w:pPr>
        <w:jc w:val="both"/>
        <w:ind w:left="740" w:right="20" w:firstLine="1494"/>
        <w:spacing w:after="0" w:line="246" w:lineRule="auto"/>
        <w:tabs>
          <w:tab w:leader="none" w:pos="252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has taken all actions reasonably necessary and all actions common in the industry to maintain and protect all of the Company Intellectual Property, including the secrecy, confidentiality and value of Trade Secrets owned or held by Seller. Seller has not disclosed any confidential Company Intellectual Property (including the source code to any Company Products) to any third party other than pursuant to a written confidentiality agreement pursuant to which such third party agrees to protect such confidential information. There has been no breach of confidentiality by Seller or any third party.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21" w:name="page22"/>
    <w:bookmarkEnd w:id="21"/>
    <w:p>
      <w:pPr>
        <w:spacing w:after="0" w:line="108" w:lineRule="exact"/>
        <w:rPr>
          <w:sz w:val="20"/>
          <w:szCs w:val="20"/>
          <w:color w:val="auto"/>
        </w:rPr>
      </w:pPr>
    </w:p>
    <w:p>
      <w:pPr>
        <w:jc w:val="both"/>
        <w:ind w:left="740" w:right="20" w:firstLine="1494"/>
        <w:spacing w:after="0" w:line="242" w:lineRule="auto"/>
        <w:tabs>
          <w:tab w:leader="none" w:pos="252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present or former employee, officer or Independent Contractor of Seller has any ownership, license or other right, title or interest in any Company Intellectual Property or any improvements, modifications, or derivative works thereof or thereto. Each current and former employee, officer and Independent Contractor of Seller who is or has been involved in the development (alone or with others) of any Intellectual Property by or for Seller, or has or previously had access to any Trade Secrets owned or held by Seller, has executed and delivered to Seller written a Contract that: (i) assigns to the Seller, without any obligation of payment, all right, title and interest in and to any such Intellectual Property, including waiver of any and all moral rights in respect of any copyright works, and (ii) reasonably protects such Trade Secrets. No present or former employee, officer or Independent Contractor of Seller is in violation of any such Contract. None of the Contracts of the Seller (including any Contract for the performance of professional services by or on behalf of Seller) obligates Seller to develop any Intellectual Property (including any elements of any Company Products) for any third party (including any customer or end user), or confers upon any Person other than the Seller any ownership right, exclusive license or other exclusive right with respect to any Intellectual Property developed or delivered in connection with such Contract.</w:t>
      </w:r>
    </w:p>
    <w:p>
      <w:pPr>
        <w:spacing w:after="0" w:line="187" w:lineRule="exact"/>
        <w:rPr>
          <w:rFonts w:ascii="Times New Roman" w:cs="Times New Roman" w:eastAsia="Times New Roman" w:hAnsi="Times New Roman"/>
          <w:sz w:val="20"/>
          <w:szCs w:val="20"/>
          <w:color w:val="auto"/>
        </w:rPr>
      </w:pPr>
    </w:p>
    <w:p>
      <w:pPr>
        <w:jc w:val="both"/>
        <w:ind w:left="740" w:right="20" w:firstLine="1494"/>
        <w:spacing w:after="0" w:line="246" w:lineRule="auto"/>
        <w:tabs>
          <w:tab w:leader="none" w:pos="252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and have been, no material defects, glitches, or other technical problems in any of the Company Products that would prevent the same from performing substantially in accordance with their contractual requirements, user specifications or functionality descriptions (collectively, “</w:t>
      </w:r>
      <w:r>
        <w:rPr>
          <w:rFonts w:ascii="Times New Roman" w:cs="Times New Roman" w:eastAsia="Times New Roman" w:hAnsi="Times New Roman"/>
          <w:sz w:val="20"/>
          <w:szCs w:val="20"/>
          <w:u w:val="single" w:color="auto"/>
          <w:color w:val="auto"/>
        </w:rPr>
        <w:t>Technical Deficiencies</w:t>
      </w:r>
      <w:r>
        <w:rPr>
          <w:rFonts w:ascii="Times New Roman" w:cs="Times New Roman" w:eastAsia="Times New Roman" w:hAnsi="Times New Roman"/>
          <w:sz w:val="20"/>
          <w:szCs w:val="20"/>
          <w:color w:val="auto"/>
        </w:rPr>
        <w:t>”). There is no Malicious Code in any of the Company Products or the Company Systems, and Seller has not received any complaints from any customers or other business relations related to any Malicious Code or Technical Deficiencies.</w:t>
      </w:r>
    </w:p>
    <w:p>
      <w:pPr>
        <w:spacing w:after="0" w:line="184" w:lineRule="exact"/>
        <w:rPr>
          <w:rFonts w:ascii="Times New Roman" w:cs="Times New Roman" w:eastAsia="Times New Roman" w:hAnsi="Times New Roman"/>
          <w:sz w:val="20"/>
          <w:szCs w:val="20"/>
          <w:color w:val="auto"/>
        </w:rPr>
      </w:pPr>
    </w:p>
    <w:p>
      <w:pPr>
        <w:jc w:val="both"/>
        <w:ind w:left="740" w:right="20" w:firstLine="1494"/>
        <w:spacing w:after="0" w:line="259" w:lineRule="auto"/>
        <w:tabs>
          <w:tab w:leader="none" w:pos="2526"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4.7(i)</w:t>
      </w:r>
      <w:r>
        <w:rPr>
          <w:rFonts w:ascii="Times New Roman" w:cs="Times New Roman" w:eastAsia="Times New Roman" w:hAnsi="Times New Roman"/>
          <w:sz w:val="19"/>
          <w:szCs w:val="19"/>
          <w:color w:val="auto"/>
        </w:rPr>
        <w:t xml:space="preserve"> of the Disclosure Schedule sets forth (i) a list of all Open Source Software that is currently used in, incorporated into, integrated or bundled with any Company Products or otherwise distributed by Seller, and (ii) for each such item of Open Source Software: (A) the name and version number of the applicable license; (B) the distributor or website from which the Open Source Software was obtained; and (C) the manner in which such Open Source Software is used in, incorporated into, integrated or bundled with any Company Products (including, as applicable, the applicable Company Product or Company Products, the manner and extent to which such item of Open Source Software interoperates with any Company Products, such as by static or dynamic linking, inheritance, pipes, files, APIs, function calls, etc.).</w:t>
      </w:r>
    </w:p>
    <w:p>
      <w:pPr>
        <w:spacing w:after="0" w:line="172" w:lineRule="exact"/>
        <w:rPr>
          <w:rFonts w:ascii="Times New Roman" w:cs="Times New Roman" w:eastAsia="Times New Roman" w:hAnsi="Times New Roman"/>
          <w:sz w:val="19"/>
          <w:szCs w:val="19"/>
          <w:color w:val="auto"/>
        </w:rPr>
      </w:pPr>
    </w:p>
    <w:p>
      <w:pPr>
        <w:jc w:val="both"/>
        <w:ind w:left="740" w:firstLine="1494"/>
        <w:spacing w:after="0" w:line="241" w:lineRule="auto"/>
        <w:tabs>
          <w:tab w:leader="none" w:pos="2527"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has Company Systems sufficient for the immediate and anticipated future operation of the Business. Seller has implemented, maintained and tested adequate and commercially reasonable disaster recovery procedures and facilities for the Business and Seller has taken all necessary steps to safeguard and maintain the information technology systems utilized in the operation of the Business. There have been no failures, breakdowns, or continued substandard performance of any Company Systems which have caused the substantial disruption or interruption in or to the use of the Company Systems or the operation of the Business. The Company Systems have not experienced (i) any successful hacking attempts or other security incidents, or (ii) a shutdown for a continuous period of 24 hours or more. Seller has taken all actions necessary to (x) protect the confidentiality, security and integrity of the Company Systems and all Company Data including by implementing industry standard procedures preventing unauthorized use, access, interruption or modification by any Person and the introduction of any bug, virus, worm, malware, Trojan horse or similar disabling code or program (“</w:t>
      </w:r>
      <w:r>
        <w:rPr>
          <w:rFonts w:ascii="Times New Roman" w:cs="Times New Roman" w:eastAsia="Times New Roman" w:hAnsi="Times New Roman"/>
          <w:sz w:val="20"/>
          <w:szCs w:val="20"/>
          <w:u w:val="single" w:color="auto"/>
          <w:color w:val="auto"/>
        </w:rPr>
        <w:t>Malicious Code</w:t>
      </w:r>
      <w:r>
        <w:rPr>
          <w:rFonts w:ascii="Times New Roman" w:cs="Times New Roman" w:eastAsia="Times New Roman" w:hAnsi="Times New Roman"/>
          <w:sz w:val="20"/>
          <w:szCs w:val="20"/>
          <w:color w:val="auto"/>
        </w:rPr>
        <w:t>”), and the taking and storing on site and off site of back-up copies of critical data and (y) ensure that all Company Systems are fully functional and operate and run in a reasonable and efficient business manner in all material respects. Seller has used commercially reasonable efforts to implement security patches and upgrades that are generally available for the Company Systems.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22" w:name="page23"/>
    <w:bookmarkEnd w:id="22"/>
    <w:p>
      <w:pPr>
        <w:spacing w:after="0" w:line="108" w:lineRule="exact"/>
        <w:rPr>
          <w:sz w:val="20"/>
          <w:szCs w:val="20"/>
          <w:color w:val="auto"/>
        </w:rPr>
      </w:pPr>
    </w:p>
    <w:p>
      <w:pPr>
        <w:jc w:val="both"/>
        <w:ind w:left="740" w:right="20" w:firstLine="1494"/>
        <w:spacing w:after="0" w:line="246" w:lineRule="auto"/>
        <w:tabs>
          <w:tab w:leader="none" w:pos="252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(i) exclusively owns and possesses all right, title and interest in and to the Company Product Data free and clear of any restrictions of any nature, including all Intellectual Property embodied in or associated with the underlying Company Product Data, and (ii) has all rights to all of the Company Product Data, including the rights, directly or indirectly, to use or exploit the same in any manner whatsoever, including the rights to publish, reproduce, distribute, license, sell, and create derivative works of the Company Product Data, in whole or in part, anywhere in the world.</w:t>
      </w:r>
    </w:p>
    <w:p>
      <w:pPr>
        <w:spacing w:after="0" w:line="184" w:lineRule="exact"/>
        <w:rPr>
          <w:rFonts w:ascii="Times New Roman" w:cs="Times New Roman" w:eastAsia="Times New Roman" w:hAnsi="Times New Roman"/>
          <w:sz w:val="20"/>
          <w:szCs w:val="20"/>
          <w:color w:val="auto"/>
        </w:rPr>
      </w:pPr>
    </w:p>
    <w:p>
      <w:pPr>
        <w:jc w:val="both"/>
        <w:ind w:left="740" w:right="20" w:firstLine="1494"/>
        <w:spacing w:after="0" w:line="254" w:lineRule="auto"/>
        <w:tabs>
          <w:tab w:leader="none" w:pos="252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is and at all times has been in compliance in all material respects with all applicable Laws pertaining to Seller’s operations and the Company Products and Company Systems, and development and provision of software and services. No Actions are or have been pending or threatened against Seller under any such Laws.</w:t>
      </w:r>
    </w:p>
    <w:p>
      <w:pPr>
        <w:spacing w:after="0" w:line="174" w:lineRule="exact"/>
        <w:rPr>
          <w:sz w:val="20"/>
          <w:szCs w:val="20"/>
          <w:color w:val="auto"/>
        </w:rPr>
      </w:pPr>
    </w:p>
    <w:p>
      <w:pPr>
        <w:jc w:val="both"/>
        <w:ind w:left="740" w:firstLine="1497"/>
        <w:spacing w:after="0" w:line="244" w:lineRule="auto"/>
        <w:rPr>
          <w:sz w:val="20"/>
          <w:szCs w:val="20"/>
          <w:color w:val="auto"/>
        </w:rPr>
      </w:pPr>
      <w:r>
        <w:rPr>
          <w:rFonts w:ascii="Times New Roman" w:cs="Times New Roman" w:eastAsia="Times New Roman" w:hAnsi="Times New Roman"/>
          <w:sz w:val="20"/>
          <w:szCs w:val="20"/>
          <w:color w:val="auto"/>
        </w:rPr>
        <w:t>(m)No Governmental Authority has audited or inspected any Company Product or Company System, other than a Governmental Authority that is a customer of Seller and conducted an audit or inspection solely in its capacity as a potential customer of Seller. Seller has accurately and completely responded to, and fully resolved, all issues, violations or deficiencies raised in any such audits or inspections. Seller has not received notice of any Actions, citations, information requests, warning letters or notices directed to Seller from any Governmental Authority regarding alleged violation of applicable Law or directed to a customer or other business relation of Seller based on its use of any Company Product or Company System.</w:t>
      </w:r>
    </w:p>
    <w:p>
      <w:pPr>
        <w:spacing w:after="0" w:line="186" w:lineRule="exact"/>
        <w:rPr>
          <w:sz w:val="20"/>
          <w:szCs w:val="20"/>
          <w:color w:val="auto"/>
        </w:rPr>
      </w:pPr>
    </w:p>
    <w:p>
      <w:pPr>
        <w:jc w:val="both"/>
        <w:ind w:left="740" w:firstLine="1494"/>
        <w:spacing w:after="0" w:line="246" w:lineRule="auto"/>
        <w:tabs>
          <w:tab w:leader="none" w:pos="252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customers or other business relations of Seller have conducted any audit or inspection of any Company Product or Company System or operations of the Business that identified or noted any material issues, violations or deficiencies. Seller has accurately and completely responded to, and fully resolved, all material issues, violations or deficiencies raised in such audits or inspections. Seller has not received notice of any Actions, notices of deficiencies or notices of breach of contract directed to Seller from any of their customers or other business relations.</w:t>
      </w:r>
    </w:p>
    <w:p>
      <w:pPr>
        <w:spacing w:after="0" w:line="184" w:lineRule="exact"/>
        <w:rPr>
          <w:rFonts w:ascii="Times New Roman" w:cs="Times New Roman" w:eastAsia="Times New Roman" w:hAnsi="Times New Roman"/>
          <w:sz w:val="20"/>
          <w:szCs w:val="20"/>
          <w:color w:val="auto"/>
        </w:rPr>
      </w:pPr>
    </w:p>
    <w:p>
      <w:pPr>
        <w:jc w:val="both"/>
        <w:ind w:left="740" w:right="20" w:firstLine="1494"/>
        <w:spacing w:after="0" w:line="245" w:lineRule="auto"/>
        <w:tabs>
          <w:tab w:leader="none" w:pos="252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is not subject to any obligation arising under any pending or prior administrative, regulatory or other Action, notice of violation letter, or other notice, response or commitment made to or with any Governmental Authority with respect to any Company Product or Company System. Seller has made all notifications, submissions and reports required by any such obligation, and all such notifications, submissions and reports were true, complete and correct in all material respects as of the date of submission to any Governmental Authority. None of Seller, any Company Product or Company System is required to be licensed, registered, credentialed or certified with or by any Governmental Authority.</w:t>
      </w:r>
    </w:p>
    <w:p>
      <w:pPr>
        <w:spacing w:after="0" w:line="184" w:lineRule="exact"/>
        <w:rPr>
          <w:rFonts w:ascii="Times New Roman" w:cs="Times New Roman" w:eastAsia="Times New Roman" w:hAnsi="Times New Roman"/>
          <w:sz w:val="20"/>
          <w:szCs w:val="20"/>
          <w:color w:val="auto"/>
        </w:rPr>
      </w:pPr>
    </w:p>
    <w:p>
      <w:pPr>
        <w:jc w:val="both"/>
        <w:ind w:left="740" w:right="20" w:firstLine="1494"/>
        <w:spacing w:after="0" w:line="249" w:lineRule="auto"/>
        <w:tabs>
          <w:tab w:leader="none" w:pos="252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is, and at all times since its respective incorporations has been in compliance in all material respects with: (i) all Privacy Laws, and in each case, the rules and regulations implemented thereunder; (ii) all Laws related to consumer protection with respect to unauthorized electronic communications; and (iii) all Contracts (or portions thereof) to which Seller is a party that are applicable to Data Treatment (collectively, “</w:t>
      </w:r>
      <w:r>
        <w:rPr>
          <w:rFonts w:ascii="Times New Roman" w:cs="Times New Roman" w:eastAsia="Times New Roman" w:hAnsi="Times New Roman"/>
          <w:sz w:val="20"/>
          <w:szCs w:val="20"/>
          <w:u w:val="single" w:color="auto"/>
          <w:color w:val="auto"/>
        </w:rPr>
        <w:t>Privacy Agreements</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740" w:right="20" w:firstLine="1494"/>
        <w:spacing w:after="0" w:line="243" w:lineRule="auto"/>
        <w:tabs>
          <w:tab w:leader="none" w:pos="252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maintains commercially reasonable policies, procedures, and rules regarding data privacy, protection and security that comply in all material respects with all Data Security Requirements. Seller and the conduct of the Business is and has at all times been in compliance with all Data Security Requirements in all material respects. There has been no actual or alleged (i) unauthorized access to or use, unintended or improper disclosure, or breaches of the security of any Company System, Company Data, Sensitive Information, Personal Information or confidential information collected, maintained, or stored by or on behalf of Seller, (ii) unauthorized access to or collection, use, processing, storage, sharing, distribution, transfer, disclosure, destruction or disposal of Seller trade secrets or other confidential information, or any loss, distribution, compromise or unauthorized disclosure thereof; (iii)</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23" w:name="page24"/>
    <w:bookmarkEnd w:id="23"/>
    <w:p>
      <w:pPr>
        <w:spacing w:after="0" w:line="10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illegal or unauthorized Data Treatment of Sensitive Information or Personal Information conducted by or on behalf of Seller,</w:t>
      </w:r>
    </w:p>
    <w:p>
      <w:pPr>
        <w:spacing w:after="0" w:line="22" w:lineRule="exact"/>
        <w:rPr>
          <w:sz w:val="20"/>
          <w:szCs w:val="20"/>
          <w:color w:val="auto"/>
        </w:rPr>
      </w:pPr>
    </w:p>
    <w:p>
      <w:pPr>
        <w:ind w:left="740" w:hanging="3"/>
        <w:spacing w:after="0" w:line="246" w:lineRule="auto"/>
        <w:tabs>
          <w:tab w:leader="none" w:pos="1083"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breach of any Privacy Agreements by Seller; (v) breach of any Privacy Laws or any other Data Security Requirements by Seller; or (vi) claim from any affected individual that has given rise or may give rise to any liability under Privacy Laws.</w:t>
      </w:r>
    </w:p>
    <w:p>
      <w:pPr>
        <w:spacing w:after="0" w:line="181" w:lineRule="exact"/>
        <w:rPr>
          <w:rFonts w:ascii="Times New Roman" w:cs="Times New Roman" w:eastAsia="Times New Roman" w:hAnsi="Times New Roman"/>
          <w:sz w:val="20"/>
          <w:szCs w:val="20"/>
          <w:color w:val="auto"/>
        </w:rPr>
      </w:pPr>
    </w:p>
    <w:p>
      <w:pPr>
        <w:jc w:val="both"/>
        <w:ind w:left="740" w:firstLine="1494"/>
        <w:spacing w:after="0" w:line="254" w:lineRule="auto"/>
        <w:tabs>
          <w:tab w:leader="none" w:pos="2526"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required by Privacy Laws, Seller has obtained all necessary consents to complete the transactions contemplated by this Agreement and such transactions will not result in any Liabilities in connection with any Data Security Requirements.</w:t>
      </w:r>
    </w:p>
    <w:p>
      <w:pPr>
        <w:spacing w:after="0" w:line="174" w:lineRule="exact"/>
        <w:rPr>
          <w:rFonts w:ascii="Times New Roman" w:cs="Times New Roman" w:eastAsia="Times New Roman" w:hAnsi="Times New Roman"/>
          <w:sz w:val="20"/>
          <w:szCs w:val="20"/>
          <w:color w:val="auto"/>
        </w:rPr>
      </w:pPr>
    </w:p>
    <w:p>
      <w:pPr>
        <w:ind w:left="740" w:firstLine="1494"/>
        <w:spacing w:after="0" w:line="269" w:lineRule="auto"/>
        <w:tabs>
          <w:tab w:leader="none" w:pos="2526"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has implemented privacy and security policies and procedures, performed security risk assessments, penetration testing and such other testing required by applicable Data Security Requirements.</w:t>
      </w:r>
    </w:p>
    <w:p>
      <w:pPr>
        <w:spacing w:after="0" w:line="159" w:lineRule="exact"/>
        <w:rPr>
          <w:rFonts w:ascii="Times New Roman" w:cs="Times New Roman" w:eastAsia="Times New Roman" w:hAnsi="Times New Roman"/>
          <w:sz w:val="20"/>
          <w:szCs w:val="20"/>
          <w:color w:val="auto"/>
        </w:rPr>
      </w:pPr>
    </w:p>
    <w:p>
      <w:pPr>
        <w:jc w:val="both"/>
        <w:ind w:left="740" w:firstLine="1494"/>
        <w:spacing w:after="0" w:line="254" w:lineRule="auto"/>
        <w:tabs>
          <w:tab w:leader="none" w:pos="2526"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has taken reasonable steps to ensure that all Company Data in its possession or control is protected against damage, loss, and against unauthorized access, acquisition, use, modification, disclosure or other misuse, as and to the extent required per applicable Law including all Privacy Laws.</w:t>
      </w:r>
    </w:p>
    <w:p>
      <w:pPr>
        <w:spacing w:after="0" w:line="174" w:lineRule="exact"/>
        <w:rPr>
          <w:rFonts w:ascii="Times New Roman" w:cs="Times New Roman" w:eastAsia="Times New Roman" w:hAnsi="Times New Roman"/>
          <w:sz w:val="20"/>
          <w:szCs w:val="20"/>
          <w:color w:val="auto"/>
        </w:rPr>
      </w:pPr>
    </w:p>
    <w:p>
      <w:pPr>
        <w:ind w:left="740" w:firstLine="1494"/>
        <w:spacing w:after="0" w:line="269" w:lineRule="auto"/>
        <w:tabs>
          <w:tab w:leader="none" w:pos="2526"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has not been required by Privacy Laws to provide notice to an individual or business entity reporting the unauthorized access to or acquisition of Sensitive Data or Personal Information.</w:t>
      </w:r>
    </w:p>
    <w:p>
      <w:pPr>
        <w:spacing w:after="0" w:line="145" w:lineRule="exact"/>
        <w:rPr>
          <w:rFonts w:ascii="Times New Roman" w:cs="Times New Roman" w:eastAsia="Times New Roman" w:hAnsi="Times New Roman"/>
          <w:sz w:val="20"/>
          <w:szCs w:val="20"/>
          <w:color w:val="auto"/>
        </w:rPr>
      </w:pPr>
    </w:p>
    <w:p>
      <w:pPr>
        <w:jc w:val="both"/>
        <w:ind w:left="740" w:firstLine="1494"/>
        <w:spacing w:after="0" w:line="243" w:lineRule="auto"/>
        <w:tabs>
          <w:tab w:leader="none" w:pos="2526"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Systems: (i) are sufficient for the conduct of the Ordinary Course of Business; (ii) are in good working condition to effectively perform all computing, information technology, and data processing operations that are material and necessary for the conduct of the Ordinary Course of Business; (iii) perform in accordance with the applicable documentation and without any defects or interruptions in performance that could not be addressed by available support services; (iv) to the Knowledge of the Seller, have been used in compliance with all applicable Laws; and (v) contain and/or are subject to appropriate and industry-standard security measures that safeguard against the unauthorized use, copying, disclosure, modification, theft, and destruction of, or access to, the Company Systems and any Sensitive Data, Personal Information, Confidential Information or other information, data, or materials stored on or transmitted or otherwise processed by the Company Systems.</w:t>
      </w:r>
    </w:p>
    <w:p>
      <w:pPr>
        <w:spacing w:after="0" w:line="186" w:lineRule="exact"/>
        <w:rPr>
          <w:sz w:val="20"/>
          <w:szCs w:val="20"/>
          <w:color w:val="auto"/>
        </w:rPr>
      </w:pPr>
    </w:p>
    <w:p>
      <w:pPr>
        <w:jc w:val="both"/>
        <w:ind w:left="740" w:firstLine="1497"/>
        <w:spacing w:after="0" w:line="254" w:lineRule="auto"/>
        <w:rPr>
          <w:sz w:val="20"/>
          <w:szCs w:val="20"/>
          <w:color w:val="auto"/>
        </w:rPr>
      </w:pPr>
      <w:r>
        <w:rPr>
          <w:rFonts w:ascii="Times New Roman" w:cs="Times New Roman" w:eastAsia="Times New Roman" w:hAnsi="Times New Roman"/>
          <w:sz w:val="20"/>
          <w:szCs w:val="20"/>
          <w:color w:val="auto"/>
        </w:rPr>
        <w:t>(w)Seller has and maintains back-up systems and disaster recovery and business continuity plans, consistent with current industry practices, designed to ensure the continuing availability of the functionality provided by the Company Systems in the event of any malfunction of, or other form of disaster affecting, any of the Company Systems.</w:t>
      </w:r>
    </w:p>
    <w:p>
      <w:pPr>
        <w:spacing w:after="0" w:line="174" w:lineRule="exact"/>
        <w:rPr>
          <w:sz w:val="20"/>
          <w:szCs w:val="20"/>
          <w:color w:val="auto"/>
        </w:rPr>
      </w:pPr>
    </w:p>
    <w:p>
      <w:pPr>
        <w:jc w:val="both"/>
        <w:ind w:left="140" w:firstLine="749"/>
        <w:spacing w:after="0" w:line="243" w:lineRule="auto"/>
        <w:rPr>
          <w:sz w:val="20"/>
          <w:szCs w:val="20"/>
          <w:color w:val="auto"/>
        </w:rPr>
      </w:pPr>
      <w:r>
        <w:rPr>
          <w:rFonts w:ascii="Times New Roman" w:cs="Times New Roman" w:eastAsia="Times New Roman" w:hAnsi="Times New Roman"/>
          <w:sz w:val="20"/>
          <w:szCs w:val="20"/>
          <w:color w:val="auto"/>
        </w:rPr>
        <w:t>4.8</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Section 4.8(a)</w:t>
      </w:r>
      <w:r>
        <w:rPr>
          <w:rFonts w:ascii="Times New Roman" w:cs="Times New Roman" w:eastAsia="Times New Roman" w:hAnsi="Times New Roman"/>
          <w:sz w:val="20"/>
          <w:szCs w:val="20"/>
          <w:color w:val="auto"/>
        </w:rPr>
        <w:t xml:space="preserve"> of the Disclosure Schedule, there are, and during the past five (5) years have been, no Actions pending or threatened (in writing or, to the Knowledge of the Seller, orally) by or against Seller (or pending or threatened against or affecting any of the officers, directors, managers or employees of Seller related to Seller or their services thereto), at law or in equity, or before or by any Governmental Authority. Seller has not received any notice of, and to the Knowledge of the Seller, there has not been any, accident, happening or event, including any which is caused or allegedly caused by or otherwise involving any services performed in connection with or on behalf of Seller, in each case that could reasonably be expected to result in or serve as a basis for any such Actions or otherwise for any claim or Loss. Seller is not subject to any judgment, order or decree of any court or other Governmental Authority.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40" w:right="719" w:bottom="1440" w:gutter="0" w:footer="0" w:header="0"/>
        </w:sectPr>
      </w:pPr>
    </w:p>
    <w:bookmarkStart w:id="24" w:name="page25"/>
    <w:bookmarkEnd w:id="24"/>
    <w:p>
      <w:pPr>
        <w:ind w:left="880"/>
        <w:spacing w:after="0"/>
        <w:tabs>
          <w:tab w:leader="none" w:pos="1620" w:val="left"/>
        </w:tabs>
        <w:rPr>
          <w:sz w:val="20"/>
          <w:szCs w:val="20"/>
          <w:color w:val="auto"/>
        </w:rPr>
      </w:pPr>
      <w:r>
        <w:rPr>
          <w:rFonts w:ascii="Times New Roman" w:cs="Times New Roman" w:eastAsia="Times New Roman" w:hAnsi="Times New Roman"/>
          <w:sz w:val="20"/>
          <w:szCs w:val="20"/>
          <w:color w:val="auto"/>
        </w:rPr>
        <w:t>4.9</w:t>
      </w:r>
      <w:r>
        <w:rPr>
          <w:sz w:val="20"/>
          <w:szCs w:val="20"/>
          <w:color w:val="auto"/>
        </w:rPr>
        <w:tab/>
      </w:r>
      <w:r>
        <w:rPr>
          <w:rFonts w:ascii="Times New Roman" w:cs="Times New Roman" w:eastAsia="Times New Roman" w:hAnsi="Times New Roman"/>
          <w:sz w:val="19"/>
          <w:szCs w:val="19"/>
          <w:u w:val="single" w:color="auto"/>
          <w:color w:val="auto"/>
        </w:rPr>
        <w:t>Employees; Contractors; Benefit Plans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40" w:right="20" w:firstLine="1494"/>
        <w:spacing w:after="0" w:line="243" w:lineRule="auto"/>
        <w:tabs>
          <w:tab w:leader="none" w:pos="252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has no Employees. All Persons characterized and treated by Seller as independent contractors or consultants are properly classified as independent contractors under all applicable Laws and Seller has not received any notice from an independent contractor or consultant, or any Governmental Authority, disputing such classification. There is not, and has not been at any time, any Action against Seller pending or, to the Knowledge of Seller, threatened to be brought or filed, by or with any Governmental Authority or arbitrator in connection with the employment or engagement of any current or former applicant, Employee, Independent Contractor of Seller, including any Action relating to unfair labour practices, employment standards, employment classification, employment discrimination, human rights, harassment, reprisal, retaliation, pay equity, occupational health and safety, workers’ compensation, wages and hours, overtime, vacation pay, paid time off, or any other employment related matter arising under applicable Laws.</w:t>
      </w:r>
    </w:p>
    <w:p>
      <w:pPr>
        <w:spacing w:after="0" w:line="185" w:lineRule="exact"/>
        <w:rPr>
          <w:rFonts w:ascii="Times New Roman" w:cs="Times New Roman" w:eastAsia="Times New Roman" w:hAnsi="Times New Roman"/>
          <w:sz w:val="20"/>
          <w:szCs w:val="20"/>
          <w:color w:val="auto"/>
        </w:rPr>
      </w:pPr>
    </w:p>
    <w:p>
      <w:pPr>
        <w:jc w:val="both"/>
        <w:ind w:left="740" w:right="20" w:firstLine="1494"/>
        <w:spacing w:after="0" w:line="245" w:lineRule="auto"/>
        <w:tabs>
          <w:tab w:leader="none" w:pos="252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4.9(a)</w:t>
      </w:r>
      <w:r>
        <w:rPr>
          <w:rFonts w:ascii="Times New Roman" w:cs="Times New Roman" w:eastAsia="Times New Roman" w:hAnsi="Times New Roman"/>
          <w:sz w:val="20"/>
          <w:szCs w:val="20"/>
          <w:color w:val="auto"/>
        </w:rPr>
        <w:t xml:space="preserve"> of the Disclosure Schedule lists: (i) all individuals who are currently performing services for Seller as independent contractors under a contract; and (ii) the current rate of compensation and total fees paid during the 2024 calendar year of each such individual. A copy of each independent contractor agreement has been made available to the Purchaser. Except as set forth on </w:t>
      </w:r>
      <w:r>
        <w:rPr>
          <w:rFonts w:ascii="Times New Roman" w:cs="Times New Roman" w:eastAsia="Times New Roman" w:hAnsi="Times New Roman"/>
          <w:sz w:val="20"/>
          <w:szCs w:val="20"/>
          <w:u w:val="single" w:color="auto"/>
          <w:color w:val="auto"/>
        </w:rPr>
        <w:t>Section 4.9(a)</w:t>
      </w:r>
      <w:r>
        <w:rPr>
          <w:rFonts w:ascii="Times New Roman" w:cs="Times New Roman" w:eastAsia="Times New Roman" w:hAnsi="Times New Roman"/>
          <w:sz w:val="20"/>
          <w:szCs w:val="20"/>
          <w:color w:val="auto"/>
        </w:rPr>
        <w:t xml:space="preserve"> of the Disclosure Schedule, all Persons characterized and treated by the Company as contractors are and have at all times been properly classified and treated as independent contractors under all applicable Laws, including without limitation Tax Laws.</w:t>
      </w:r>
    </w:p>
    <w:p>
      <w:pPr>
        <w:spacing w:after="0" w:line="184" w:lineRule="exact"/>
        <w:rPr>
          <w:rFonts w:ascii="Times New Roman" w:cs="Times New Roman" w:eastAsia="Times New Roman" w:hAnsi="Times New Roman"/>
          <w:sz w:val="20"/>
          <w:szCs w:val="20"/>
          <w:color w:val="auto"/>
        </w:rPr>
      </w:pPr>
    </w:p>
    <w:p>
      <w:pPr>
        <w:ind w:left="740" w:right="20" w:firstLine="1494"/>
        <w:spacing w:after="0" w:line="269" w:lineRule="auto"/>
        <w:tabs>
          <w:tab w:leader="none" w:pos="252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pending offer of employment or engagement has been made by Seller that has not yet been accepted, or which has been accepted but the employment or engagement has not yet started.</w:t>
      </w:r>
    </w:p>
    <w:p>
      <w:pPr>
        <w:spacing w:after="0" w:line="159" w:lineRule="exact"/>
        <w:rPr>
          <w:rFonts w:ascii="Times New Roman" w:cs="Times New Roman" w:eastAsia="Times New Roman" w:hAnsi="Times New Roman"/>
          <w:sz w:val="20"/>
          <w:szCs w:val="20"/>
          <w:color w:val="auto"/>
        </w:rPr>
      </w:pPr>
    </w:p>
    <w:p>
      <w:pPr>
        <w:jc w:val="both"/>
        <w:ind w:left="740" w:right="20" w:firstLine="1494"/>
        <w:spacing w:after="0" w:line="254" w:lineRule="auto"/>
        <w:tabs>
          <w:tab w:leader="none" w:pos="252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Employee or independent contractor has stated or otherwise provided notice to Seller that they will resign or retire or cease to provide work or services as a result of the closing of the transactions contemplated by this Agreement.</w:t>
      </w:r>
    </w:p>
    <w:p>
      <w:pPr>
        <w:spacing w:after="0" w:line="174" w:lineRule="exact"/>
        <w:rPr>
          <w:rFonts w:ascii="Times New Roman" w:cs="Times New Roman" w:eastAsia="Times New Roman" w:hAnsi="Times New Roman"/>
          <w:sz w:val="20"/>
          <w:szCs w:val="20"/>
          <w:color w:val="auto"/>
        </w:rPr>
      </w:pPr>
    </w:p>
    <w:p>
      <w:pPr>
        <w:jc w:val="both"/>
        <w:ind w:left="740" w:firstLine="1494"/>
        <w:spacing w:after="0" w:line="249" w:lineRule="auto"/>
        <w:tabs>
          <w:tab w:leader="none" w:pos="2527"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charges pending against Seller under applicable occupational health and safety Laws, and there have been no charges against Seller under such Laws for the past three (3) years. Seller is in compliance in all respects with any Orders issued under occupational health and safety Laws, and there are no appeals of any Orders under such Laws currently outstanding.</w:t>
      </w:r>
    </w:p>
    <w:p>
      <w:pPr>
        <w:spacing w:after="0" w:line="179" w:lineRule="exact"/>
        <w:rPr>
          <w:rFonts w:ascii="Times New Roman" w:cs="Times New Roman" w:eastAsia="Times New Roman" w:hAnsi="Times New Roman"/>
          <w:sz w:val="20"/>
          <w:szCs w:val="20"/>
          <w:color w:val="auto"/>
        </w:rPr>
      </w:pPr>
    </w:p>
    <w:p>
      <w:pPr>
        <w:jc w:val="both"/>
        <w:ind w:left="740" w:right="20" w:firstLine="1494"/>
        <w:spacing w:after="0" w:line="245" w:lineRule="auto"/>
        <w:tabs>
          <w:tab w:leader="none" w:pos="252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has promptly, thoroughly and impartially investigated all workplace harassment (including sexual harassment) and workplace violence allegations and claims of which Seller is aware relating to Employees, former Employees and contractors of Seller that is reasonable in the circumstances. With respect to each such allegation or claim with potential merit, Seller has taken prompt corrective action that is reasonably calculated to prevent further workplace harassment (including sexual harassment) and workplace violence reasonable in the circumstances. To the Knowledge of Seller, there are no facts that could result in Liability with respect to any such allegations.</w:t>
      </w:r>
    </w:p>
    <w:p>
      <w:pPr>
        <w:spacing w:after="0" w:line="184" w:lineRule="exact"/>
        <w:rPr>
          <w:rFonts w:ascii="Times New Roman" w:cs="Times New Roman" w:eastAsia="Times New Roman" w:hAnsi="Times New Roman"/>
          <w:sz w:val="20"/>
          <w:szCs w:val="20"/>
          <w:color w:val="auto"/>
        </w:rPr>
      </w:pPr>
    </w:p>
    <w:p>
      <w:pPr>
        <w:jc w:val="both"/>
        <w:ind w:left="740" w:firstLine="1494"/>
        <w:spacing w:after="0" w:line="260" w:lineRule="auto"/>
        <w:tabs>
          <w:tab w:leader="none" w:pos="2527"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Since the respective dates of their incorporation or formation, Seller has not received any notice alleging that any Employees or Independent Contractors are in violation or breach of any term of any employment contract, invention assignment agreement, patent disclosure agreement, non- competition agreement, non-solicitation agreement, restrictive covenant, statutory obligation, fiduciary duty or any other common law obligation owed to any former employer, contractor, customer or client, relating to the right of any such Employee or Independent Contractor to be employed by Seller because of the nature of the business conducted by Seller or to the use of trade secrets, confidential or proprietary information of others.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386" w:right="699" w:bottom="1440" w:gutter="0" w:footer="0" w:header="0"/>
        </w:sectPr>
      </w:pPr>
    </w:p>
    <w:bookmarkStart w:id="25" w:name="page26"/>
    <w:bookmarkEnd w:id="25"/>
    <w:p>
      <w:pPr>
        <w:jc w:val="both"/>
        <w:ind w:left="740" w:right="20" w:firstLine="1494"/>
        <w:spacing w:after="0" w:line="254" w:lineRule="auto"/>
        <w:tabs>
          <w:tab w:leader="none" w:pos="252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the incorporation of the Seller, there have been no Benefit Plans and there are no Benefit Plans currently in force. Seller has no outstanding obligation, agreement or commitment, whether in writing or verbally, to create any Benefit Plan.</w:t>
      </w:r>
    </w:p>
    <w:p>
      <w:pPr>
        <w:spacing w:after="0" w:line="174" w:lineRule="exact"/>
        <w:rPr>
          <w:rFonts w:ascii="Times New Roman" w:cs="Times New Roman" w:eastAsia="Times New Roman" w:hAnsi="Times New Roman"/>
          <w:sz w:val="20"/>
          <w:szCs w:val="20"/>
          <w:color w:val="auto"/>
        </w:rPr>
      </w:pPr>
    </w:p>
    <w:p>
      <w:pPr>
        <w:jc w:val="both"/>
        <w:ind w:left="740" w:firstLine="1494"/>
        <w:spacing w:after="0" w:line="249" w:lineRule="auto"/>
        <w:tabs>
          <w:tab w:leader="none" w:pos="252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outstanding loans between Seller and any of its Employees or Independent Contractors. There are no outstanding promises (whether written or oral), or assurances or undertakings, to any of the Employees or independent contractors of Seller as to the continuation, introduction, increase, or improvement of any terms and conditions, renumeration, benefits or other bonus or incentive scheme.</w:t>
      </w:r>
    </w:p>
    <w:p>
      <w:pPr>
        <w:spacing w:after="0" w:line="180" w:lineRule="exact"/>
        <w:rPr>
          <w:sz w:val="20"/>
          <w:szCs w:val="20"/>
          <w:color w:val="auto"/>
        </w:rPr>
      </w:pPr>
    </w:p>
    <w:p>
      <w:pPr>
        <w:ind w:left="880"/>
        <w:spacing w:after="0"/>
        <w:tabs>
          <w:tab w:leader="none" w:pos="1620" w:val="left"/>
        </w:tabs>
        <w:rPr>
          <w:sz w:val="20"/>
          <w:szCs w:val="20"/>
          <w:color w:val="auto"/>
        </w:rPr>
      </w:pPr>
      <w:r>
        <w:rPr>
          <w:rFonts w:ascii="Times New Roman" w:cs="Times New Roman" w:eastAsia="Times New Roman" w:hAnsi="Times New Roman"/>
          <w:sz w:val="20"/>
          <w:szCs w:val="20"/>
          <w:color w:val="auto"/>
        </w:rPr>
        <w:t>4.10</w:t>
      </w:r>
      <w:r>
        <w:rPr>
          <w:sz w:val="20"/>
          <w:szCs w:val="20"/>
          <w:color w:val="auto"/>
        </w:rPr>
        <w:tab/>
      </w:r>
      <w:r>
        <w:rPr>
          <w:rFonts w:ascii="Times New Roman" w:cs="Times New Roman" w:eastAsia="Times New Roman" w:hAnsi="Times New Roman"/>
          <w:sz w:val="19"/>
          <w:szCs w:val="19"/>
          <w:u w:val="single" w:color="auto"/>
          <w:color w:val="auto"/>
        </w:rPr>
        <w:t>Compliance with Laws; Permits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40" w:firstLine="1494"/>
        <w:spacing w:after="0" w:line="242" w:lineRule="auto"/>
        <w:tabs>
          <w:tab w:leader="none" w:pos="2527"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has at all times during the prior 5 years complied with, and is currently in compliance with, all applicable Laws in all material respects. Seller owns, holds or possesses all material permits, filings, notices, licenses, consents, authorizations, accreditation, waivers, approvals and the like of, to or with any Governmental Authority or any other Person (collectively, the “</w:t>
      </w:r>
      <w:r>
        <w:rPr>
          <w:rFonts w:ascii="Times New Roman" w:cs="Times New Roman" w:eastAsia="Times New Roman" w:hAnsi="Times New Roman"/>
          <w:sz w:val="20"/>
          <w:szCs w:val="20"/>
          <w:u w:val="single" w:color="auto"/>
          <w:color w:val="auto"/>
        </w:rPr>
        <w:t>Permits</w:t>
      </w:r>
      <w:r>
        <w:rPr>
          <w:rFonts w:ascii="Times New Roman" w:cs="Times New Roman" w:eastAsia="Times New Roman" w:hAnsi="Times New Roman"/>
          <w:sz w:val="20"/>
          <w:szCs w:val="20"/>
          <w:color w:val="auto"/>
        </w:rPr>
        <w:t>”) which are required or desirable for the conduct of the Business and the ownership, use or occupancy of the Seller’s assets. Sellers are in compliance with all terms and conditions of all Permits in all material respects and all such Permits are in full force and effect. Seller has not received any notification from any Governmental Authority or other Person (i) asserting that Seller is not in compliance with any Law or Permit or (ii) threatening to revoke any material Permit owned or held by Seller. Seller has not certified, represented or otherwise indicated (either orally or in writing) to any Person, including any Governmental Authority, that it is a woman- or minority-owned business, small business or any other designation that entitles Seller to a favored status or benefits.</w:t>
      </w:r>
    </w:p>
    <w:p>
      <w:pPr>
        <w:spacing w:after="0" w:line="192" w:lineRule="exact"/>
        <w:rPr>
          <w:sz w:val="20"/>
          <w:szCs w:val="20"/>
          <w:color w:val="auto"/>
        </w:rPr>
      </w:pPr>
    </w:p>
    <w:p>
      <w:pPr>
        <w:ind w:left="880"/>
        <w:spacing w:after="0"/>
        <w:tabs>
          <w:tab w:leader="none" w:pos="1620" w:val="left"/>
        </w:tabs>
        <w:rPr>
          <w:sz w:val="20"/>
          <w:szCs w:val="20"/>
          <w:color w:val="auto"/>
        </w:rPr>
      </w:pPr>
      <w:r>
        <w:rPr>
          <w:rFonts w:ascii="Times New Roman" w:cs="Times New Roman" w:eastAsia="Times New Roman" w:hAnsi="Times New Roman"/>
          <w:sz w:val="20"/>
          <w:szCs w:val="20"/>
          <w:color w:val="auto"/>
        </w:rPr>
        <w:t>4.11</w:t>
      </w:r>
      <w:r>
        <w:rPr>
          <w:sz w:val="20"/>
          <w:szCs w:val="20"/>
          <w:color w:val="auto"/>
        </w:rPr>
        <w:tab/>
      </w:r>
      <w:r>
        <w:rPr>
          <w:rFonts w:ascii="Times New Roman" w:cs="Times New Roman" w:eastAsia="Times New Roman" w:hAnsi="Times New Roman"/>
          <w:sz w:val="19"/>
          <w:szCs w:val="19"/>
          <w:u w:val="single" w:color="auto"/>
          <w:color w:val="auto"/>
        </w:rPr>
        <w:t>Regulatory Compliance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2980" w:hanging="746"/>
        <w:spacing w:after="0"/>
        <w:tabs>
          <w:tab w:leader="none" w:pos="29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or to the Knowledge of the Seller, its Representatives, have in the past 5</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years:</w:t>
      </w:r>
    </w:p>
    <w:p>
      <w:pPr>
        <w:spacing w:after="0" w:line="194" w:lineRule="exact"/>
        <w:rPr>
          <w:sz w:val="20"/>
          <w:szCs w:val="20"/>
          <w:color w:val="auto"/>
        </w:rPr>
      </w:pPr>
    </w:p>
    <w:p>
      <w:pPr>
        <w:ind w:left="3980" w:hanging="742"/>
        <w:spacing w:after="0"/>
        <w:tabs>
          <w:tab w:leader="none" w:pos="39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violated any applicable Anti-Corruption Laws;</w:t>
      </w:r>
    </w:p>
    <w:p>
      <w:pPr>
        <w:spacing w:after="0" w:line="215" w:lineRule="exact"/>
        <w:rPr>
          <w:rFonts w:ascii="Times New Roman" w:cs="Times New Roman" w:eastAsia="Times New Roman" w:hAnsi="Times New Roman"/>
          <w:sz w:val="20"/>
          <w:szCs w:val="20"/>
          <w:color w:val="auto"/>
        </w:rPr>
      </w:pPr>
    </w:p>
    <w:p>
      <w:pPr>
        <w:ind w:left="3980" w:hanging="742"/>
        <w:spacing w:after="0"/>
        <w:tabs>
          <w:tab w:leader="none" w:pos="39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violated any applicable Anti-Money Laundering Laws;</w:t>
      </w:r>
    </w:p>
    <w:p>
      <w:pPr>
        <w:spacing w:after="0" w:line="215" w:lineRule="exact"/>
        <w:rPr>
          <w:rFonts w:ascii="Times New Roman" w:cs="Times New Roman" w:eastAsia="Times New Roman" w:hAnsi="Times New Roman"/>
          <w:sz w:val="20"/>
          <w:szCs w:val="20"/>
          <w:color w:val="auto"/>
        </w:rPr>
      </w:pPr>
    </w:p>
    <w:p>
      <w:pPr>
        <w:ind w:left="3980" w:hanging="742"/>
        <w:spacing w:after="0"/>
        <w:tabs>
          <w:tab w:leader="none" w:pos="39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violated any applicable Trade Laws;</w:t>
      </w:r>
    </w:p>
    <w:p>
      <w:pPr>
        <w:spacing w:after="0" w:line="216" w:lineRule="exact"/>
        <w:rPr>
          <w:sz w:val="20"/>
          <w:szCs w:val="20"/>
          <w:color w:val="auto"/>
        </w:rPr>
      </w:pPr>
    </w:p>
    <w:p>
      <w:pPr>
        <w:jc w:val="both"/>
        <w:ind w:left="1740" w:firstLine="1498"/>
        <w:spacing w:after="0" w:line="254" w:lineRule="auto"/>
        <w:rPr>
          <w:sz w:val="20"/>
          <w:szCs w:val="20"/>
          <w:color w:val="auto"/>
        </w:rPr>
      </w:pPr>
      <w:r>
        <w:rPr>
          <w:rFonts w:ascii="Times New Roman" w:cs="Times New Roman" w:eastAsia="Times New Roman" w:hAnsi="Times New Roman"/>
          <w:sz w:val="20"/>
          <w:szCs w:val="20"/>
          <w:color w:val="auto"/>
        </w:rPr>
        <w:t>(iv)offered, paid, promised to pay, authorized the payment of, received, or solicited anything of value under circumstances such that all or a portion of such thing of value would be offered, given, or promised, directly or indirectly, to any Person to obtain any improper advantage;</w:t>
      </w:r>
    </w:p>
    <w:p>
      <w:pPr>
        <w:spacing w:after="0" w:line="174" w:lineRule="exact"/>
        <w:rPr>
          <w:sz w:val="20"/>
          <w:szCs w:val="20"/>
          <w:color w:val="auto"/>
        </w:rPr>
      </w:pPr>
    </w:p>
    <w:p>
      <w:pPr>
        <w:jc w:val="both"/>
        <w:ind w:left="1740" w:right="20" w:firstLine="1498"/>
        <w:spacing w:after="0" w:line="249" w:lineRule="auto"/>
        <w:tabs>
          <w:tab w:leader="none" w:pos="35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conducted or initiated any internal investigation or made a voluntary, directed, or involuntary disclosure to any Governmental Authority or similar agency with respect to any alleged act or omission arising under or relating to any potential noncompliance with any Anti-Corruption Laws, Anti-Money Laundering Laws, or Trade Laws; or</w:t>
      </w:r>
    </w:p>
    <w:p>
      <w:pPr>
        <w:spacing w:after="0" w:line="180" w:lineRule="exact"/>
        <w:rPr>
          <w:sz w:val="20"/>
          <w:szCs w:val="20"/>
          <w:color w:val="auto"/>
        </w:rPr>
      </w:pPr>
    </w:p>
    <w:p>
      <w:pPr>
        <w:jc w:val="both"/>
        <w:ind w:left="1740" w:firstLine="1498"/>
        <w:spacing w:after="0" w:line="249" w:lineRule="auto"/>
        <w:rPr>
          <w:sz w:val="20"/>
          <w:szCs w:val="20"/>
          <w:color w:val="auto"/>
        </w:rPr>
      </w:pPr>
      <w:r>
        <w:rPr>
          <w:rFonts w:ascii="Times New Roman" w:cs="Times New Roman" w:eastAsia="Times New Roman" w:hAnsi="Times New Roman"/>
          <w:sz w:val="20"/>
          <w:szCs w:val="20"/>
          <w:color w:val="auto"/>
        </w:rPr>
        <w:t>(vi)been the subject of current, pending, or threatened investigation, formal or informal inquiry or enforcement proceedings for violations of Anti-Corruption Laws, Anti- Money Laundering Laws, or Trade Laws or received any notice, request, or citation for any actual or potential noncompliance with any Anti-Corruption Laws, Anti-Money Laundering Laws, or Trade Laws.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399" w:right="699" w:bottom="1440" w:gutter="0" w:footer="0" w:header="0"/>
        </w:sectPr>
      </w:pPr>
    </w:p>
    <w:bookmarkStart w:id="26" w:name="page27"/>
    <w:bookmarkEnd w:id="26"/>
    <w:p>
      <w:pPr>
        <w:jc w:val="both"/>
        <w:ind w:left="740" w:firstLine="1494"/>
        <w:spacing w:after="0" w:line="242" w:lineRule="auto"/>
        <w:tabs>
          <w:tab w:leader="none" w:pos="2527"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or, to the Knowledge of the Seller, their Representatives is currently a Person that (i) has been or is designated on any list of any U.S. or Canadian Governmental Authority, including OFAC’s Specially Designated Nationals and Blocked Persons List, Commerce’s Denied Persons List, the Commerce Entity List, and the U.S. Department of State’s (the “</w:t>
      </w:r>
      <w:r>
        <w:rPr>
          <w:rFonts w:ascii="Times New Roman" w:cs="Times New Roman" w:eastAsia="Times New Roman" w:hAnsi="Times New Roman"/>
          <w:sz w:val="20"/>
          <w:szCs w:val="20"/>
          <w:u w:val="single" w:color="auto"/>
          <w:color w:val="auto"/>
        </w:rPr>
        <w:t>State Department</w:t>
      </w:r>
      <w:r>
        <w:rPr>
          <w:rFonts w:ascii="Times New Roman" w:cs="Times New Roman" w:eastAsia="Times New Roman" w:hAnsi="Times New Roman"/>
          <w:sz w:val="20"/>
          <w:szCs w:val="20"/>
          <w:color w:val="auto"/>
        </w:rPr>
        <w:t>”) Debarred List, or has been or is listed under any regulations under the Canadian Trade Laws (ii) has participated in any transaction involving such designated person or entity, or any country that is subject to U.S. sanctions administered by OFAC or Canadian sanctions unless permissible under applicable Law, (iii) has exported (including deemed exportation) or re-exported, directly or indirectly, any good, technology or services in violation of any applicable Canadian or U.S. export control or economic sanctions laws, regulations or orders administered by OFAC, the Commerce Department, the State Department, unless permissible under applicable Law or (iv) has participated in any export, re-export or transaction connected with any purpose prohibited by U.S. export control and economic sanctions laws, as applicable, including, without limitation, support for international terrorism and nuclear, chemical or biological weapons proliferation, unless permissible under applicable Law.</w:t>
      </w:r>
    </w:p>
    <w:p>
      <w:pPr>
        <w:spacing w:after="0" w:line="187" w:lineRule="exact"/>
        <w:rPr>
          <w:rFonts w:ascii="Times New Roman" w:cs="Times New Roman" w:eastAsia="Times New Roman" w:hAnsi="Times New Roman"/>
          <w:sz w:val="20"/>
          <w:szCs w:val="20"/>
          <w:color w:val="auto"/>
        </w:rPr>
      </w:pPr>
    </w:p>
    <w:p>
      <w:pPr>
        <w:ind w:left="2980" w:hanging="746"/>
        <w:spacing w:after="0"/>
        <w:tabs>
          <w:tab w:leader="none" w:pos="29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w:t>
      </w:r>
    </w:p>
    <w:p>
      <w:pPr>
        <w:spacing w:after="0" w:line="202" w:lineRule="exact"/>
        <w:rPr>
          <w:rFonts w:ascii="Times New Roman" w:cs="Times New Roman" w:eastAsia="Times New Roman" w:hAnsi="Times New Roman"/>
          <w:sz w:val="20"/>
          <w:szCs w:val="20"/>
          <w:color w:val="auto"/>
        </w:rPr>
      </w:pPr>
    </w:p>
    <w:p>
      <w:pPr>
        <w:jc w:val="both"/>
        <w:ind w:left="1740" w:right="20" w:firstLine="1498"/>
        <w:spacing w:after="0" w:line="254" w:lineRule="auto"/>
        <w:tabs>
          <w:tab w:leader="none" w:pos="354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conducts commercially reasonable (in light of the business and markets in which Seller operates) risk assessments in order to understand the nature and extent of its exposure to risks of breaches of Anti-Corruption Laws, Anti-Money Laundering Laws and Trade Laws; and</w:t>
      </w:r>
    </w:p>
    <w:p>
      <w:pPr>
        <w:spacing w:after="0" w:line="160" w:lineRule="exact"/>
        <w:rPr>
          <w:rFonts w:ascii="Times New Roman" w:cs="Times New Roman" w:eastAsia="Times New Roman" w:hAnsi="Times New Roman"/>
          <w:sz w:val="20"/>
          <w:szCs w:val="20"/>
          <w:color w:val="auto"/>
        </w:rPr>
      </w:pPr>
    </w:p>
    <w:p>
      <w:pPr>
        <w:jc w:val="both"/>
        <w:ind w:left="1740" w:firstLine="1498"/>
        <w:spacing w:after="0" w:line="254" w:lineRule="auto"/>
        <w:tabs>
          <w:tab w:leader="none" w:pos="354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instituted commercially reasonable (in light of the business and markets in which Seller operates) proportionate risk-based policies and procedures in order to prevent violations of Anti-Corruption Laws, Anti-Money Laundering Laws and Trade Laws.</w:t>
      </w:r>
    </w:p>
    <w:p>
      <w:pPr>
        <w:spacing w:after="0" w:line="147" w:lineRule="exact"/>
        <w:rPr>
          <w:rFonts w:ascii="Times New Roman" w:cs="Times New Roman" w:eastAsia="Times New Roman" w:hAnsi="Times New Roman"/>
          <w:sz w:val="20"/>
          <w:szCs w:val="20"/>
          <w:color w:val="auto"/>
        </w:rPr>
      </w:pPr>
    </w:p>
    <w:p>
      <w:pPr>
        <w:jc w:val="both"/>
        <w:ind w:left="740" w:right="20" w:firstLine="1494"/>
        <w:spacing w:after="0" w:line="254" w:lineRule="auto"/>
        <w:tabs>
          <w:tab w:leader="none" w:pos="2527"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foregoing, Seller has not received any written notice that it is subject to any civil or criminal investigation, audit or any other inquiry involving or otherwise relating to any alleged or actual violation of Trade Laws.</w:t>
      </w:r>
    </w:p>
    <w:p>
      <w:pPr>
        <w:spacing w:after="0" w:line="161" w:lineRule="exact"/>
        <w:rPr>
          <w:sz w:val="20"/>
          <w:szCs w:val="20"/>
          <w:color w:val="auto"/>
        </w:rPr>
      </w:pPr>
    </w:p>
    <w:p>
      <w:pPr>
        <w:jc w:val="both"/>
        <w:ind w:left="140" w:right="20" w:firstLine="749"/>
        <w:spacing w:after="0" w:line="245" w:lineRule="auto"/>
        <w:rPr>
          <w:sz w:val="20"/>
          <w:szCs w:val="20"/>
          <w:color w:val="auto"/>
        </w:rPr>
      </w:pPr>
      <w:r>
        <w:rPr>
          <w:rFonts w:ascii="Times New Roman" w:cs="Times New Roman" w:eastAsia="Times New Roman" w:hAnsi="Times New Roman"/>
          <w:sz w:val="20"/>
          <w:szCs w:val="20"/>
          <w:color w:val="auto"/>
        </w:rPr>
        <w:t>4.12</w:t>
      </w:r>
      <w:r>
        <w:rPr>
          <w:rFonts w:ascii="Times New Roman" w:cs="Times New Roman" w:eastAsia="Times New Roman" w:hAnsi="Times New Roman"/>
          <w:sz w:val="20"/>
          <w:szCs w:val="20"/>
          <w:u w:val="single" w:color="auto"/>
          <w:color w:val="auto"/>
        </w:rPr>
        <w:t>Affiliate Transactions</w:t>
      </w:r>
      <w:r>
        <w:rPr>
          <w:rFonts w:ascii="Times New Roman" w:cs="Times New Roman" w:eastAsia="Times New Roman" w:hAnsi="Times New Roman"/>
          <w:sz w:val="20"/>
          <w:szCs w:val="20"/>
          <w:color w:val="auto"/>
        </w:rPr>
        <w:t>. No officer, director, Employee or Affiliate of Seller or any individual related by blood, marriage or adoption to any such individual or any entity in which any such Person or individual owns any beneficial interest, (a) is a party to any agreement, contract, commitment or transaction with Seller, (b) is an Employee, Independent Contractor, competitor, creditor, debtor, customer, distributor, supplier or vendor of Seller (or owns an interest in any of the foregoing), (c) provides services or resources to Seller or is dependent on services or resources provided by Seller or (d) has any interest in any property, asset or right used by Seller.</w:t>
      </w:r>
    </w:p>
    <w:p>
      <w:pPr>
        <w:spacing w:after="0" w:line="184" w:lineRule="exact"/>
        <w:rPr>
          <w:sz w:val="20"/>
          <w:szCs w:val="20"/>
          <w:color w:val="auto"/>
        </w:rPr>
      </w:pPr>
    </w:p>
    <w:p>
      <w:pPr>
        <w:ind w:left="880"/>
        <w:spacing w:after="0"/>
        <w:tabs>
          <w:tab w:leader="none" w:pos="1620" w:val="left"/>
        </w:tabs>
        <w:rPr>
          <w:sz w:val="20"/>
          <w:szCs w:val="20"/>
          <w:color w:val="auto"/>
        </w:rPr>
      </w:pPr>
      <w:r>
        <w:rPr>
          <w:rFonts w:ascii="Times New Roman" w:cs="Times New Roman" w:eastAsia="Times New Roman" w:hAnsi="Times New Roman"/>
          <w:sz w:val="20"/>
          <w:szCs w:val="20"/>
          <w:color w:val="auto"/>
        </w:rPr>
        <w:t>4.13</w:t>
      </w:r>
      <w:r>
        <w:rPr>
          <w:sz w:val="20"/>
          <w:szCs w:val="20"/>
          <w:color w:val="auto"/>
        </w:rPr>
        <w:tab/>
      </w:r>
      <w:r>
        <w:rPr>
          <w:rFonts w:ascii="Times New Roman" w:cs="Times New Roman" w:eastAsia="Times New Roman" w:hAnsi="Times New Roman"/>
          <w:sz w:val="19"/>
          <w:szCs w:val="19"/>
          <w:u w:val="single" w:color="auto"/>
          <w:color w:val="auto"/>
        </w:rPr>
        <w:t>Real Property</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2980" w:hanging="746"/>
        <w:spacing w:after="0"/>
        <w:tabs>
          <w:tab w:leader="none" w:pos="29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does not own, nor has ever owned any real property.</w:t>
      </w:r>
    </w:p>
    <w:p>
      <w:pPr>
        <w:spacing w:after="0" w:line="188" w:lineRule="exact"/>
        <w:rPr>
          <w:rFonts w:ascii="Times New Roman" w:cs="Times New Roman" w:eastAsia="Times New Roman" w:hAnsi="Times New Roman"/>
          <w:sz w:val="20"/>
          <w:szCs w:val="20"/>
          <w:color w:val="auto"/>
        </w:rPr>
      </w:pPr>
    </w:p>
    <w:p>
      <w:pPr>
        <w:jc w:val="both"/>
        <w:ind w:left="740" w:right="20" w:firstLine="1494"/>
        <w:spacing w:after="0" w:line="256" w:lineRule="auto"/>
        <w:tabs>
          <w:tab w:leader="none" w:pos="2526"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4.13(b)(x)</w:t>
      </w:r>
      <w:r>
        <w:rPr>
          <w:rFonts w:ascii="Times New Roman" w:cs="Times New Roman" w:eastAsia="Times New Roman" w:hAnsi="Times New Roman"/>
          <w:sz w:val="19"/>
          <w:szCs w:val="19"/>
          <w:color w:val="auto"/>
        </w:rPr>
        <w:t xml:space="preserve"> of the Disclosure Schedule sets forth (A) the address of all leasehold estates or other rights to use or occupy any land, buildings, structures, improvements, fixtures or other interest in real property (the “</w:t>
      </w:r>
      <w:r>
        <w:rPr>
          <w:rFonts w:ascii="Times New Roman" w:cs="Times New Roman" w:eastAsia="Times New Roman" w:hAnsi="Times New Roman"/>
          <w:sz w:val="19"/>
          <w:szCs w:val="19"/>
          <w:u w:val="single" w:color="auto"/>
          <w:color w:val="auto"/>
        </w:rPr>
        <w:t>Leased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Real Property</w:t>
      </w:r>
      <w:r>
        <w:rPr>
          <w:rFonts w:ascii="Times New Roman" w:cs="Times New Roman" w:eastAsia="Times New Roman" w:hAnsi="Times New Roman"/>
          <w:sz w:val="19"/>
          <w:szCs w:val="19"/>
          <w:color w:val="auto"/>
        </w:rPr>
        <w:t>”), and (B) a complete list of all leases, subleases, licenses, concessions (including all amendments, extensions, renewals, guaranties and other agreements with respect thereto) and other agreements pursuant to which Seller holds any Leased Real Property (collectively, the “</w:t>
      </w:r>
      <w:r>
        <w:rPr>
          <w:rFonts w:ascii="Times New Roman" w:cs="Times New Roman" w:eastAsia="Times New Roman" w:hAnsi="Times New Roman"/>
          <w:sz w:val="19"/>
          <w:szCs w:val="19"/>
          <w:u w:val="single" w:color="auto"/>
          <w:color w:val="auto"/>
        </w:rPr>
        <w:t>Leases</w:t>
      </w:r>
      <w:r>
        <w:rPr>
          <w:rFonts w:ascii="Times New Roman" w:cs="Times New Roman" w:eastAsia="Times New Roman" w:hAnsi="Times New Roman"/>
          <w:sz w:val="19"/>
          <w:szCs w:val="19"/>
          <w:color w:val="auto"/>
        </w:rPr>
        <w:t>”). Seller has delivered to Purchaser a true and complete copy of all Leases. (i) the Leases are in full force and effect, and Seller holds a valid and enforceable leasehold interest under each such Lease; (ii) Seller’s possession and quiet enjoyment of the Leased Real Property under such Lease has not been disturbed, and to the Seller’s Knowledge, there are no disputes with respect to such Lease; (iii) Seller has not assigned any interest under any of the Leased Real Property or sublet or licensed or permitted any other Person to occupy any part of the Leased Real Property; (iv) Seller has no collaterally assigned or granted any other security interest in such Lease or any interest therein; (v) there are no Liens on the estate or interest created by such Lease; (vi) all Leased Real Property is leased under written Leases; (vii) Seller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399" w:right="699" w:bottom="1440" w:gutter="0" w:footer="0" w:header="0"/>
        </w:sectPr>
      </w:pPr>
    </w:p>
    <w:bookmarkStart w:id="27" w:name="page28"/>
    <w:bookmarkEnd w:id="27"/>
    <w:p>
      <w:pPr>
        <w:spacing w:after="0" w:line="95" w:lineRule="exact"/>
        <w:rPr>
          <w:sz w:val="20"/>
          <w:szCs w:val="20"/>
          <w:color w:val="auto"/>
        </w:rPr>
      </w:pPr>
    </w:p>
    <w:p>
      <w:pPr>
        <w:jc w:val="both"/>
        <w:ind w:left="740"/>
        <w:spacing w:after="0" w:line="241" w:lineRule="auto"/>
        <w:rPr>
          <w:sz w:val="20"/>
          <w:szCs w:val="20"/>
          <w:color w:val="auto"/>
        </w:rPr>
      </w:pPr>
      <w:r>
        <w:rPr>
          <w:rFonts w:ascii="Times New Roman" w:cs="Times New Roman" w:eastAsia="Times New Roman" w:hAnsi="Times New Roman"/>
          <w:sz w:val="20"/>
          <w:szCs w:val="20"/>
          <w:color w:val="auto"/>
        </w:rPr>
        <w:t>is in compliance in all material respects with the terms of each Lease to which it is a party, and neither Seller, to Seller’s Knowledge, any other party to the Lease is in breach or default under such Lease, and no event has occurred or circumstance exists which, with the delivery of notice, the passage of time or both, would constitute such a breach or default, or permit the termination, modification or acceleration of rent under such Lease; (viii) the execution, delivery and performance of this Agreement by Seller and the consummation of the transactions contemplated hereby do not require the consent of any other party to any Leases for any of the Leased Real Property and will not result in a breach of or default under the Leases or otherwise cause any such Lease to cease to be legal, valid, binding, enforceable and in full force and effect on identical terms following the consummation of the transaction contemplated hereby; (ix) the Leased Real Property comprises all of the real property used or intended to be used in, or otherwise related to, the Business and operations of Seller; (x) no security deposit or portion thereof deposited with respect to any Lease has been applied in respect of a breach or default under that Lease which has not been redeposited in full; (xi) Seller will not owe in the future any brokerage commission or finder’s fees with respect to any Lease; and (xii) the Leased Real Property is in material compliance with all applicable building, zoning, subdivision, health and safety and other land use Laws, and all insurance requirements affecting the Leased Real Property.</w:t>
      </w:r>
    </w:p>
    <w:p>
      <w:pPr>
        <w:spacing w:after="0" w:line="197" w:lineRule="exact"/>
        <w:rPr>
          <w:sz w:val="20"/>
          <w:szCs w:val="20"/>
          <w:color w:val="auto"/>
        </w:rPr>
      </w:pPr>
    </w:p>
    <w:p>
      <w:pPr>
        <w:ind w:left="880"/>
        <w:spacing w:after="0"/>
        <w:tabs>
          <w:tab w:leader="none" w:pos="1620" w:val="left"/>
        </w:tabs>
        <w:rPr>
          <w:sz w:val="20"/>
          <w:szCs w:val="20"/>
          <w:color w:val="auto"/>
        </w:rPr>
      </w:pPr>
      <w:r>
        <w:rPr>
          <w:rFonts w:ascii="Times New Roman" w:cs="Times New Roman" w:eastAsia="Times New Roman" w:hAnsi="Times New Roman"/>
          <w:sz w:val="20"/>
          <w:szCs w:val="20"/>
          <w:color w:val="auto"/>
        </w:rPr>
        <w:t>4.14</w:t>
      </w:r>
      <w:r>
        <w:rPr>
          <w:sz w:val="20"/>
          <w:szCs w:val="20"/>
          <w:color w:val="auto"/>
        </w:rPr>
        <w:tab/>
      </w:r>
      <w:r>
        <w:rPr>
          <w:rFonts w:ascii="Times New Roman" w:cs="Times New Roman" w:eastAsia="Times New Roman" w:hAnsi="Times New Roman"/>
          <w:sz w:val="19"/>
          <w:szCs w:val="19"/>
          <w:u w:val="single" w:color="auto"/>
          <w:color w:val="auto"/>
        </w:rPr>
        <w:t>Material Customers and Material Vendors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40" w:firstLine="1494"/>
        <w:spacing w:after="0" w:line="243" w:lineRule="auto"/>
        <w:tabs>
          <w:tab w:leader="none" w:pos="252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4.14(a)</w:t>
      </w:r>
      <w:r>
        <w:rPr>
          <w:rFonts w:ascii="Times New Roman" w:cs="Times New Roman" w:eastAsia="Times New Roman" w:hAnsi="Times New Roman"/>
          <w:sz w:val="20"/>
          <w:szCs w:val="20"/>
          <w:color w:val="auto"/>
        </w:rPr>
        <w:t xml:space="preserve"> of the Disclosure Schedule sets forth all customers of Seller (each, a “</w:t>
      </w:r>
      <w:r>
        <w:rPr>
          <w:rFonts w:ascii="Times New Roman" w:cs="Times New Roman" w:eastAsia="Times New Roman" w:hAnsi="Times New Roman"/>
          <w:sz w:val="20"/>
          <w:szCs w:val="20"/>
          <w:u w:val="single" w:color="auto"/>
          <w:color w:val="auto"/>
        </w:rPr>
        <w:t>Material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Customer</w:t>
      </w:r>
      <w:r>
        <w:rPr>
          <w:rFonts w:ascii="Times New Roman" w:cs="Times New Roman" w:eastAsia="Times New Roman" w:hAnsi="Times New Roman"/>
          <w:sz w:val="20"/>
          <w:szCs w:val="20"/>
          <w:color w:val="auto"/>
        </w:rPr>
        <w:t>”), together with the consolidated revenue applicable to each such Material Customer for each such period. Seller has not received any notice from any Material Customer that such Material Customer is considering or intends, anticipates or otherwise expects to stop, decrease the volume of, or otherwise adversely change, adjust, alter or otherwise modify any of the terms (whether related to payment, price or otherwise) with respect to purchasing materials, products or services from Seller (whether as a result of the consummation of the transactions contemplated hereby or otherwise). To the Knowledge of the Seller, there have been no developments with any Material Customer that may serve as the basis for such Material Customers materially changing their relationship with Seller.</w:t>
      </w:r>
    </w:p>
    <w:p>
      <w:pPr>
        <w:spacing w:after="0" w:line="189" w:lineRule="exact"/>
        <w:rPr>
          <w:rFonts w:ascii="Times New Roman" w:cs="Times New Roman" w:eastAsia="Times New Roman" w:hAnsi="Times New Roman"/>
          <w:sz w:val="20"/>
          <w:szCs w:val="20"/>
          <w:color w:val="auto"/>
        </w:rPr>
      </w:pPr>
    </w:p>
    <w:p>
      <w:pPr>
        <w:jc w:val="both"/>
        <w:ind w:left="740" w:firstLine="1494"/>
        <w:spacing w:after="0" w:line="243" w:lineRule="auto"/>
        <w:tabs>
          <w:tab w:leader="none" w:pos="252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4.14(b)</w:t>
      </w:r>
      <w:r>
        <w:rPr>
          <w:rFonts w:ascii="Times New Roman" w:cs="Times New Roman" w:eastAsia="Times New Roman" w:hAnsi="Times New Roman"/>
          <w:sz w:val="20"/>
          <w:szCs w:val="20"/>
          <w:color w:val="auto"/>
        </w:rPr>
        <w:t xml:space="preserve"> of the Disclosure Schedule sets forth each of the largest vendors of Seller (each, a “</w:t>
      </w:r>
      <w:r>
        <w:rPr>
          <w:rFonts w:ascii="Times New Roman" w:cs="Times New Roman" w:eastAsia="Times New Roman" w:hAnsi="Times New Roman"/>
          <w:sz w:val="20"/>
          <w:szCs w:val="20"/>
          <w:u w:val="single" w:color="auto"/>
          <w:color w:val="auto"/>
        </w:rPr>
        <w:t>Material Vendor</w:t>
      </w:r>
      <w:r>
        <w:rPr>
          <w:rFonts w:ascii="Times New Roman" w:cs="Times New Roman" w:eastAsia="Times New Roman" w:hAnsi="Times New Roman"/>
          <w:sz w:val="20"/>
          <w:szCs w:val="20"/>
          <w:color w:val="auto"/>
        </w:rPr>
        <w:t>”), together with the applicable dollar amount paid to each such vendor for each such period. No Seller has received any notice from any Material Vendor that such Material Vendor is considering or intends, anticipates or otherwise expects to stop, decrease the volume of, or otherwise adversely change, adjust, alter or otherwise modify any of the terms (whether related to payment, price or otherwise) with respect to supplying materials, products or services for or to Seller (whether as a result of the consummation of the transactions contemplated hereby or otherwise). To the Knowledge of the Seller, there have been no developments with any Material Vendor that may serve as the basis for such Material Vendor materially changing its relationship with Seller.</w:t>
      </w:r>
    </w:p>
    <w:p>
      <w:pPr>
        <w:spacing w:after="0" w:line="189" w:lineRule="exact"/>
        <w:rPr>
          <w:sz w:val="20"/>
          <w:szCs w:val="20"/>
          <w:color w:val="auto"/>
        </w:rPr>
      </w:pPr>
    </w:p>
    <w:p>
      <w:pPr>
        <w:jc w:val="both"/>
        <w:ind w:left="140" w:firstLine="749"/>
        <w:spacing w:after="0" w:line="246" w:lineRule="auto"/>
        <w:rPr>
          <w:sz w:val="20"/>
          <w:szCs w:val="20"/>
          <w:color w:val="auto"/>
        </w:rPr>
      </w:pPr>
      <w:r>
        <w:rPr>
          <w:rFonts w:ascii="Times New Roman" w:cs="Times New Roman" w:eastAsia="Times New Roman" w:hAnsi="Times New Roman"/>
          <w:sz w:val="20"/>
          <w:szCs w:val="20"/>
          <w:color w:val="auto"/>
        </w:rPr>
        <w:t>4.15</w:t>
      </w:r>
      <w:r>
        <w:rPr>
          <w:rFonts w:ascii="Times New Roman" w:cs="Times New Roman" w:eastAsia="Times New Roman" w:hAnsi="Times New Roman"/>
          <w:sz w:val="20"/>
          <w:szCs w:val="20"/>
          <w:u w:val="single" w:color="auto"/>
          <w:color w:val="auto"/>
        </w:rPr>
        <w:t>No Acceleration of Rights or Benefits</w:t>
      </w:r>
      <w:r>
        <w:rPr>
          <w:rFonts w:ascii="Times New Roman" w:cs="Times New Roman" w:eastAsia="Times New Roman" w:hAnsi="Times New Roman"/>
          <w:sz w:val="20"/>
          <w:szCs w:val="20"/>
          <w:color w:val="auto"/>
        </w:rPr>
        <w:t>. Seller has not made nor is obligated to make any payment to any Person in connection with the transactions contemplated by this Agreement, and no rights or benefits of any Person have been (or will be) accelerated or increased as a result of the consummation of the transactions contemplated by this Agreement and no Person’s rights or obligations may be modified upon a change of control of Seller or provide any Person the right to receive payment (including rescission or liquidated damages) upon a change of control of Seller.</w:t>
      </w:r>
    </w:p>
    <w:p>
      <w:pPr>
        <w:spacing w:after="0" w:line="185" w:lineRule="exact"/>
        <w:rPr>
          <w:sz w:val="20"/>
          <w:szCs w:val="20"/>
          <w:color w:val="auto"/>
        </w:rPr>
      </w:pPr>
    </w:p>
    <w:p>
      <w:pPr>
        <w:jc w:val="both"/>
        <w:ind w:left="140" w:firstLine="749"/>
        <w:spacing w:after="0" w:line="263" w:lineRule="auto"/>
        <w:rPr>
          <w:sz w:val="20"/>
          <w:szCs w:val="20"/>
          <w:color w:val="auto"/>
        </w:rPr>
      </w:pPr>
      <w:r>
        <w:rPr>
          <w:rFonts w:ascii="Times New Roman" w:cs="Times New Roman" w:eastAsia="Times New Roman" w:hAnsi="Times New Roman"/>
          <w:sz w:val="19"/>
          <w:szCs w:val="19"/>
          <w:color w:val="auto"/>
        </w:rPr>
        <w:t>4.16</w:t>
      </w:r>
      <w:r>
        <w:rPr>
          <w:rFonts w:ascii="Times New Roman" w:cs="Times New Roman" w:eastAsia="Times New Roman" w:hAnsi="Times New Roman"/>
          <w:sz w:val="19"/>
          <w:szCs w:val="19"/>
          <w:u w:val="single" w:color="auto"/>
          <w:color w:val="auto"/>
        </w:rPr>
        <w:t>Insolvency</w:t>
      </w:r>
      <w:r>
        <w:rPr>
          <w:rFonts w:ascii="Times New Roman" w:cs="Times New Roman" w:eastAsia="Times New Roman" w:hAnsi="Times New Roman"/>
          <w:sz w:val="19"/>
          <w:szCs w:val="19"/>
          <w:color w:val="auto"/>
        </w:rPr>
        <w:t>. Seller is not insolvent, has not committed an act of bankruptcy, proposed a compromise or arrangement or made a proposal or filed a notice to make a proposal to its creditors generally, had any petition for a receiving order in bankruptcy filed against Seller, taken any proceeding with respect to a compromise or arrangement, taken any proceeding to have itself declared bankrupt or wound-up, taken any proceeding to have a receiver of any part of its assets appointed, had any holder of an encumbrancer take possession of any of its property, or had any execution or distress become enforceable or become levied upon any of its property.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512445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40" w:right="719" w:bottom="1440" w:gutter="0" w:footer="0" w:header="0"/>
        </w:sectPr>
      </w:pPr>
    </w:p>
    <w:bookmarkStart w:id="28" w:name="page29"/>
    <w:bookmarkEnd w:id="28"/>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4.17</w:t>
      </w:r>
      <w:r>
        <w:rPr>
          <w:rFonts w:ascii="Times New Roman" w:cs="Times New Roman" w:eastAsia="Times New Roman" w:hAnsi="Times New Roman"/>
          <w:sz w:val="19"/>
          <w:szCs w:val="19"/>
          <w:u w:val="single" w:color="auto"/>
          <w:color w:val="auto"/>
        </w:rPr>
        <w:t>Tax Residence</w:t>
      </w:r>
      <w:r>
        <w:rPr>
          <w:rFonts w:ascii="Times New Roman" w:cs="Times New Roman" w:eastAsia="Times New Roman" w:hAnsi="Times New Roman"/>
          <w:sz w:val="19"/>
          <w:szCs w:val="19"/>
          <w:color w:val="auto"/>
        </w:rPr>
        <w:t xml:space="preserve">. Seller is a resident of the state or province and country listed on </w:t>
      </w:r>
      <w:r>
        <w:rPr>
          <w:rFonts w:ascii="Times New Roman" w:cs="Times New Roman" w:eastAsia="Times New Roman" w:hAnsi="Times New Roman"/>
          <w:sz w:val="19"/>
          <w:szCs w:val="19"/>
          <w:u w:val="single" w:color="auto"/>
          <w:color w:val="auto"/>
        </w:rPr>
        <w:t>Section 4.17</w:t>
      </w:r>
      <w:r>
        <w:rPr>
          <w:rFonts w:ascii="Times New Roman" w:cs="Times New Roman" w:eastAsia="Times New Roman" w:hAnsi="Times New Roman"/>
          <w:sz w:val="19"/>
          <w:szCs w:val="19"/>
          <w:color w:val="auto"/>
        </w:rPr>
        <w:t xml:space="preserve"> of the Disclosure Schedule.</w:t>
      </w:r>
    </w:p>
    <w:p>
      <w:pPr>
        <w:spacing w:after="0" w:line="227" w:lineRule="exact"/>
        <w:rPr>
          <w:sz w:val="20"/>
          <w:szCs w:val="20"/>
          <w:color w:val="auto"/>
        </w:rPr>
      </w:pPr>
    </w:p>
    <w:p>
      <w:pPr>
        <w:jc w:val="both"/>
        <w:ind w:left="140" w:right="20" w:firstLine="749"/>
        <w:spacing w:after="0" w:line="246" w:lineRule="auto"/>
        <w:rPr>
          <w:sz w:val="20"/>
          <w:szCs w:val="20"/>
          <w:color w:val="auto"/>
        </w:rPr>
      </w:pPr>
      <w:r>
        <w:rPr>
          <w:rFonts w:ascii="Times New Roman" w:cs="Times New Roman" w:eastAsia="Times New Roman" w:hAnsi="Times New Roman"/>
          <w:sz w:val="20"/>
          <w:szCs w:val="20"/>
          <w:color w:val="auto"/>
        </w:rPr>
        <w:t>4.18</w:t>
      </w:r>
      <w:r>
        <w:rPr>
          <w:rFonts w:ascii="Times New Roman" w:cs="Times New Roman" w:eastAsia="Times New Roman" w:hAnsi="Times New Roman"/>
          <w:sz w:val="20"/>
          <w:szCs w:val="20"/>
          <w:u w:val="single" w:color="auto"/>
          <w:color w:val="auto"/>
        </w:rPr>
        <w:t>Economic Risk</w:t>
      </w:r>
      <w:r>
        <w:rPr>
          <w:rFonts w:ascii="Times New Roman" w:cs="Times New Roman" w:eastAsia="Times New Roman" w:hAnsi="Times New Roman"/>
          <w:sz w:val="20"/>
          <w:szCs w:val="20"/>
          <w:color w:val="auto"/>
        </w:rPr>
        <w:t>. Seller is able to bear the economic risk of his investment in the Consideration Shares for an indefinite period of time because the Consideration Shares have not been registered under the Securities Act or qualified for sale under a prospectus (including under applicable Brazilian securities laws) and, therefore, cannot be sold unless subsequently registered under the Securities Act or become qualified for sale under a prospectus or an exemption from such registration or prospectus requirement is available.</w:t>
      </w:r>
    </w:p>
    <w:p>
      <w:pPr>
        <w:spacing w:after="0" w:line="185" w:lineRule="exact"/>
        <w:rPr>
          <w:sz w:val="20"/>
          <w:szCs w:val="20"/>
          <w:color w:val="auto"/>
        </w:rPr>
      </w:pPr>
    </w:p>
    <w:p>
      <w:pPr>
        <w:jc w:val="both"/>
        <w:ind w:left="140" w:right="20" w:firstLine="749"/>
        <w:spacing w:after="0" w:line="249" w:lineRule="auto"/>
        <w:rPr>
          <w:sz w:val="20"/>
          <w:szCs w:val="20"/>
          <w:color w:val="auto"/>
        </w:rPr>
      </w:pPr>
      <w:r>
        <w:rPr>
          <w:rFonts w:ascii="Times New Roman" w:cs="Times New Roman" w:eastAsia="Times New Roman" w:hAnsi="Times New Roman"/>
          <w:sz w:val="20"/>
          <w:szCs w:val="20"/>
          <w:color w:val="auto"/>
        </w:rPr>
        <w:t>4.19</w:t>
      </w:r>
      <w:r>
        <w:rPr>
          <w:rFonts w:ascii="Times New Roman" w:cs="Times New Roman" w:eastAsia="Times New Roman" w:hAnsi="Times New Roman"/>
          <w:sz w:val="20"/>
          <w:szCs w:val="20"/>
          <w:u w:val="single" w:color="auto"/>
          <w:color w:val="auto"/>
        </w:rPr>
        <w:t>Investment Intent</w:t>
      </w:r>
      <w:r>
        <w:rPr>
          <w:rFonts w:ascii="Times New Roman" w:cs="Times New Roman" w:eastAsia="Times New Roman" w:hAnsi="Times New Roman"/>
          <w:sz w:val="20"/>
          <w:szCs w:val="20"/>
          <w:color w:val="auto"/>
        </w:rPr>
        <w:t>. The Consideration Shares to be acquired by Seller pursuant to this Agreement will be acquired for Seller’s own account and not with a view to, or intention of, distribution thereof in violation of the Securities Act, or any applicable state securities laws, and the Consideration Shares will not be disposed of in contravention of the Securities Act or any applicable state securities laws.</w:t>
      </w:r>
    </w:p>
    <w:p>
      <w:pPr>
        <w:spacing w:after="0" w:line="180" w:lineRule="exact"/>
        <w:rPr>
          <w:sz w:val="20"/>
          <w:szCs w:val="20"/>
          <w:color w:val="auto"/>
        </w:rPr>
      </w:pPr>
    </w:p>
    <w:p>
      <w:pPr>
        <w:jc w:val="both"/>
        <w:ind w:left="140" w:right="20" w:firstLine="749"/>
        <w:spacing w:after="0" w:line="254" w:lineRule="auto"/>
        <w:rPr>
          <w:sz w:val="20"/>
          <w:szCs w:val="20"/>
          <w:color w:val="auto"/>
        </w:rPr>
      </w:pPr>
      <w:r>
        <w:rPr>
          <w:rFonts w:ascii="Times New Roman" w:cs="Times New Roman" w:eastAsia="Times New Roman" w:hAnsi="Times New Roman"/>
          <w:sz w:val="20"/>
          <w:szCs w:val="20"/>
          <w:color w:val="auto"/>
        </w:rPr>
        <w:t xml:space="preserve">4.20 </w:t>
      </w:r>
      <w:r>
        <w:rPr>
          <w:rFonts w:ascii="Times New Roman" w:cs="Times New Roman" w:eastAsia="Times New Roman" w:hAnsi="Times New Roman"/>
          <w:sz w:val="20"/>
          <w:szCs w:val="20"/>
          <w:u w:val="single" w:color="auto"/>
          <w:color w:val="auto"/>
        </w:rPr>
        <w:t>No Advertisement</w:t>
      </w:r>
      <w:r>
        <w:rPr>
          <w:rFonts w:ascii="Times New Roman" w:cs="Times New Roman" w:eastAsia="Times New Roman" w:hAnsi="Times New Roman"/>
          <w:sz w:val="20"/>
          <w:szCs w:val="20"/>
          <w:color w:val="auto"/>
        </w:rPr>
        <w:t>. Seller is not acquiring the Consideration Shares as a result of, or subsequent to, any advertisement, article, notice or other communication published in any newspaper, magazine, internet publication or similar media or broadcast over television, radio or the internet or presented at any public seminar or meeting.</w:t>
      </w:r>
    </w:p>
    <w:p>
      <w:pPr>
        <w:spacing w:after="0" w:line="174" w:lineRule="exact"/>
        <w:rPr>
          <w:sz w:val="20"/>
          <w:szCs w:val="20"/>
          <w:color w:val="auto"/>
        </w:rPr>
      </w:pPr>
    </w:p>
    <w:p>
      <w:pPr>
        <w:jc w:val="both"/>
        <w:ind w:left="140" w:right="20" w:firstLine="749"/>
        <w:spacing w:after="0" w:line="254" w:lineRule="auto"/>
        <w:rPr>
          <w:sz w:val="20"/>
          <w:szCs w:val="20"/>
          <w:color w:val="auto"/>
        </w:rPr>
      </w:pPr>
      <w:r>
        <w:rPr>
          <w:rFonts w:ascii="Times New Roman" w:cs="Times New Roman" w:eastAsia="Times New Roman" w:hAnsi="Times New Roman"/>
          <w:sz w:val="20"/>
          <w:szCs w:val="20"/>
          <w:color w:val="auto"/>
        </w:rPr>
        <w:t>4.21</w:t>
      </w:r>
      <w:r>
        <w:rPr>
          <w:rFonts w:ascii="Times New Roman" w:cs="Times New Roman" w:eastAsia="Times New Roman" w:hAnsi="Times New Roman"/>
          <w:sz w:val="20"/>
          <w:szCs w:val="20"/>
          <w:u w:val="single" w:color="auto"/>
          <w:color w:val="auto"/>
        </w:rPr>
        <w:t>Opportunity to Ask Questions</w:t>
      </w:r>
      <w:r>
        <w:rPr>
          <w:rFonts w:ascii="Times New Roman" w:cs="Times New Roman" w:eastAsia="Times New Roman" w:hAnsi="Times New Roman"/>
          <w:sz w:val="20"/>
          <w:szCs w:val="20"/>
          <w:color w:val="auto"/>
        </w:rPr>
        <w:t>. Seller has had an opportunity to ask questions and receive answers concerning the terms and conditions of the offering of the Consideration Shares and has had access to such other information concerning the Purchaser as Seller has requested.</w:t>
      </w:r>
    </w:p>
    <w:p>
      <w:pPr>
        <w:spacing w:after="0" w:line="174" w:lineRule="exact"/>
        <w:rPr>
          <w:sz w:val="20"/>
          <w:szCs w:val="20"/>
          <w:color w:val="auto"/>
        </w:rPr>
      </w:pPr>
    </w:p>
    <w:p>
      <w:pPr>
        <w:jc w:val="both"/>
        <w:ind w:left="140" w:right="20" w:firstLine="749"/>
        <w:spacing w:after="0" w:line="269" w:lineRule="auto"/>
        <w:rPr>
          <w:sz w:val="20"/>
          <w:szCs w:val="20"/>
          <w:color w:val="auto"/>
        </w:rPr>
      </w:pPr>
      <w:r>
        <w:rPr>
          <w:rFonts w:ascii="Times New Roman" w:cs="Times New Roman" w:eastAsia="Times New Roman" w:hAnsi="Times New Roman"/>
          <w:sz w:val="20"/>
          <w:szCs w:val="20"/>
          <w:color w:val="auto"/>
        </w:rPr>
        <w:t>4.22</w:t>
      </w:r>
      <w:r>
        <w:rPr>
          <w:rFonts w:ascii="Times New Roman" w:cs="Times New Roman" w:eastAsia="Times New Roman" w:hAnsi="Times New Roman"/>
          <w:sz w:val="20"/>
          <w:szCs w:val="20"/>
          <w:u w:val="single" w:color="auto"/>
          <w:color w:val="auto"/>
        </w:rPr>
        <w:t>Future Dilution</w:t>
      </w:r>
      <w:r>
        <w:rPr>
          <w:rFonts w:ascii="Times New Roman" w:cs="Times New Roman" w:eastAsia="Times New Roman" w:hAnsi="Times New Roman"/>
          <w:sz w:val="20"/>
          <w:szCs w:val="20"/>
          <w:color w:val="auto"/>
        </w:rPr>
        <w:t>. Seller acknowledges and agrees that there may be additional issuances of equity securities of the Purchaser after the date hereof, and the Consideration Shares may be diluted in connection with any such issuance.</w:t>
      </w:r>
    </w:p>
    <w:p>
      <w:pPr>
        <w:spacing w:after="0" w:line="159" w:lineRule="exact"/>
        <w:rPr>
          <w:sz w:val="20"/>
          <w:szCs w:val="20"/>
          <w:color w:val="auto"/>
        </w:rPr>
      </w:pPr>
    </w:p>
    <w:p>
      <w:pPr>
        <w:jc w:val="both"/>
        <w:ind w:left="140" w:firstLine="749"/>
        <w:spacing w:after="0" w:line="246" w:lineRule="auto"/>
        <w:rPr>
          <w:sz w:val="20"/>
          <w:szCs w:val="20"/>
          <w:color w:val="auto"/>
        </w:rPr>
      </w:pPr>
      <w:r>
        <w:rPr>
          <w:rFonts w:ascii="Times New Roman" w:cs="Times New Roman" w:eastAsia="Times New Roman" w:hAnsi="Times New Roman"/>
          <w:sz w:val="20"/>
          <w:szCs w:val="20"/>
          <w:color w:val="auto"/>
        </w:rPr>
        <w:t>4.23</w:t>
      </w:r>
      <w:r>
        <w:rPr>
          <w:rFonts w:ascii="Times New Roman" w:cs="Times New Roman" w:eastAsia="Times New Roman" w:hAnsi="Times New Roman"/>
          <w:sz w:val="20"/>
          <w:szCs w:val="20"/>
          <w:u w:val="single" w:color="auto"/>
          <w:color w:val="auto"/>
        </w:rPr>
        <w:t>Independent Advice</w:t>
      </w:r>
      <w:r>
        <w:rPr>
          <w:rFonts w:ascii="Times New Roman" w:cs="Times New Roman" w:eastAsia="Times New Roman" w:hAnsi="Times New Roman"/>
          <w:sz w:val="20"/>
          <w:szCs w:val="20"/>
          <w:color w:val="auto"/>
        </w:rPr>
        <w:t>. Seller has had the opportunity, and has been advised by the Purchaser to consult with tax advisors as to the U.S. federal, state, local and foreign Tax consequences of the transactions contemplated by this Agreement, and fully understands the terms and conditions contained herein. Seller is not relying on the Purchaser or any of its Affiliates’, or their respective employees, agents or Representatives with respect to the legal, tax, economic, and related considerations of accepting the Consideration Shares.</w:t>
      </w:r>
    </w:p>
    <w:p>
      <w:pPr>
        <w:spacing w:after="0" w:line="185" w:lineRule="exact"/>
        <w:rPr>
          <w:sz w:val="20"/>
          <w:szCs w:val="20"/>
          <w:color w:val="auto"/>
        </w:rPr>
      </w:pPr>
    </w:p>
    <w:p>
      <w:pPr>
        <w:jc w:val="both"/>
        <w:ind w:left="140" w:right="20" w:firstLine="749"/>
        <w:spacing w:after="0" w:line="254" w:lineRule="auto"/>
        <w:rPr>
          <w:sz w:val="20"/>
          <w:szCs w:val="20"/>
          <w:color w:val="auto"/>
        </w:rPr>
      </w:pPr>
      <w:r>
        <w:rPr>
          <w:rFonts w:ascii="Times New Roman" w:cs="Times New Roman" w:eastAsia="Times New Roman" w:hAnsi="Times New Roman"/>
          <w:sz w:val="20"/>
          <w:szCs w:val="20"/>
          <w:color w:val="auto"/>
        </w:rPr>
        <w:t>4.24</w:t>
      </w:r>
      <w:r>
        <w:rPr>
          <w:rFonts w:ascii="Times New Roman" w:cs="Times New Roman" w:eastAsia="Times New Roman" w:hAnsi="Times New Roman"/>
          <w:sz w:val="20"/>
          <w:szCs w:val="20"/>
          <w:u w:val="single" w:color="auto"/>
          <w:color w:val="auto"/>
        </w:rPr>
        <w:t>Brokerage</w:t>
      </w:r>
      <w:r>
        <w:rPr>
          <w:rFonts w:ascii="Times New Roman" w:cs="Times New Roman" w:eastAsia="Times New Roman" w:hAnsi="Times New Roman"/>
          <w:sz w:val="20"/>
          <w:szCs w:val="20"/>
          <w:color w:val="auto"/>
        </w:rPr>
        <w:t>. There are no claims for brokerage commissions, finders’ fees or similar compensation in connection with the transactions contemplated by this Agreement based on any arrangement or agreement to which Seller is a party or to which Seller is subject.</w:t>
      </w:r>
    </w:p>
    <w:p>
      <w:pPr>
        <w:spacing w:after="0" w:line="174" w:lineRule="exact"/>
        <w:rPr>
          <w:sz w:val="20"/>
          <w:szCs w:val="20"/>
          <w:color w:val="auto"/>
        </w:rPr>
      </w:pPr>
    </w:p>
    <w:p>
      <w:pPr>
        <w:jc w:val="both"/>
        <w:ind w:left="140" w:right="20" w:firstLine="749"/>
        <w:spacing w:after="0" w:line="249" w:lineRule="auto"/>
        <w:rPr>
          <w:sz w:val="20"/>
          <w:szCs w:val="20"/>
          <w:color w:val="auto"/>
        </w:rPr>
      </w:pPr>
      <w:r>
        <w:rPr>
          <w:rFonts w:ascii="Times New Roman" w:cs="Times New Roman" w:eastAsia="Times New Roman" w:hAnsi="Times New Roman"/>
          <w:sz w:val="20"/>
          <w:szCs w:val="20"/>
          <w:color w:val="auto"/>
        </w:rPr>
        <w:t>4.25</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There are no Actions pending or threatened against Seller which seeks or would seek to prevent, delay or impede Seller’s ability to consummate the transactions contemplated by the Documents, nor is Seller subject to any Order of any court or other Governmental Authority which would reasonably be expected to prevent, delay or impede his ability to consummate the transactions contemplated by the Documents.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29" w:name="page30"/>
    <w:bookmarkEnd w:id="29"/>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3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Representations and Warranties Regarding Rocelo</w:t>
      </w:r>
    </w:p>
    <w:p>
      <w:pPr>
        <w:spacing w:after="0" w:line="187" w:lineRule="exact"/>
        <w:rPr>
          <w:sz w:val="20"/>
          <w:szCs w:val="20"/>
          <w:color w:val="auto"/>
        </w:rPr>
      </w:pPr>
    </w:p>
    <w:p>
      <w:pPr>
        <w:jc w:val="both"/>
        <w:ind w:left="740" w:right="20" w:firstLine="749"/>
        <w:spacing w:after="0" w:line="249" w:lineRule="auto"/>
        <w:rPr>
          <w:sz w:val="20"/>
          <w:szCs w:val="20"/>
          <w:color w:val="auto"/>
        </w:rPr>
      </w:pPr>
      <w:r>
        <w:rPr>
          <w:rFonts w:ascii="Times New Roman" w:cs="Times New Roman" w:eastAsia="Times New Roman" w:hAnsi="Times New Roman"/>
          <w:sz w:val="20"/>
          <w:szCs w:val="20"/>
          <w:color w:val="auto"/>
        </w:rPr>
        <w:t xml:space="preserve">As a material inducement to Purchaser to enter into this Agreement and to consummate the transactions contemplated hereby, Rocelo hereby represents and warrants to Purchaser that the following representations and warranties are true and correct as of the date hereof, except as set forth in the Disclosure Schedule (subject and after giving effect to the preamble of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ind w:left="880"/>
        <w:spacing w:after="0"/>
        <w:tabs>
          <w:tab w:leader="none" w:pos="162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u w:val="single" w:color="auto"/>
          <w:color w:val="auto"/>
        </w:rPr>
        <w:t>Authorization; No Breach</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740" w:right="20" w:firstLine="1494"/>
        <w:spacing w:after="0" w:line="244" w:lineRule="auto"/>
        <w:tabs>
          <w:tab w:leader="none" w:pos="252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Rocelo’s execution, delivery and performance of the Documents and all other agreements and instruments contemplated hereby to which Rocelo is a party has been duly authorized by Rocelo. The Documents and all other agreements or instruments contemplated hereby, when executed and delivered by Rocelo in accordance with the terms hereof, shall each constitute a valid and binding obligation, enforceable in accordance with its terms, in each case subject to the effect of any applicable bankruptcy, reorganization, insolvency, moratorium or similar laws affecting creditors’ rights generally and subject, as to enforceability, to the effect of general principles of equity (regardless of whether such enforceability is considered in a proceeding in equity or at law).</w:t>
      </w:r>
    </w:p>
    <w:p>
      <w:pPr>
        <w:spacing w:after="0" w:line="185" w:lineRule="exact"/>
        <w:rPr>
          <w:rFonts w:ascii="Times New Roman" w:cs="Times New Roman" w:eastAsia="Times New Roman" w:hAnsi="Times New Roman"/>
          <w:sz w:val="20"/>
          <w:szCs w:val="20"/>
          <w:color w:val="auto"/>
        </w:rPr>
      </w:pPr>
    </w:p>
    <w:p>
      <w:pPr>
        <w:jc w:val="both"/>
        <w:ind w:left="740" w:firstLine="1494"/>
        <w:spacing w:after="0" w:line="243" w:lineRule="auto"/>
        <w:tabs>
          <w:tab w:leader="none" w:pos="2527"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by Rocelo of the Documents and all other agreements contemplated hereby, and the fulfillment of and compliance with the respective terms hereof and thereof by Rocelo, does not and shall not (whether with or without the passage of time, the giving of notice or both) (i) conflict with or result in a breach of the terms, conditions or provisions of, (ii) constitute a default under (whether with or without the passage of time, the giving of notice or both), (iii) result in the creation of any Lien upon the Acquired Assets pursuant to, (iv) give any third party the right to modify, terminate or accelerate any obligation under, (v) result in a violation of, or (vi) require any authorization, consent, approval, exemption or other action by or notice or declaration to, or filing with, any third party or Governmental Authority pursuant to, (A) any Law to which Rocelo is subject, or (B) any material agreement, instrument, order, judgment or decree to which Rocelo is subject.</w:t>
      </w:r>
    </w:p>
    <w:p>
      <w:pPr>
        <w:spacing w:after="0" w:line="186" w:lineRule="exact"/>
        <w:rPr>
          <w:sz w:val="20"/>
          <w:szCs w:val="20"/>
          <w:color w:val="auto"/>
        </w:rPr>
      </w:pPr>
    </w:p>
    <w:p>
      <w:pPr>
        <w:jc w:val="both"/>
        <w:ind w:left="140" w:right="20" w:firstLine="749"/>
        <w:spacing w:after="0" w:line="249" w:lineRule="auto"/>
        <w:rPr>
          <w:sz w:val="20"/>
          <w:szCs w:val="20"/>
          <w:color w:val="auto"/>
        </w:rPr>
      </w:pPr>
      <w:r>
        <w:rPr>
          <w:rFonts w:ascii="Times New Roman" w:cs="Times New Roman" w:eastAsia="Times New Roman" w:hAnsi="Times New Roman"/>
          <w:sz w:val="20"/>
          <w:szCs w:val="20"/>
          <w:color w:val="auto"/>
        </w:rPr>
        <w:t>5.2</w:t>
      </w:r>
      <w:r>
        <w:rPr>
          <w:rFonts w:ascii="Times New Roman" w:cs="Times New Roman" w:eastAsia="Times New Roman" w:hAnsi="Times New Roman"/>
          <w:sz w:val="20"/>
          <w:szCs w:val="20"/>
          <w:u w:val="single" w:color="auto"/>
          <w:color w:val="auto"/>
        </w:rPr>
        <w:t>Title</w:t>
      </w:r>
      <w:r>
        <w:rPr>
          <w:rFonts w:ascii="Times New Roman" w:cs="Times New Roman" w:eastAsia="Times New Roman" w:hAnsi="Times New Roman"/>
          <w:sz w:val="20"/>
          <w:szCs w:val="20"/>
          <w:color w:val="auto"/>
        </w:rPr>
        <w:t>. Rocelo owns of record and beneficially all of the Equity Interests of the Seller, and has good and valid title to such Equity Interests, free and clear of all Liens. Rocelo is not a party to (a) any option, warrant, purchase right or other Contract (other than this Agreement) that could require Rocelo to sell, transfer or otherwise dispose of any Equity Interests of Seller or (b) any voting trust, proxy, or other agreement or understanding with respect to the voting of any Equity Interests of Seller.</w:t>
      </w:r>
    </w:p>
    <w:p>
      <w:pPr>
        <w:spacing w:after="0" w:line="180" w:lineRule="exact"/>
        <w:rPr>
          <w:sz w:val="20"/>
          <w:szCs w:val="20"/>
          <w:color w:val="auto"/>
        </w:rPr>
      </w:pPr>
    </w:p>
    <w:p>
      <w:pPr>
        <w:jc w:val="both"/>
        <w:ind w:left="140" w:right="20" w:firstLine="749"/>
        <w:spacing w:after="0" w:line="254" w:lineRule="auto"/>
        <w:rPr>
          <w:sz w:val="20"/>
          <w:szCs w:val="20"/>
          <w:color w:val="auto"/>
        </w:rPr>
      </w:pPr>
      <w:r>
        <w:rPr>
          <w:rFonts w:ascii="Times New Roman" w:cs="Times New Roman" w:eastAsia="Times New Roman" w:hAnsi="Times New Roman"/>
          <w:sz w:val="20"/>
          <w:szCs w:val="20"/>
          <w:color w:val="auto"/>
        </w:rPr>
        <w:t>5.3</w:t>
      </w:r>
      <w:r>
        <w:rPr>
          <w:rFonts w:ascii="Times New Roman" w:cs="Times New Roman" w:eastAsia="Times New Roman" w:hAnsi="Times New Roman"/>
          <w:sz w:val="20"/>
          <w:szCs w:val="20"/>
          <w:u w:val="single" w:color="auto"/>
          <w:color w:val="auto"/>
        </w:rPr>
        <w:t>Brokerage</w:t>
      </w:r>
      <w:r>
        <w:rPr>
          <w:rFonts w:ascii="Times New Roman" w:cs="Times New Roman" w:eastAsia="Times New Roman" w:hAnsi="Times New Roman"/>
          <w:sz w:val="20"/>
          <w:szCs w:val="20"/>
          <w:color w:val="auto"/>
        </w:rPr>
        <w:t>. There are no claims for brokerage commissions, finders’ fees or similar compensation in connection with the transactions contemplated by this Agreement based on any arrangement or agreement to which such Rocelo is a party or to which Rocelo is subject.</w:t>
      </w:r>
    </w:p>
    <w:p>
      <w:pPr>
        <w:spacing w:after="0" w:line="174" w:lineRule="exact"/>
        <w:rPr>
          <w:sz w:val="20"/>
          <w:szCs w:val="20"/>
          <w:color w:val="auto"/>
        </w:rPr>
      </w:pPr>
    </w:p>
    <w:p>
      <w:pPr>
        <w:jc w:val="both"/>
        <w:ind w:left="140" w:right="20" w:firstLine="749"/>
        <w:spacing w:after="0" w:line="249" w:lineRule="auto"/>
        <w:rPr>
          <w:sz w:val="20"/>
          <w:szCs w:val="20"/>
          <w:color w:val="auto"/>
        </w:rPr>
      </w:pPr>
      <w:r>
        <w:rPr>
          <w:rFonts w:ascii="Times New Roman" w:cs="Times New Roman" w:eastAsia="Times New Roman" w:hAnsi="Times New Roman"/>
          <w:sz w:val="20"/>
          <w:szCs w:val="20"/>
          <w:color w:val="auto"/>
        </w:rPr>
        <w:t>5.4</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There are no Actions pending or threatened against Rocelo which seeks or would seek to prevent, delay or impede Rocelo’s ability to consummate the transactions contemplated by the Documents, nor is Rocelo subject to any Order of any court or other Governmental Authority which would reasonably be expected to prevent, delay or impede his ability to consummate the transactions contemplated by the Documents.</w:t>
      </w:r>
    </w:p>
    <w:p>
      <w:pPr>
        <w:spacing w:after="0" w:line="180" w:lineRule="exact"/>
        <w:rPr>
          <w:sz w:val="20"/>
          <w:szCs w:val="20"/>
          <w:color w:val="auto"/>
        </w:rPr>
      </w:pPr>
    </w:p>
    <w:p>
      <w:pPr>
        <w:jc w:val="both"/>
        <w:ind w:left="140" w:right="20" w:firstLine="749"/>
        <w:spacing w:after="0" w:line="254" w:lineRule="auto"/>
        <w:rPr>
          <w:sz w:val="20"/>
          <w:szCs w:val="20"/>
          <w:color w:val="auto"/>
        </w:rPr>
      </w:pPr>
      <w:r>
        <w:rPr>
          <w:rFonts w:ascii="Times New Roman" w:cs="Times New Roman" w:eastAsia="Times New Roman" w:hAnsi="Times New Roman"/>
          <w:sz w:val="20"/>
          <w:szCs w:val="20"/>
          <w:color w:val="auto"/>
        </w:rPr>
        <w:t>5.5</w:t>
      </w:r>
      <w:r>
        <w:rPr>
          <w:rFonts w:ascii="Times New Roman" w:cs="Times New Roman" w:eastAsia="Times New Roman" w:hAnsi="Times New Roman"/>
          <w:sz w:val="20"/>
          <w:szCs w:val="20"/>
          <w:u w:val="single" w:color="auto"/>
          <w:color w:val="auto"/>
        </w:rPr>
        <w:t>English Language</w:t>
      </w:r>
      <w:r>
        <w:rPr>
          <w:rFonts w:ascii="Times New Roman" w:cs="Times New Roman" w:eastAsia="Times New Roman" w:hAnsi="Times New Roman"/>
          <w:sz w:val="20"/>
          <w:szCs w:val="20"/>
          <w:color w:val="auto"/>
        </w:rPr>
        <w:t>. Rocelo is able to read and understand English. If Rocelo has received this Agreement, or any other document related to the transactions contemplated by this Agreement translated into a language other than English and if the meaning of the translated version is different than the English version, the English version will control.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395" w:right="699" w:bottom="1440" w:gutter="0" w:footer="0" w:header="0"/>
        </w:sectPr>
      </w:pPr>
    </w:p>
    <w:bookmarkStart w:id="30" w:name="page31"/>
    <w:bookmarkEnd w:id="30"/>
    <w:p>
      <w:pPr>
        <w:jc w:val="center"/>
        <w:ind w:left="380"/>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3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Representations and Warranties of Purchaser</w:t>
      </w:r>
    </w:p>
    <w:p>
      <w:pPr>
        <w:spacing w:after="0" w:line="187" w:lineRule="exact"/>
        <w:rPr>
          <w:sz w:val="20"/>
          <w:szCs w:val="20"/>
          <w:color w:val="auto"/>
        </w:rPr>
      </w:pPr>
    </w:p>
    <w:p>
      <w:pPr>
        <w:jc w:val="both"/>
        <w:ind w:left="740" w:firstLine="749"/>
        <w:spacing w:after="0" w:line="254" w:lineRule="auto"/>
        <w:rPr>
          <w:sz w:val="20"/>
          <w:szCs w:val="20"/>
          <w:color w:val="auto"/>
        </w:rPr>
      </w:pPr>
      <w:r>
        <w:rPr>
          <w:rFonts w:ascii="Times New Roman" w:cs="Times New Roman" w:eastAsia="Times New Roman" w:hAnsi="Times New Roman"/>
          <w:sz w:val="20"/>
          <w:szCs w:val="20"/>
          <w:color w:val="auto"/>
        </w:rPr>
        <w:t>As a material inducement to Seller and Rocelo to enter into this Agreement and to consummate the transactions contemplated hereby, Purchaser hereby represents and warrants to Seller and Rocelo that the following representations and warranties are true and correct as of the date hereof:</w:t>
      </w:r>
    </w:p>
    <w:p>
      <w:pPr>
        <w:spacing w:after="0" w:line="174" w:lineRule="exact"/>
        <w:rPr>
          <w:sz w:val="20"/>
          <w:szCs w:val="20"/>
          <w:color w:val="auto"/>
        </w:rPr>
      </w:pPr>
    </w:p>
    <w:p>
      <w:pPr>
        <w:jc w:val="both"/>
        <w:ind w:left="140" w:right="20" w:firstLine="749"/>
        <w:spacing w:after="0" w:line="254" w:lineRule="auto"/>
        <w:rPr>
          <w:sz w:val="20"/>
          <w:szCs w:val="20"/>
          <w:color w:val="auto"/>
        </w:rPr>
      </w:pPr>
      <w:r>
        <w:rPr>
          <w:rFonts w:ascii="Times New Roman" w:cs="Times New Roman" w:eastAsia="Times New Roman" w:hAnsi="Times New Roman"/>
          <w:sz w:val="20"/>
          <w:szCs w:val="20"/>
          <w:color w:val="auto"/>
        </w:rPr>
        <w:t>6.1</w:t>
      </w:r>
      <w:r>
        <w:rPr>
          <w:rFonts w:ascii="Times New Roman" w:cs="Times New Roman" w:eastAsia="Times New Roman" w:hAnsi="Times New Roman"/>
          <w:sz w:val="20"/>
          <w:szCs w:val="20"/>
          <w:u w:val="single" w:color="auto"/>
          <w:color w:val="auto"/>
        </w:rPr>
        <w:t>Organization and Power</w:t>
      </w:r>
      <w:r>
        <w:rPr>
          <w:rFonts w:ascii="Times New Roman" w:cs="Times New Roman" w:eastAsia="Times New Roman" w:hAnsi="Times New Roman"/>
          <w:sz w:val="20"/>
          <w:szCs w:val="20"/>
          <w:color w:val="auto"/>
        </w:rPr>
        <w:t>. Purchaser is duly organized, validly existing and in good standing under the Laws of its jurisdiction of formation, and Purchaser possesses all requisite power and authority necessary to carry out the transactions contemplated by this Agreement.</w:t>
      </w:r>
    </w:p>
    <w:p>
      <w:pPr>
        <w:spacing w:after="0" w:line="174" w:lineRule="exact"/>
        <w:rPr>
          <w:sz w:val="20"/>
          <w:szCs w:val="20"/>
          <w:color w:val="auto"/>
        </w:rPr>
      </w:pPr>
    </w:p>
    <w:p>
      <w:pPr>
        <w:ind w:left="880"/>
        <w:spacing w:after="0"/>
        <w:tabs>
          <w:tab w:leader="none" w:pos="162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u w:val="single" w:color="auto"/>
          <w:color w:val="auto"/>
        </w:rPr>
        <w:t>Authorization; No Breach</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740" w:right="20" w:firstLine="1494"/>
        <w:spacing w:after="0" w:line="243" w:lineRule="auto"/>
        <w:tabs>
          <w:tab w:leader="none" w:pos="252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this Agreement and all other agreements or instruments contemplated hereby to which Purchaser is a party has been duly authorized by Purchaser and each other Person whose authorization and/or approval is required for such execution, delivery and performance. This Agreement and all other agreements contemplated hereby to which Purchaser is a party, when executed and delivered by Purchaser in accordance with the terms hereof, shall each constitute a valid and binding obligation of Purchaser, enforceable in accordance with its terms, in each case subject to the effect of any applicable bankruptcy, reorganization, insolvency, moratorium or similar laws affecting creditors’ rights generally and subject, as to enforceability, to the effect of general principles of equity (regardless of whether such enforceability is considered in a proceeding in equity or at law).</w:t>
      </w:r>
    </w:p>
    <w:p>
      <w:pPr>
        <w:spacing w:after="0" w:line="189" w:lineRule="exact"/>
        <w:rPr>
          <w:rFonts w:ascii="Times New Roman" w:cs="Times New Roman" w:eastAsia="Times New Roman" w:hAnsi="Times New Roman"/>
          <w:sz w:val="20"/>
          <w:szCs w:val="20"/>
          <w:color w:val="auto"/>
        </w:rPr>
      </w:pPr>
    </w:p>
    <w:p>
      <w:pPr>
        <w:jc w:val="both"/>
        <w:ind w:left="740" w:firstLine="1494"/>
        <w:spacing w:after="0" w:line="243" w:lineRule="auto"/>
        <w:tabs>
          <w:tab w:leader="none" w:pos="252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by Purchaser of this Agreement and all other agreements contemplated hereby to which Purchaser is a party, and the fulfillment of and compliance with the respective terms hereof and thereof by Purchaser, do not and shall not (whether with or without the passage of time, the giving of notice or both) (i) conflict with or result in a breach of the terms, conditions or provisions of, (ii) constitute a default under, (iii) give any third party the right to modify, terminate or accelerate any obligation under, (iv) result in a violation of, or (v) require any authorization, consent, approval, exemption or other action by or notice or declaration to, or filing with, any Governmental Authority pursuant to, (A) the Organizational Documents of Purchaser, (B) any Law to which Purchaser is subject, or (C) any material agreement, instrument, order, judgment or decree to which Purchaser is subject.</w:t>
      </w:r>
    </w:p>
    <w:p>
      <w:pPr>
        <w:spacing w:after="0" w:line="189" w:lineRule="exact"/>
        <w:rPr>
          <w:sz w:val="20"/>
          <w:szCs w:val="20"/>
          <w:color w:val="auto"/>
        </w:rPr>
      </w:pPr>
    </w:p>
    <w:p>
      <w:pPr>
        <w:jc w:val="both"/>
        <w:ind w:left="140" w:right="20" w:firstLine="749"/>
        <w:spacing w:after="0" w:line="254" w:lineRule="auto"/>
        <w:rPr>
          <w:sz w:val="20"/>
          <w:szCs w:val="20"/>
          <w:color w:val="auto"/>
        </w:rPr>
      </w:pPr>
      <w:r>
        <w:rPr>
          <w:rFonts w:ascii="Times New Roman" w:cs="Times New Roman" w:eastAsia="Times New Roman" w:hAnsi="Times New Roman"/>
          <w:sz w:val="20"/>
          <w:szCs w:val="20"/>
          <w:color w:val="auto"/>
        </w:rPr>
        <w:t>6.3</w:t>
      </w:r>
      <w:r>
        <w:rPr>
          <w:rFonts w:ascii="Times New Roman" w:cs="Times New Roman" w:eastAsia="Times New Roman" w:hAnsi="Times New Roman"/>
          <w:sz w:val="20"/>
          <w:szCs w:val="20"/>
          <w:u w:val="single" w:color="auto"/>
          <w:color w:val="auto"/>
        </w:rPr>
        <w:t>Brokerage</w:t>
      </w:r>
      <w:r>
        <w:rPr>
          <w:rFonts w:ascii="Times New Roman" w:cs="Times New Roman" w:eastAsia="Times New Roman" w:hAnsi="Times New Roman"/>
          <w:sz w:val="20"/>
          <w:szCs w:val="20"/>
          <w:color w:val="auto"/>
        </w:rPr>
        <w:t>. There are no claims for brokerage commissions, finders’ fees or similar compensation in connection with the transactions contemplated by this Agreement based on any arrangement or agreement to which Purchaser is a party or to which Purchaser is subject.</w:t>
      </w:r>
    </w:p>
    <w:p>
      <w:pPr>
        <w:spacing w:after="0" w:line="174" w:lineRule="exact"/>
        <w:rPr>
          <w:sz w:val="20"/>
          <w:szCs w:val="20"/>
          <w:color w:val="auto"/>
        </w:rPr>
      </w:pPr>
    </w:p>
    <w:p>
      <w:pPr>
        <w:jc w:val="both"/>
        <w:ind w:left="140" w:right="20" w:firstLine="749"/>
        <w:spacing w:after="0" w:line="249" w:lineRule="auto"/>
        <w:rPr>
          <w:sz w:val="20"/>
          <w:szCs w:val="20"/>
          <w:color w:val="auto"/>
        </w:rPr>
      </w:pPr>
      <w:r>
        <w:rPr>
          <w:rFonts w:ascii="Times New Roman" w:cs="Times New Roman" w:eastAsia="Times New Roman" w:hAnsi="Times New Roman"/>
          <w:sz w:val="20"/>
          <w:szCs w:val="20"/>
          <w:color w:val="auto"/>
        </w:rPr>
        <w:t>6.4</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There are no Actions pending or threatened against the Purchaser which seeks or would seek to prevent, delay or impede the Purchaser’s ability to consummate the transactions contemplated by the Documents, nor is the Purchaser subject to any Order of any court or other Governmental Authority which would reasonably be expected to prevent, delay or impede the Purchaser’s ability to consummate the transactions contemplated by the Documents.</w:t>
      </w:r>
    </w:p>
    <w:p>
      <w:pPr>
        <w:spacing w:after="0" w:line="180" w:lineRule="exact"/>
        <w:rPr>
          <w:sz w:val="20"/>
          <w:szCs w:val="20"/>
          <w:color w:val="auto"/>
        </w:rPr>
      </w:pPr>
    </w:p>
    <w:p>
      <w:pPr>
        <w:jc w:val="both"/>
        <w:ind w:left="140" w:right="20" w:firstLine="749"/>
        <w:spacing w:after="0" w:line="249" w:lineRule="auto"/>
        <w:rPr>
          <w:sz w:val="20"/>
          <w:szCs w:val="20"/>
          <w:color w:val="auto"/>
        </w:rPr>
      </w:pPr>
      <w:r>
        <w:rPr>
          <w:rFonts w:ascii="Times New Roman" w:cs="Times New Roman" w:eastAsia="Times New Roman" w:hAnsi="Times New Roman"/>
          <w:sz w:val="20"/>
          <w:szCs w:val="20"/>
          <w:color w:val="auto"/>
        </w:rPr>
        <w:t>6.5</w:t>
      </w:r>
      <w:r>
        <w:rPr>
          <w:rFonts w:ascii="Times New Roman" w:cs="Times New Roman" w:eastAsia="Times New Roman" w:hAnsi="Times New Roman"/>
          <w:sz w:val="20"/>
          <w:szCs w:val="20"/>
          <w:u w:val="single" w:color="auto"/>
          <w:color w:val="auto"/>
        </w:rPr>
        <w:t>Consideration Shares</w:t>
      </w:r>
      <w:r>
        <w:rPr>
          <w:rFonts w:ascii="Times New Roman" w:cs="Times New Roman" w:eastAsia="Times New Roman" w:hAnsi="Times New Roman"/>
          <w:sz w:val="20"/>
          <w:szCs w:val="20"/>
          <w:color w:val="auto"/>
        </w:rPr>
        <w:t xml:space="preserve">. Assuming the accuracy of the representations and warranties set out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the Consideration Shares, when issued, sold and delivered in accordance with the terms and for the consideration set forth in this Agreement, will be validly issued and fully paid and free of any Liens or restrictions on transfer other than restrictions on transfer under applicable securities Laws.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395" w:right="699" w:bottom="1440" w:gutter="0" w:footer="0" w:header="0"/>
        </w:sectPr>
      </w:pPr>
    </w:p>
    <w:bookmarkStart w:id="31" w:name="page32"/>
    <w:bookmarkEnd w:id="31"/>
    <w:p>
      <w:pPr>
        <w:ind w:left="5180"/>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3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b w:val="1"/>
          <w:bCs w:val="1"/>
          <w:color w:val="auto"/>
        </w:rPr>
        <w:t>Indemnification</w:t>
      </w:r>
    </w:p>
    <w:p>
      <w:pPr>
        <w:spacing w:after="0" w:line="187" w:lineRule="exact"/>
        <w:rPr>
          <w:sz w:val="20"/>
          <w:szCs w:val="20"/>
          <w:color w:val="auto"/>
        </w:rPr>
      </w:pPr>
    </w:p>
    <w:p>
      <w:pPr>
        <w:jc w:val="both"/>
        <w:ind w:left="140" w:firstLine="749"/>
        <w:spacing w:after="0" w:line="241" w:lineRule="auto"/>
        <w:rPr>
          <w:sz w:val="20"/>
          <w:szCs w:val="20"/>
          <w:color w:val="auto"/>
        </w:rPr>
      </w:pPr>
      <w:r>
        <w:rPr>
          <w:rFonts w:ascii="Times New Roman" w:cs="Times New Roman" w:eastAsia="Times New Roman" w:hAnsi="Times New Roman"/>
          <w:sz w:val="20"/>
          <w:szCs w:val="20"/>
          <w:color w:val="auto"/>
        </w:rPr>
        <w:t>7.1</w:t>
      </w:r>
      <w:r>
        <w:rPr>
          <w:rFonts w:ascii="Times New Roman" w:cs="Times New Roman" w:eastAsia="Times New Roman" w:hAnsi="Times New Roman"/>
          <w:sz w:val="20"/>
          <w:szCs w:val="20"/>
          <w:u w:val="single" w:color="auto"/>
          <w:color w:val="auto"/>
        </w:rPr>
        <w:t>Survival of Representations and Warranties</w:t>
      </w:r>
      <w:r>
        <w:rPr>
          <w:rFonts w:ascii="Times New Roman" w:cs="Times New Roman" w:eastAsia="Times New Roman" w:hAnsi="Times New Roman"/>
          <w:sz w:val="20"/>
          <w:szCs w:val="20"/>
          <w:color w:val="auto"/>
        </w:rPr>
        <w:t xml:space="preserve">. The representations and warranties of Purchaser and Seller in this Agreement shall survive the Closing and terminate at 11:59 p.m. Eastern Time on the date that is 18 months following the Closing Date, except (a) that the representations and warranties contained in </w:t>
      </w:r>
      <w:r>
        <w:rPr>
          <w:rFonts w:ascii="Times New Roman" w:cs="Times New Roman" w:eastAsia="Times New Roman" w:hAnsi="Times New Roman"/>
          <w:sz w:val="20"/>
          <w:szCs w:val="20"/>
          <w:u w:val="single" w:color="auto"/>
          <w:color w:val="auto"/>
        </w:rPr>
        <w:t>Section 4.5</w:t>
      </w:r>
      <w:r>
        <w:rPr>
          <w:rFonts w:ascii="Times New Roman" w:cs="Times New Roman" w:eastAsia="Times New Roman" w:hAnsi="Times New Roman"/>
          <w:sz w:val="20"/>
          <w:szCs w:val="20"/>
          <w:color w:val="auto"/>
        </w:rPr>
        <w:t xml:space="preserve"> (Tax Matters) and Section 4.9 (Employees) shall survive the Closing and terminate on the 90</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day following the expiration of the applicable statute of limitations and reassessment periods pursuant to applicable Laws with respect to the Liabilities in question (including, for the avoidance of doubt, any extensions thereof) and (b) the Fundamental Representations shall survive the Closing and terminate on the date that is 6 years following the Closing Date. All covenants and agreements set forth herein shall survive the Closing indefinitely. Notwithstanding the foregoing, any representation or warranty in respect of which indemnity may be sought under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and the indemnity with respect thereto, shall survive the time at which it would otherwise terminate pursuant to this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if written notice of the inaccuracy or breach thereof giving rise to such right of indemnity shall have been given to the party against whom such indemnity may be sought prior to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any such case, such representation or warranty shall survive only (i) for the purposes of claims for indemnity with respect to such inaccuracy or breach and not for the purposes of claims for indemnity related to any other inaccuracy or breach, and (ii) until any claim for indemnity with respect to such inaccuracy or breach is resolved.</w:t>
      </w:r>
    </w:p>
    <w:p>
      <w:pPr>
        <w:spacing w:after="0" w:line="211" w:lineRule="exact"/>
        <w:rPr>
          <w:sz w:val="20"/>
          <w:szCs w:val="20"/>
          <w:color w:val="auto"/>
        </w:rPr>
      </w:pPr>
    </w:p>
    <w:p>
      <w:pPr>
        <w:ind w:left="880"/>
        <w:spacing w:after="0"/>
        <w:tabs>
          <w:tab w:leader="none" w:pos="162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u w:val="single" w:color="auto"/>
          <w:color w:val="auto"/>
        </w:rPr>
        <w:t>General Indemnification</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740" w:right="20" w:firstLine="1494"/>
        <w:spacing w:after="0" w:line="246" w:lineRule="auto"/>
        <w:tabs>
          <w:tab w:leader="none" w:pos="252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Obligations of Seller</w:t>
      </w:r>
      <w:r>
        <w:rPr>
          <w:rFonts w:ascii="Times New Roman" w:cs="Times New Roman" w:eastAsia="Times New Roman" w:hAnsi="Times New Roman"/>
          <w:sz w:val="20"/>
          <w:szCs w:val="20"/>
          <w:color w:val="auto"/>
        </w:rPr>
        <w:t>. From and after the Closing, Seller hereby agrees to indemnify Purchaser and its Affiliates, equityholders, partners, officers, directors, managers, employees, agents, representatives, successors and permitted assigns (collectively, the “</w:t>
      </w:r>
      <w:r>
        <w:rPr>
          <w:rFonts w:ascii="Times New Roman" w:cs="Times New Roman" w:eastAsia="Times New Roman" w:hAnsi="Times New Roman"/>
          <w:sz w:val="20"/>
          <w:szCs w:val="20"/>
          <w:u w:val="single" w:color="auto"/>
          <w:color w:val="auto"/>
        </w:rPr>
        <w:t>Purchaser Indemnified Parties</w:t>
      </w:r>
      <w:r>
        <w:rPr>
          <w:rFonts w:ascii="Times New Roman" w:cs="Times New Roman" w:eastAsia="Times New Roman" w:hAnsi="Times New Roman"/>
          <w:sz w:val="20"/>
          <w:szCs w:val="20"/>
          <w:color w:val="auto"/>
        </w:rPr>
        <w:t>”) and save and hold each of them harmless against and pay on behalf of or reimburse such Purchaser Indemnified Parties as and when incurred for any Losses, which any such Purchaser Indemnified Party may suffer arising from, relating to or as a result of:</w:t>
      </w:r>
    </w:p>
    <w:p>
      <w:pPr>
        <w:spacing w:after="0" w:line="184" w:lineRule="exact"/>
        <w:rPr>
          <w:rFonts w:ascii="Times New Roman" w:cs="Times New Roman" w:eastAsia="Times New Roman" w:hAnsi="Times New Roman"/>
          <w:sz w:val="20"/>
          <w:szCs w:val="20"/>
          <w:color w:val="auto"/>
        </w:rPr>
      </w:pPr>
    </w:p>
    <w:p>
      <w:pPr>
        <w:jc w:val="both"/>
        <w:ind w:left="1740" w:firstLine="1498"/>
        <w:spacing w:after="0" w:line="254" w:lineRule="auto"/>
        <w:tabs>
          <w:tab w:leader="none" w:pos="354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breach of or inaccuracy in any representation or warranty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(in each case including the Disclosure Schedule) or any certificate furnished to Purchaser by the Seller pursuant to this Agreement;</w:t>
      </w:r>
    </w:p>
    <w:p>
      <w:pPr>
        <w:spacing w:after="0" w:line="187" w:lineRule="exact"/>
        <w:rPr>
          <w:rFonts w:ascii="Times New Roman" w:cs="Times New Roman" w:eastAsia="Times New Roman" w:hAnsi="Times New Roman"/>
          <w:sz w:val="20"/>
          <w:szCs w:val="20"/>
          <w:color w:val="auto"/>
        </w:rPr>
      </w:pPr>
    </w:p>
    <w:p>
      <w:pPr>
        <w:ind w:left="3980" w:hanging="742"/>
        <w:spacing w:after="0"/>
        <w:tabs>
          <w:tab w:leader="none" w:pos="398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Excluded Assets or Excluded Liabilities;</w:t>
      </w:r>
    </w:p>
    <w:p>
      <w:pPr>
        <w:spacing w:after="0" w:line="202" w:lineRule="exact"/>
        <w:rPr>
          <w:sz w:val="20"/>
          <w:szCs w:val="20"/>
          <w:color w:val="auto"/>
        </w:rPr>
      </w:pPr>
    </w:p>
    <w:p>
      <w:pPr>
        <w:jc w:val="both"/>
        <w:ind w:left="1740" w:right="20" w:firstLine="1498"/>
        <w:spacing w:after="0" w:line="254" w:lineRule="auto"/>
        <w:rPr>
          <w:sz w:val="20"/>
          <w:szCs w:val="20"/>
          <w:color w:val="auto"/>
        </w:rPr>
      </w:pPr>
      <w:r>
        <w:rPr>
          <w:rFonts w:ascii="Times New Roman" w:cs="Times New Roman" w:eastAsia="Times New Roman" w:hAnsi="Times New Roman"/>
          <w:sz w:val="20"/>
          <w:szCs w:val="20"/>
          <w:color w:val="auto"/>
        </w:rPr>
        <w:t xml:space="preserve">(iii)any breach of or inaccuracy in any representation or warranty set forth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(in each case including the Disclosure Schedule) or any certificate furnished to Purchaser by Seller pursuant to this Agreement; or</w:t>
      </w:r>
    </w:p>
    <w:p>
      <w:pPr>
        <w:spacing w:after="0" w:line="17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(iv)any breach or nonfulfillment of any covenant or agreement of Seller or Rocelo under this</w:t>
      </w:r>
    </w:p>
    <w:p>
      <w:pPr>
        <w:spacing w:after="0" w:line="2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Agreement.</w:t>
      </w:r>
    </w:p>
    <w:p>
      <w:pPr>
        <w:spacing w:after="0" w:line="194" w:lineRule="exact"/>
        <w:rPr>
          <w:sz w:val="20"/>
          <w:szCs w:val="20"/>
          <w:color w:val="auto"/>
        </w:rPr>
      </w:pPr>
    </w:p>
    <w:p>
      <w:pPr>
        <w:jc w:val="both"/>
        <w:ind w:left="740" w:firstLine="1494"/>
        <w:spacing w:after="0" w:line="249" w:lineRule="auto"/>
        <w:tabs>
          <w:tab w:leader="none" w:pos="2527"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Obligations of Purchaser</w:t>
      </w:r>
      <w:r>
        <w:rPr>
          <w:rFonts w:ascii="Times New Roman" w:cs="Times New Roman" w:eastAsia="Times New Roman" w:hAnsi="Times New Roman"/>
          <w:sz w:val="20"/>
          <w:szCs w:val="20"/>
          <w:color w:val="auto"/>
        </w:rPr>
        <w:t>. From and after the Closing, Purchaser shall indemnify Seller and its successors and permitted assigns (collectively, the “</w:t>
      </w:r>
      <w:r>
        <w:rPr>
          <w:rFonts w:ascii="Times New Roman" w:cs="Times New Roman" w:eastAsia="Times New Roman" w:hAnsi="Times New Roman"/>
          <w:sz w:val="20"/>
          <w:szCs w:val="20"/>
          <w:u w:val="single" w:color="auto"/>
          <w:color w:val="auto"/>
        </w:rPr>
        <w:t>Seller Indemnified Parties</w:t>
      </w:r>
      <w:r>
        <w:rPr>
          <w:rFonts w:ascii="Times New Roman" w:cs="Times New Roman" w:eastAsia="Times New Roman" w:hAnsi="Times New Roman"/>
          <w:sz w:val="20"/>
          <w:szCs w:val="20"/>
          <w:color w:val="auto"/>
        </w:rPr>
        <w:t>”) and save and hold each of them harmless against and pay on behalf of or reimburse such Seller Indemnified Parties as and when incurred for any Losses which any Seller Indemnified Party may suffer arising from, relating to or as a result of:</w:t>
      </w:r>
    </w:p>
    <w:p>
      <w:pPr>
        <w:spacing w:after="0" w:line="179" w:lineRule="exact"/>
        <w:rPr>
          <w:rFonts w:ascii="Times New Roman" w:cs="Times New Roman" w:eastAsia="Times New Roman" w:hAnsi="Times New Roman"/>
          <w:sz w:val="20"/>
          <w:szCs w:val="20"/>
          <w:color w:val="auto"/>
        </w:rPr>
      </w:pPr>
    </w:p>
    <w:p>
      <w:pPr>
        <w:ind w:left="1740" w:right="20" w:firstLine="1498"/>
        <w:spacing w:after="0" w:line="267" w:lineRule="auto"/>
        <w:tabs>
          <w:tab w:leader="none" w:pos="354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breach of or inaccuracy in any representation or warranty set forth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or any certificate furnished to Seller by Purchaser pursuant to this Agreement;</w:t>
      </w:r>
    </w:p>
    <w:p>
      <w:pPr>
        <w:spacing w:after="0" w:line="1" w:lineRule="exact"/>
        <w:rPr>
          <w:rFonts w:ascii="Times New Roman" w:cs="Times New Roman" w:eastAsia="Times New Roman" w:hAnsi="Times New Roman"/>
          <w:sz w:val="20"/>
          <w:szCs w:val="20"/>
          <w:color w:val="auto"/>
        </w:rPr>
      </w:pPr>
    </w:p>
    <w:p>
      <w:pPr>
        <w:ind w:left="3980" w:hanging="742"/>
        <w:spacing w:after="0"/>
        <w:tabs>
          <w:tab w:leader="none" w:pos="398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Acquired Assets; or</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512445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395" w:right="699" w:bottom="1440" w:gutter="0" w:footer="0" w:header="0"/>
        </w:sectPr>
      </w:pPr>
    </w:p>
    <w:bookmarkStart w:id="32" w:name="page33"/>
    <w:bookmarkEnd w:id="32"/>
    <w:p>
      <w:pPr>
        <w:spacing w:after="0" w:line="10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(iii)any breach or nonfulfillment of any covenant or agreement of Purchaser under this</w:t>
      </w:r>
    </w:p>
    <w:p>
      <w:pPr>
        <w:spacing w:after="0" w:line="2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Agreement.</w:t>
      </w:r>
    </w:p>
    <w:p>
      <w:pPr>
        <w:spacing w:after="0" w:line="180" w:lineRule="exact"/>
        <w:rPr>
          <w:sz w:val="20"/>
          <w:szCs w:val="20"/>
          <w:color w:val="auto"/>
        </w:rPr>
      </w:pPr>
    </w:p>
    <w:p>
      <w:pPr>
        <w:jc w:val="both"/>
        <w:ind w:left="740" w:firstLine="1494"/>
        <w:spacing w:after="0" w:line="241" w:lineRule="auto"/>
        <w:tabs>
          <w:tab w:leader="none" w:pos="2527"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 on Seller’s Indemnification Obligations</w:t>
      </w:r>
      <w:r>
        <w:rPr>
          <w:rFonts w:ascii="Times New Roman" w:cs="Times New Roman" w:eastAsia="Times New Roman" w:hAnsi="Times New Roman"/>
          <w:sz w:val="20"/>
          <w:szCs w:val="20"/>
          <w:color w:val="auto"/>
        </w:rPr>
        <w:t xml:space="preserve">. Notwithstanding the foregoing, Seller shall not be required to indemnify the Purchaser Indemnified Parties in respect of any Loss under </w:t>
      </w:r>
      <w:r>
        <w:rPr>
          <w:rFonts w:ascii="Times New Roman" w:cs="Times New Roman" w:eastAsia="Times New Roman" w:hAnsi="Times New Roman"/>
          <w:sz w:val="20"/>
          <w:szCs w:val="20"/>
          <w:u w:val="single" w:color="auto"/>
          <w:color w:val="auto"/>
        </w:rPr>
        <w:t>Section 7.2(a)</w:t>
      </w:r>
      <w:r>
        <w:rPr>
          <w:rFonts w:ascii="Times New Roman" w:cs="Times New Roman" w:eastAsia="Times New Roman" w:hAnsi="Times New Roman"/>
          <w:sz w:val="20"/>
          <w:szCs w:val="20"/>
          <w:color w:val="auto"/>
        </w:rPr>
        <w:t xml:space="preserve"> unless and until the aggregate amount of all Losses subject to indemnification under </w:t>
      </w:r>
      <w:r>
        <w:rPr>
          <w:rFonts w:ascii="Times New Roman" w:cs="Times New Roman" w:eastAsia="Times New Roman" w:hAnsi="Times New Roman"/>
          <w:sz w:val="20"/>
          <w:szCs w:val="20"/>
          <w:u w:val="single" w:color="auto"/>
          <w:color w:val="auto"/>
        </w:rPr>
        <w:t>Section 7.2(a)</w:t>
      </w:r>
      <w:r>
        <w:rPr>
          <w:rFonts w:ascii="Times New Roman" w:cs="Times New Roman" w:eastAsia="Times New Roman" w:hAnsi="Times New Roman"/>
          <w:sz w:val="20"/>
          <w:szCs w:val="20"/>
          <w:color w:val="auto"/>
        </w:rPr>
        <w:t xml:space="preserve"> (other than with respect to Seller Fundamental Representations which, for the avoidance of doubt, shall not reduce the Deductible) exceeds $250,000 (the “</w:t>
      </w:r>
      <w:r>
        <w:rPr>
          <w:rFonts w:ascii="Times New Roman" w:cs="Times New Roman" w:eastAsia="Times New Roman" w:hAnsi="Times New Roman"/>
          <w:sz w:val="20"/>
          <w:szCs w:val="20"/>
          <w:u w:val="single" w:color="auto"/>
          <w:color w:val="auto"/>
        </w:rPr>
        <w:t>Deductible</w:t>
      </w:r>
      <w:r>
        <w:rPr>
          <w:rFonts w:ascii="Times New Roman" w:cs="Times New Roman" w:eastAsia="Times New Roman" w:hAnsi="Times New Roman"/>
          <w:sz w:val="20"/>
          <w:szCs w:val="20"/>
          <w:color w:val="auto"/>
        </w:rPr>
        <w:t xml:space="preserve">”), and upon the aggregate amount of all such Losses exceeding the Deductible, the Seller shall be required to indemnify the Purchaser Indemnified Parties for all such Losses, including the first $100,000, and (ii) from and after such time that Seller has made indemnification payments under </w:t>
      </w:r>
      <w:r>
        <w:rPr>
          <w:rFonts w:ascii="Times New Roman" w:cs="Times New Roman" w:eastAsia="Times New Roman" w:hAnsi="Times New Roman"/>
          <w:sz w:val="20"/>
          <w:szCs w:val="20"/>
          <w:u w:val="single" w:color="auto"/>
          <w:color w:val="auto"/>
        </w:rPr>
        <w:t>Section 7.2(a)(i)</w:t>
      </w:r>
      <w:r>
        <w:rPr>
          <w:rFonts w:ascii="Times New Roman" w:cs="Times New Roman" w:eastAsia="Times New Roman" w:hAnsi="Times New Roman"/>
          <w:sz w:val="20"/>
          <w:szCs w:val="20"/>
          <w:color w:val="auto"/>
        </w:rPr>
        <w:t xml:space="preserve"> (other than with respect to Seller Fundamental Representations which, for the avoidance of doubt, shall not count towards the General Cap) that in the aggregate are equal to or in excess of 25% of the Purchase Price (the “</w:t>
      </w:r>
      <w:r>
        <w:rPr>
          <w:rFonts w:ascii="Times New Roman" w:cs="Times New Roman" w:eastAsia="Times New Roman" w:hAnsi="Times New Roman"/>
          <w:sz w:val="20"/>
          <w:szCs w:val="20"/>
          <w:u w:val="single" w:color="auto"/>
          <w:color w:val="auto"/>
        </w:rPr>
        <w:t>General Cap</w:t>
      </w:r>
      <w:r>
        <w:rPr>
          <w:rFonts w:ascii="Times New Roman" w:cs="Times New Roman" w:eastAsia="Times New Roman" w:hAnsi="Times New Roman"/>
          <w:sz w:val="20"/>
          <w:szCs w:val="20"/>
          <w:color w:val="auto"/>
        </w:rPr>
        <w:t xml:space="preserve">”). Further, the Sellers’ liability for any and all Losses that are subject to indemnification pursuant to </w:t>
      </w:r>
      <w:r>
        <w:rPr>
          <w:rFonts w:ascii="Times New Roman" w:cs="Times New Roman" w:eastAsia="Times New Roman" w:hAnsi="Times New Roman"/>
          <w:sz w:val="20"/>
          <w:szCs w:val="20"/>
          <w:u w:val="single" w:color="auto"/>
          <w:color w:val="auto"/>
        </w:rPr>
        <w:t>Section 7.2(a)</w:t>
      </w:r>
      <w:r>
        <w:rPr>
          <w:rFonts w:ascii="Times New Roman" w:cs="Times New Roman" w:eastAsia="Times New Roman" w:hAnsi="Times New Roman"/>
          <w:sz w:val="20"/>
          <w:szCs w:val="20"/>
          <w:color w:val="auto"/>
        </w:rPr>
        <w:t xml:space="preserve"> shall be limited in the aggregate to the Purchase Price (collectively, the “</w:t>
      </w:r>
      <w:r>
        <w:rPr>
          <w:rFonts w:ascii="Times New Roman" w:cs="Times New Roman" w:eastAsia="Times New Roman" w:hAnsi="Times New Roman"/>
          <w:sz w:val="20"/>
          <w:szCs w:val="20"/>
          <w:u w:val="single" w:color="auto"/>
          <w:color w:val="auto"/>
        </w:rPr>
        <w:t>Overall Cap</w:t>
      </w:r>
      <w:r>
        <w:rPr>
          <w:rFonts w:ascii="Times New Roman" w:cs="Times New Roman" w:eastAsia="Times New Roman" w:hAnsi="Times New Roman"/>
          <w:sz w:val="20"/>
          <w:szCs w:val="20"/>
          <w:color w:val="auto"/>
        </w:rPr>
        <w:t xml:space="preserve">”). Notwithstanding anything herein to the contrary, the Deductible and the General Cap shall not apply to Losses to the extent such Losses arise from a breach or inaccuracy of a Seller Fundamental Representation, and none of the Deductible, the General Cap or the Overall Cap shall apply to Losses to the extent such Losses arise from claims for Fraud, and, for the avoidance of doubt, neither the Deductible nor the General Cap shall apply in any claim for indemnification pursuant to </w:t>
      </w:r>
      <w:r>
        <w:rPr>
          <w:rFonts w:ascii="Times New Roman" w:cs="Times New Roman" w:eastAsia="Times New Roman" w:hAnsi="Times New Roman"/>
          <w:sz w:val="20"/>
          <w:szCs w:val="20"/>
          <w:u w:val="single" w:color="auto"/>
          <w:color w:val="auto"/>
        </w:rPr>
        <w:t>Sections 7.2(a)(ii)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7.2(a)(iv)</w:t>
      </w:r>
      <w:r>
        <w:rPr>
          <w:rFonts w:ascii="Times New Roman" w:cs="Times New Roman" w:eastAsia="Times New Roman" w:hAnsi="Times New Roman"/>
          <w:sz w:val="20"/>
          <w:szCs w:val="20"/>
          <w:color w:val="auto"/>
        </w:rPr>
        <w:t>.</w:t>
      </w:r>
    </w:p>
    <w:p>
      <w:pPr>
        <w:spacing w:after="0" w:line="194" w:lineRule="exact"/>
        <w:rPr>
          <w:rFonts w:ascii="Times New Roman" w:cs="Times New Roman" w:eastAsia="Times New Roman" w:hAnsi="Times New Roman"/>
          <w:sz w:val="20"/>
          <w:szCs w:val="20"/>
          <w:color w:val="auto"/>
        </w:rPr>
      </w:pPr>
    </w:p>
    <w:p>
      <w:pPr>
        <w:jc w:val="both"/>
        <w:ind w:left="740" w:right="20" w:firstLine="1494"/>
        <w:spacing w:after="0" w:line="243" w:lineRule="auto"/>
        <w:tabs>
          <w:tab w:leader="none" w:pos="252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 on Purchaser’s Indemnification Obligations</w:t>
      </w:r>
      <w:r>
        <w:rPr>
          <w:rFonts w:ascii="Times New Roman" w:cs="Times New Roman" w:eastAsia="Times New Roman" w:hAnsi="Times New Roman"/>
          <w:sz w:val="20"/>
          <w:szCs w:val="20"/>
          <w:color w:val="auto"/>
        </w:rPr>
        <w:t xml:space="preserve">. Notwithstanding the foregoing, (i) Purchaser shall not be required to indemnify the Seller Indemnified Parties in respect of any Loss under </w:t>
      </w:r>
      <w:r>
        <w:rPr>
          <w:rFonts w:ascii="Times New Roman" w:cs="Times New Roman" w:eastAsia="Times New Roman" w:hAnsi="Times New Roman"/>
          <w:sz w:val="20"/>
          <w:szCs w:val="20"/>
          <w:u w:val="single" w:color="auto"/>
          <w:color w:val="auto"/>
        </w:rPr>
        <w:t>Section 7.2(b)</w:t>
      </w:r>
      <w:r>
        <w:rPr>
          <w:rFonts w:ascii="Times New Roman" w:cs="Times New Roman" w:eastAsia="Times New Roman" w:hAnsi="Times New Roman"/>
          <w:sz w:val="20"/>
          <w:szCs w:val="20"/>
          <w:color w:val="auto"/>
        </w:rPr>
        <w:t xml:space="preserve"> (A) unless and until the aggregate of all Losses subject to such indemnification (other than with respect to Purchaser Fundamental Representations) exceeds the Deductible and (B) in excess of the General Cap and (ii) Purchaser’s liability for any and all Losses that are subject to indemnification pursuant to </w:t>
      </w:r>
      <w:r>
        <w:rPr>
          <w:rFonts w:ascii="Times New Roman" w:cs="Times New Roman" w:eastAsia="Times New Roman" w:hAnsi="Times New Roman"/>
          <w:sz w:val="20"/>
          <w:szCs w:val="20"/>
          <w:u w:val="single" w:color="auto"/>
          <w:color w:val="auto"/>
        </w:rPr>
        <w:t>Section 7.2(b)</w:t>
      </w:r>
      <w:r>
        <w:rPr>
          <w:rFonts w:ascii="Times New Roman" w:cs="Times New Roman" w:eastAsia="Times New Roman" w:hAnsi="Times New Roman"/>
          <w:sz w:val="20"/>
          <w:szCs w:val="20"/>
          <w:color w:val="auto"/>
        </w:rPr>
        <w:t xml:space="preserve"> shall be limited in the aggregate to the Overall Cap. Notwithstanding anything herein to the contrary, the Deductible and the Overall Cap shall not apply to Losses to the extent such Losses arise from a breach or inaccuracy of a Purchaser Fundamental Representation, and none of the Deductible, or the Overall Cap shall apply to Losses to the extent such Losses arise from claims for Fraud, and, for the avoidance of doubt, neither the Deductible nor the Overall Cap shall apply in any claim for indemnification pursuant to </w:t>
      </w:r>
      <w:r>
        <w:rPr>
          <w:rFonts w:ascii="Times New Roman" w:cs="Times New Roman" w:eastAsia="Times New Roman" w:hAnsi="Times New Roman"/>
          <w:sz w:val="20"/>
          <w:szCs w:val="20"/>
          <w:u w:val="single" w:color="auto"/>
          <w:color w:val="auto"/>
        </w:rPr>
        <w:t>Section 7.2(b)(iii)</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left="140" w:right="20" w:firstLine="749"/>
        <w:spacing w:after="0" w:line="242" w:lineRule="auto"/>
        <w:rPr>
          <w:sz w:val="20"/>
          <w:szCs w:val="20"/>
          <w:color w:val="auto"/>
        </w:rPr>
      </w:pPr>
      <w:r>
        <w:rPr>
          <w:rFonts w:ascii="Times New Roman" w:cs="Times New Roman" w:eastAsia="Times New Roman" w:hAnsi="Times New Roman"/>
          <w:sz w:val="20"/>
          <w:szCs w:val="20"/>
          <w:color w:val="auto"/>
        </w:rPr>
        <w:t>7.3</w:t>
      </w:r>
      <w:r>
        <w:rPr>
          <w:rFonts w:ascii="Times New Roman" w:cs="Times New Roman" w:eastAsia="Times New Roman" w:hAnsi="Times New Roman"/>
          <w:sz w:val="20"/>
          <w:szCs w:val="20"/>
          <w:u w:val="single" w:color="auto"/>
          <w:color w:val="auto"/>
        </w:rPr>
        <w:t>Manner of Payment</w:t>
      </w:r>
      <w:r>
        <w:rPr>
          <w:rFonts w:ascii="Times New Roman" w:cs="Times New Roman" w:eastAsia="Times New Roman" w:hAnsi="Times New Roman"/>
          <w:sz w:val="20"/>
          <w:szCs w:val="20"/>
          <w:color w:val="auto"/>
        </w:rPr>
        <w:t xml:space="preserve">. Any indemnification of the Purchaser Indemnified Parties or the Seller Indemnified Parties pursuant to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shall be effected by wire transfer of immediately available funds from Seller or Purchaser, as the case may be, to an account designated in writing by the applicable Purchaser Indemnified Party or Seller Indemnified Party, as the case may be, within 10 days after the determination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at the option of the Purchaser (which option may be exercised in the Purchaser’s sole and absolute discretion), any indemnification of the Purchaser Indemnified Parties may be set-off against up to 50% of each of the First Earn-Out Payment or Second Earn-Out Payment by (A)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xml:space="preserve">, deducting the amounts in USDT payable to Seller and (B)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xml:space="preserve"> by the reclassification as Deferred Shares of the number of Consideration Shares issued to the applicable Seller that is equal to the quotient of: (i) the total amount of Losses indemnifiable by such Seller; divided by (ii) the VWAP of the Buyer’s common stock on NASDAQ over the five (5) trading day period immediately prior to closing (being the share price of each Consideration Share on the date of this Agreement), rounded to the nearest full share. Any reclassification of Consideration Shares as Deferred Shares in accordance with this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shall be by notice served on the Seller by the Purchaser and each Seller agrees that the provisions of article 7 of the articles of the association of the Purchaser shall apply to allow such conversion.</w:t>
      </w:r>
    </w:p>
    <w:p>
      <w:pPr>
        <w:spacing w:after="0" w:line="52" w:lineRule="exact"/>
        <w:rPr>
          <w:sz w:val="20"/>
          <w:szCs w:val="20"/>
          <w:color w:val="auto"/>
        </w:rPr>
      </w:pPr>
    </w:p>
    <w:p>
      <w:pPr>
        <w:jc w:val="both"/>
        <w:ind w:left="140" w:right="20" w:firstLine="749"/>
        <w:spacing w:after="0" w:line="246" w:lineRule="auto"/>
        <w:rPr>
          <w:sz w:val="20"/>
          <w:szCs w:val="20"/>
          <w:color w:val="auto"/>
        </w:rPr>
      </w:pPr>
      <w:r>
        <w:rPr>
          <w:rFonts w:ascii="Times New Roman" w:cs="Times New Roman" w:eastAsia="Times New Roman" w:hAnsi="Times New Roman"/>
          <w:sz w:val="20"/>
          <w:szCs w:val="20"/>
          <w:color w:val="auto"/>
        </w:rPr>
        <w:t>7.4</w:t>
      </w:r>
      <w:r>
        <w:rPr>
          <w:rFonts w:ascii="Times New Roman" w:cs="Times New Roman" w:eastAsia="Times New Roman" w:hAnsi="Times New Roman"/>
          <w:sz w:val="20"/>
          <w:szCs w:val="20"/>
          <w:u w:val="single" w:color="auto"/>
          <w:color w:val="auto"/>
        </w:rPr>
        <w:t>Third Party Claims</w:t>
      </w:r>
      <w:r>
        <w:rPr>
          <w:rFonts w:ascii="Times New Roman" w:cs="Times New Roman" w:eastAsia="Times New Roman" w:hAnsi="Times New Roman"/>
          <w:sz w:val="20"/>
          <w:szCs w:val="20"/>
          <w:color w:val="auto"/>
        </w:rPr>
        <w:t xml:space="preserve">. Any Person making a claim for indemnification under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shall notify the indemnifying party (an “</w:t>
      </w:r>
      <w:r>
        <w:rPr>
          <w:rFonts w:ascii="Times New Roman" w:cs="Times New Roman" w:eastAsia="Times New Roman" w:hAnsi="Times New Roman"/>
          <w:sz w:val="20"/>
          <w:szCs w:val="20"/>
          <w:u w:val="single" w:color="auto"/>
          <w:color w:val="auto"/>
        </w:rPr>
        <w:t>Indemnitor</w:t>
      </w:r>
      <w:r>
        <w:rPr>
          <w:rFonts w:ascii="Times New Roman" w:cs="Times New Roman" w:eastAsia="Times New Roman" w:hAnsi="Times New Roman"/>
          <w:sz w:val="20"/>
          <w:szCs w:val="20"/>
          <w:color w:val="auto"/>
        </w:rPr>
        <w:t xml:space="preserve">”) of the claim in writing promptly after receiving written notice of any action, lawsuit, proceeding, investigation or other claim against it (if by a third party), describing the claim, the amount thereof (if known and quantifiable) and the basis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notice required to be provided to Seller as Indemnitors pursuant hereto shall be delivered to Seller ;</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33" w:name="page34"/>
    <w:bookmarkEnd w:id="33"/>
    <w:p>
      <w:pPr>
        <w:jc w:val="both"/>
        <w:ind w:left="140" w:right="20"/>
        <w:spacing w:after="0" w:line="243" w:lineRule="auto"/>
        <w:rPr>
          <w:sz w:val="20"/>
          <w:szCs w:val="20"/>
          <w:color w:val="auto"/>
        </w:rPr>
      </w:pP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failure to so notify an Indemnitor shall not relieve the Indemnitor of its obligations hereunder except to the extent that (and only to the extent that) the Indemnitor has been materially prejudiced thereby. Any Indemnitor shall be entitled to participate in the defense of such action, lawsuit, proceeding, investigation or other claim giving rise to an Indemnitee’s claim for indemnification at such Indemnitor’s expense, and at its option (subject to the limitations set forth below) shall be entitled to assume the defense thereof by appointing a reputable counsel reasonably acceptable to the Indemnitee to be the lead counsel in connection with such defense;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prior to the Indemnitor assuming control of such defense it shall, within 20 days of its receipt of an indemnification claim, first verify to the Indemnitee in writing that such Indemnitor shall be responsible (with no reservation of any rights) for all liabilities and obligations relating to such claim for indemnification;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w:t>
      </w:r>
    </w:p>
    <w:p>
      <w:pPr>
        <w:spacing w:after="0" w:line="189" w:lineRule="exact"/>
        <w:rPr>
          <w:sz w:val="20"/>
          <w:szCs w:val="20"/>
          <w:color w:val="auto"/>
        </w:rPr>
      </w:pPr>
    </w:p>
    <w:p>
      <w:pPr>
        <w:jc w:val="both"/>
        <w:ind w:left="740" w:right="20" w:firstLine="1494"/>
        <w:spacing w:after="0" w:line="245" w:lineRule="auto"/>
        <w:tabs>
          <w:tab w:leader="none" w:pos="252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Indemnitee shall be entitled to participate in the defense of such claim and to employ counsel of its choice for such purpose;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fees and expenses of such separate counsel shall be borne by the Indemnitee (other than any fees and expenses of such separate counsel that are incurred prior to the date the Indemnitor effectively assumes control of such defense which, notwithstanding the foregoing, shall be borne by the Indemnitor, and except that the Indemnitor shall pay the reasonable fees and expenses of such separate counsel if the Indemnitee has been advised by counsel that a reasonable likelihood exists of a conflict of interest between the Indemnitor and the Indemnitee);</w:t>
      </w:r>
    </w:p>
    <w:p>
      <w:pPr>
        <w:spacing w:after="0" w:line="184" w:lineRule="exact"/>
        <w:rPr>
          <w:rFonts w:ascii="Times New Roman" w:cs="Times New Roman" w:eastAsia="Times New Roman" w:hAnsi="Times New Roman"/>
          <w:sz w:val="20"/>
          <w:szCs w:val="20"/>
          <w:color w:val="auto"/>
        </w:rPr>
      </w:pPr>
    </w:p>
    <w:p>
      <w:pPr>
        <w:jc w:val="both"/>
        <w:ind w:left="740" w:firstLine="1494"/>
        <w:spacing w:after="0" w:line="242" w:lineRule="auto"/>
        <w:tabs>
          <w:tab w:leader="none" w:pos="2527"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Indemnitor or Seller, as applicable, shall not be entitled to assume control of such defense (unless otherwise agreed to in writing by the Indemnitee) and the Indemnitor shall pay the reasonable fees and expenses of counsel retained by the Indemnitee if (1) the claim for indemnification relates to or arises in connection with any criminal or quasi criminal proceeding, action, indictment, allegation or investigation; (2) the Indemnitee reasonably believes an adverse determination with respect to the action, lawsuit, investigation, proceeding or other claim giving rise to such claim for indemnification would be materially detrimental to the Indemnitee’s future business prospects; (3) the claim seeks an injunction or equitable relief against the Indemnitee; (4) the Indemnitee has been advised by counsel that a reasonable likelihood exists of a conflict of interest between the Indemnitor and the Indemnitee; (5) upon petition by the Indemnitee, the appropriate court rules that the Indemnitor failed or is failing to vigorously prosecute or defend such claim; (6) the claim is with respect to Taxes, (7) the Indemnitee reasonably believes that the Indemnitor lacks the financial resources to satisfy any Losses relating to the claim, or (8) the claim for indemnification would reasonably be expected to result in greater liability to the Indemnitee than the Indemnitor, taking into account the Deductible and other limitations on indemnification herein;</w:t>
      </w:r>
    </w:p>
    <w:p>
      <w:pPr>
        <w:spacing w:after="0" w:line="187" w:lineRule="exact"/>
        <w:rPr>
          <w:rFonts w:ascii="Times New Roman" w:cs="Times New Roman" w:eastAsia="Times New Roman" w:hAnsi="Times New Roman"/>
          <w:sz w:val="20"/>
          <w:szCs w:val="20"/>
          <w:color w:val="auto"/>
        </w:rPr>
      </w:pPr>
    </w:p>
    <w:p>
      <w:pPr>
        <w:jc w:val="both"/>
        <w:ind w:left="740" w:right="20" w:firstLine="1494"/>
        <w:spacing w:after="0" w:line="246" w:lineRule="auto"/>
        <w:tabs>
          <w:tab w:leader="none" w:pos="252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Indemnitor or Seller, as applicable, shall control the defense of any such claim, such Person shall obtain the prior written consent of the Indemnitee before entering into any settlement of a claim or ceasing to defend such claim if, pursuant to or as a result of such settlement or cessation, injunctive or other equitable relief will be imposed against the Indemnitee or if such settlement does not expressly and unconditionally release the Indemnitee from all liabilities and obligations with respect to such claim, without prejudice; and</w:t>
      </w:r>
    </w:p>
    <w:p>
      <w:pPr>
        <w:spacing w:after="0" w:line="184" w:lineRule="exact"/>
        <w:rPr>
          <w:rFonts w:ascii="Times New Roman" w:cs="Times New Roman" w:eastAsia="Times New Roman" w:hAnsi="Times New Roman"/>
          <w:sz w:val="20"/>
          <w:szCs w:val="20"/>
          <w:color w:val="auto"/>
        </w:rPr>
      </w:pPr>
    </w:p>
    <w:p>
      <w:pPr>
        <w:jc w:val="both"/>
        <w:ind w:left="740" w:right="20" w:firstLine="1494"/>
        <w:spacing w:after="0" w:line="254" w:lineRule="auto"/>
        <w:tabs>
          <w:tab w:leader="none" w:pos="252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Indemnitor or Seller, as applicable, is not entitled to, or does not, assume control of such defense pursuant to the preceding provisions of this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the Indemnitee shall control such defense without waiving any right that the Indemnitee may have against the Indemnitor for indemnification pursuant to this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w:t>
      </w:r>
    </w:p>
    <w:p>
      <w:pPr>
        <w:spacing w:after="0" w:line="39" w:lineRule="exact"/>
        <w:rPr>
          <w:sz w:val="20"/>
          <w:szCs w:val="20"/>
          <w:color w:val="auto"/>
        </w:rPr>
      </w:pPr>
    </w:p>
    <w:p>
      <w:pPr>
        <w:jc w:val="both"/>
        <w:ind w:left="140" w:firstLine="749"/>
        <w:spacing w:after="0" w:line="245" w:lineRule="auto"/>
        <w:rPr>
          <w:sz w:val="20"/>
          <w:szCs w:val="20"/>
          <w:color w:val="auto"/>
        </w:rPr>
      </w:pPr>
      <w:r>
        <w:rPr>
          <w:rFonts w:ascii="Times New Roman" w:cs="Times New Roman" w:eastAsia="Times New Roman" w:hAnsi="Times New Roman"/>
          <w:sz w:val="20"/>
          <w:szCs w:val="20"/>
          <w:color w:val="auto"/>
        </w:rPr>
        <w:t>7.5</w:t>
      </w:r>
      <w:r>
        <w:rPr>
          <w:rFonts w:ascii="Times New Roman" w:cs="Times New Roman" w:eastAsia="Times New Roman" w:hAnsi="Times New Roman"/>
          <w:sz w:val="20"/>
          <w:szCs w:val="20"/>
          <w:u w:val="single" w:color="auto"/>
          <w:color w:val="auto"/>
        </w:rPr>
        <w:t>Direct Claims</w:t>
      </w:r>
      <w:r>
        <w:rPr>
          <w:rFonts w:ascii="Times New Roman" w:cs="Times New Roman" w:eastAsia="Times New Roman" w:hAnsi="Times New Roman"/>
          <w:sz w:val="20"/>
          <w:szCs w:val="20"/>
          <w:color w:val="auto"/>
        </w:rPr>
        <w:t xml:space="preserve">. Notwithstanding anything herein to the contrary, any claim by an Indemnitee for indemnification not involving a third party claim may be asserted by giving the Indemnitor written notice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notice required to be provided to Seller as Indemnitor pursuant hereto shall be delivered to Seller . If the Indemnitor does not notify the Indemnitee within 30 calendar days following its receipt of such notice that the Indemnitor disputes its liability to the Indemnitee, such claim specified by the Indemnitee in such notice shall be conclusively deemed an immediately due and payable obligation of the Indemnitor hereunder.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399" w:right="699" w:bottom="1440" w:gutter="0" w:footer="0" w:header="0"/>
        </w:sectPr>
      </w:pPr>
    </w:p>
    <w:bookmarkStart w:id="34" w:name="page35"/>
    <w:bookmarkEnd w:id="34"/>
    <w:p>
      <w:pPr>
        <w:spacing w:after="0" w:line="108" w:lineRule="exact"/>
        <w:rPr>
          <w:sz w:val="20"/>
          <w:szCs w:val="20"/>
          <w:color w:val="auto"/>
        </w:rPr>
      </w:pPr>
    </w:p>
    <w:p>
      <w:pPr>
        <w:jc w:val="both"/>
        <w:ind w:left="140" w:firstLine="749"/>
        <w:spacing w:after="0" w:line="246" w:lineRule="auto"/>
        <w:rPr>
          <w:sz w:val="20"/>
          <w:szCs w:val="20"/>
          <w:color w:val="auto"/>
        </w:rPr>
      </w:pPr>
      <w:r>
        <w:rPr>
          <w:rFonts w:ascii="Times New Roman" w:cs="Times New Roman" w:eastAsia="Times New Roman" w:hAnsi="Times New Roman"/>
          <w:sz w:val="20"/>
          <w:szCs w:val="20"/>
          <w:color w:val="auto"/>
        </w:rPr>
        <w:t>7.6</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If the amount of Losses incurred by an Indemnitee at any time subsequent to the making of an indemnity payment is reduced by any recovery, settlement or otherwise under any insurance coverage or under any claim, recovery, settlement or payment by or against any other Person, the Indemnitee shall promptly repay to the Indemnitor the amount of the reduction (less any reasonable costs and expenses (including Taxes)). Each Indemnitee shall use commercially reasonable efforts to recover from insurance policies in respect of any such Losses.</w:t>
      </w:r>
    </w:p>
    <w:p>
      <w:pPr>
        <w:spacing w:after="0" w:line="185" w:lineRule="exact"/>
        <w:rPr>
          <w:sz w:val="20"/>
          <w:szCs w:val="20"/>
          <w:color w:val="auto"/>
        </w:rPr>
      </w:pPr>
    </w:p>
    <w:p>
      <w:pPr>
        <w:jc w:val="both"/>
        <w:ind w:left="140" w:firstLine="749"/>
        <w:spacing w:after="0" w:line="249" w:lineRule="auto"/>
        <w:rPr>
          <w:sz w:val="20"/>
          <w:szCs w:val="20"/>
          <w:color w:val="auto"/>
        </w:rPr>
      </w:pPr>
      <w:r>
        <w:rPr>
          <w:rFonts w:ascii="Times New Roman" w:cs="Times New Roman" w:eastAsia="Times New Roman" w:hAnsi="Times New Roman"/>
          <w:sz w:val="20"/>
          <w:szCs w:val="20"/>
          <w:color w:val="auto"/>
        </w:rPr>
        <w:t xml:space="preserve">7.7 </w:t>
      </w:r>
      <w:r>
        <w:rPr>
          <w:rFonts w:ascii="Times New Roman" w:cs="Times New Roman" w:eastAsia="Times New Roman" w:hAnsi="Times New Roman"/>
          <w:sz w:val="20"/>
          <w:szCs w:val="20"/>
          <w:u w:val="single" w:color="auto"/>
          <w:color w:val="auto"/>
        </w:rPr>
        <w:t>Types of Losses</w:t>
      </w:r>
      <w:r>
        <w:rPr>
          <w:rFonts w:ascii="Times New Roman" w:cs="Times New Roman" w:eastAsia="Times New Roman" w:hAnsi="Times New Roman"/>
          <w:sz w:val="20"/>
          <w:szCs w:val="20"/>
          <w:color w:val="auto"/>
        </w:rPr>
        <w:t>. Neither the Purchaser Indemnified Parties nor the Seller Indemnified Parties shall be entitled to be indemnified pursuant to this Agreement for any Losses arising from, relating to or as a result of punitive damages except to the extent such punitive damages are actually awarded to a third party in an action brought against a Purchaser Indemnified Party or a Seller Indemnified Party, as applicable.</w:t>
      </w:r>
    </w:p>
    <w:p>
      <w:pPr>
        <w:spacing w:after="0" w:line="180" w:lineRule="exact"/>
        <w:rPr>
          <w:sz w:val="20"/>
          <w:szCs w:val="20"/>
          <w:color w:val="auto"/>
        </w:rPr>
      </w:pPr>
    </w:p>
    <w:p>
      <w:pPr>
        <w:jc w:val="both"/>
        <w:ind w:left="140" w:firstLine="749"/>
        <w:spacing w:after="0" w:line="245" w:lineRule="auto"/>
        <w:rPr>
          <w:sz w:val="20"/>
          <w:szCs w:val="20"/>
          <w:color w:val="auto"/>
        </w:rPr>
      </w:pPr>
      <w:r>
        <w:rPr>
          <w:rFonts w:ascii="Times New Roman" w:cs="Times New Roman" w:eastAsia="Times New Roman" w:hAnsi="Times New Roman"/>
          <w:sz w:val="20"/>
          <w:szCs w:val="20"/>
          <w:color w:val="auto"/>
        </w:rPr>
        <w:t>7.8</w:t>
      </w:r>
      <w:r>
        <w:rPr>
          <w:rFonts w:ascii="Times New Roman" w:cs="Times New Roman" w:eastAsia="Times New Roman" w:hAnsi="Times New Roman"/>
          <w:sz w:val="20"/>
          <w:szCs w:val="20"/>
          <w:u w:val="single" w:color="auto"/>
          <w:color w:val="auto"/>
        </w:rPr>
        <w:t>Materiality</w:t>
      </w:r>
      <w:r>
        <w:rPr>
          <w:rFonts w:ascii="Times New Roman" w:cs="Times New Roman" w:eastAsia="Times New Roman" w:hAnsi="Times New Roman"/>
          <w:sz w:val="20"/>
          <w:szCs w:val="20"/>
          <w:color w:val="auto"/>
        </w:rPr>
        <w:t>. Notwithstanding anything contained herein to the contrary, for purposes of determining whether there has been a breach of any representation or warranty and the amount of Losses that are the subject matter of a claim for indemnification or reimbursement hereunder, each representation and warranty in this Agreement and the schedules and exhibits hereto shall be read without regard and without giving effect to the term “material” or “Material Adverse Effect” or similar phrases contained in such representation or warranty which has the effect of making such representation and warranty less restrictive (as if such word were deleted from such representation and warranty).</w:t>
      </w:r>
    </w:p>
    <w:p>
      <w:pPr>
        <w:spacing w:after="0" w:line="184" w:lineRule="exact"/>
        <w:rPr>
          <w:sz w:val="20"/>
          <w:szCs w:val="20"/>
          <w:color w:val="auto"/>
        </w:rPr>
      </w:pPr>
    </w:p>
    <w:p>
      <w:pPr>
        <w:jc w:val="both"/>
        <w:ind w:left="140" w:firstLine="749"/>
        <w:spacing w:after="0" w:line="269" w:lineRule="auto"/>
        <w:rPr>
          <w:sz w:val="20"/>
          <w:szCs w:val="20"/>
          <w:color w:val="auto"/>
        </w:rPr>
      </w:pPr>
      <w:r>
        <w:rPr>
          <w:rFonts w:ascii="Times New Roman" w:cs="Times New Roman" w:eastAsia="Times New Roman" w:hAnsi="Times New Roman"/>
          <w:sz w:val="20"/>
          <w:szCs w:val="20"/>
          <w:color w:val="auto"/>
        </w:rPr>
        <w:t>7.9</w:t>
      </w:r>
      <w:r>
        <w:rPr>
          <w:rFonts w:ascii="Times New Roman" w:cs="Times New Roman" w:eastAsia="Times New Roman" w:hAnsi="Times New Roman"/>
          <w:sz w:val="20"/>
          <w:szCs w:val="20"/>
          <w:u w:val="single" w:color="auto"/>
          <w:color w:val="auto"/>
        </w:rPr>
        <w:t>Adjustment to Purchase Price</w:t>
      </w:r>
      <w:r>
        <w:rPr>
          <w:rFonts w:ascii="Times New Roman" w:cs="Times New Roman" w:eastAsia="Times New Roman" w:hAnsi="Times New Roman"/>
          <w:sz w:val="20"/>
          <w:szCs w:val="20"/>
          <w:color w:val="auto"/>
        </w:rPr>
        <w:t xml:space="preserve">. All payments made pursuant to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shall be treated as an adjustment to the Purchase Price for Tax purposes, unless otherwise required by Law.</w:t>
      </w:r>
    </w:p>
    <w:p>
      <w:pPr>
        <w:spacing w:after="0" w:line="159" w:lineRule="exact"/>
        <w:rPr>
          <w:sz w:val="20"/>
          <w:szCs w:val="20"/>
          <w:color w:val="auto"/>
        </w:rPr>
      </w:pPr>
    </w:p>
    <w:p>
      <w:pPr>
        <w:jc w:val="both"/>
        <w:ind w:left="140" w:firstLine="749"/>
        <w:spacing w:after="0" w:line="249" w:lineRule="auto"/>
        <w:rPr>
          <w:sz w:val="20"/>
          <w:szCs w:val="20"/>
          <w:color w:val="auto"/>
        </w:rPr>
      </w:pPr>
      <w:r>
        <w:rPr>
          <w:rFonts w:ascii="Times New Roman" w:cs="Times New Roman" w:eastAsia="Times New Roman" w:hAnsi="Times New Roman"/>
          <w:sz w:val="20"/>
          <w:szCs w:val="20"/>
          <w:color w:val="auto"/>
        </w:rPr>
        <w:t>7.10</w:t>
      </w:r>
      <w:r>
        <w:rPr>
          <w:rFonts w:ascii="Times New Roman" w:cs="Times New Roman" w:eastAsia="Times New Roman" w:hAnsi="Times New Roman"/>
          <w:sz w:val="20"/>
          <w:szCs w:val="20"/>
          <w:u w:val="single" w:color="auto"/>
          <w:color w:val="auto"/>
        </w:rPr>
        <w:t>Exclusive Remedy</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the parties acknowledge and agree that their sole and exclusive remedy with respect to any and all claims (other than claims arising from Fraud or willful breach) for any breach of any representation, warranty or covenant set forth herein or in any schedule or certificate delivered in connection herewith shall be pursuant to the indemnification provisions set forth in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140" w:firstLine="749"/>
        <w:spacing w:after="0" w:line="246" w:lineRule="auto"/>
        <w:rPr>
          <w:sz w:val="20"/>
          <w:szCs w:val="20"/>
          <w:color w:val="auto"/>
        </w:rPr>
      </w:pPr>
      <w:r>
        <w:rPr>
          <w:rFonts w:ascii="Times New Roman" w:cs="Times New Roman" w:eastAsia="Times New Roman" w:hAnsi="Times New Roman"/>
          <w:sz w:val="20"/>
          <w:szCs w:val="20"/>
          <w:color w:val="auto"/>
        </w:rPr>
        <w:t>7.11</w:t>
      </w:r>
      <w:r>
        <w:rPr>
          <w:rFonts w:ascii="Times New Roman" w:cs="Times New Roman" w:eastAsia="Times New Roman" w:hAnsi="Times New Roman"/>
          <w:sz w:val="20"/>
          <w:szCs w:val="20"/>
          <w:u w:val="single" w:color="auto"/>
          <w:color w:val="auto"/>
        </w:rPr>
        <w:t>Duty to Mitigate</w:t>
      </w:r>
      <w:r>
        <w:rPr>
          <w:rFonts w:ascii="Times New Roman" w:cs="Times New Roman" w:eastAsia="Times New Roman" w:hAnsi="Times New Roman"/>
          <w:sz w:val="20"/>
          <w:szCs w:val="20"/>
          <w:color w:val="auto"/>
        </w:rPr>
        <w:t xml:space="preserve">. The parties acknowledge and agree that the Purchaser Indemnified Parties shall not have any duty to mitigate any Losses otherwise recoverable pursuant to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to the extent the Purchaser Indemnified Parties determines it would not be commercially reasonable to do so. For greater certainty, this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shall not require the Purchaser Indemnified Parties to terminate, amend or vary any Contracts with customers of the Business to which the Purchaser or any of its Affiliates are a party, or take any action against any counterparties thereto.</w:t>
      </w:r>
    </w:p>
    <w:p>
      <w:pPr>
        <w:spacing w:after="0" w:line="185" w:lineRule="exact"/>
        <w:rPr>
          <w:sz w:val="20"/>
          <w:szCs w:val="20"/>
          <w:color w:val="auto"/>
        </w:rPr>
      </w:pPr>
    </w:p>
    <w:p>
      <w:pPr>
        <w:jc w:val="both"/>
        <w:ind w:left="140" w:firstLine="749"/>
        <w:spacing w:after="0" w:line="295" w:lineRule="auto"/>
        <w:rPr>
          <w:sz w:val="20"/>
          <w:szCs w:val="20"/>
          <w:color w:val="auto"/>
        </w:rPr>
      </w:pPr>
      <w:r>
        <w:rPr>
          <w:rFonts w:ascii="Times New Roman" w:cs="Times New Roman" w:eastAsia="Times New Roman" w:hAnsi="Times New Roman"/>
          <w:sz w:val="19"/>
          <w:szCs w:val="19"/>
          <w:color w:val="auto"/>
        </w:rPr>
        <w:t>7.12</w:t>
      </w:r>
      <w:r>
        <w:rPr>
          <w:rFonts w:ascii="Times New Roman" w:cs="Times New Roman" w:eastAsia="Times New Roman" w:hAnsi="Times New Roman"/>
          <w:sz w:val="19"/>
          <w:szCs w:val="19"/>
          <w:u w:val="single" w:color="auto"/>
          <w:color w:val="auto"/>
        </w:rPr>
        <w:t>Double Claims</w:t>
      </w:r>
      <w:r>
        <w:rPr>
          <w:rFonts w:ascii="Times New Roman" w:cs="Times New Roman" w:eastAsia="Times New Roman" w:hAnsi="Times New Roman"/>
          <w:sz w:val="19"/>
          <w:szCs w:val="19"/>
          <w:color w:val="auto"/>
        </w:rPr>
        <w:t>. No Indemnitee shall be entitled to recover a Loss from any Indemnitor under this Article VII more than once in respect of the same Loss (notwithstanding that such Loss may result from breaches of multiple provisions of this Agreement).</w:t>
      </w:r>
    </w:p>
    <w:p>
      <w:pPr>
        <w:spacing w:after="0" w:line="124" w:lineRule="exact"/>
        <w:rPr>
          <w:sz w:val="20"/>
          <w:szCs w:val="20"/>
          <w:color w:val="auto"/>
        </w:rPr>
      </w:pPr>
    </w:p>
    <w:p>
      <w:pPr>
        <w:jc w:val="both"/>
        <w:ind w:left="140" w:firstLine="749"/>
        <w:spacing w:after="0" w:line="254" w:lineRule="auto"/>
        <w:rPr>
          <w:sz w:val="20"/>
          <w:szCs w:val="20"/>
          <w:color w:val="auto"/>
        </w:rPr>
      </w:pPr>
      <w:r>
        <w:rPr>
          <w:rFonts w:ascii="Times New Roman" w:cs="Times New Roman" w:eastAsia="Times New Roman" w:hAnsi="Times New Roman"/>
          <w:sz w:val="20"/>
          <w:szCs w:val="20"/>
          <w:color w:val="auto"/>
        </w:rPr>
        <w:t xml:space="preserve">7.13 </w:t>
      </w:r>
      <w:r>
        <w:rPr>
          <w:rFonts w:ascii="Times New Roman" w:cs="Times New Roman" w:eastAsia="Times New Roman" w:hAnsi="Times New Roman"/>
          <w:sz w:val="20"/>
          <w:szCs w:val="20"/>
          <w:u w:val="single" w:color="auto"/>
          <w:color w:val="auto"/>
        </w:rPr>
        <w:t>Purchaser Investigation</w:t>
      </w:r>
      <w:r>
        <w:rPr>
          <w:rFonts w:ascii="Times New Roman" w:cs="Times New Roman" w:eastAsia="Times New Roman" w:hAnsi="Times New Roman"/>
          <w:sz w:val="20"/>
          <w:szCs w:val="20"/>
          <w:color w:val="auto"/>
        </w:rPr>
        <w:t>. The Purchaser acknowledges that it has exercised due diligence and proper investigation with respect to the Acquired Assets and that the Seller will not be liable to the Purchaser with respect to any breach of any representation or warranty in this Agreement if the Purchaser had actual knowledge of such breach prior to Closing.</w:t>
      </w:r>
    </w:p>
    <w:p>
      <w:pPr>
        <w:spacing w:after="0" w:line="39" w:lineRule="exact"/>
        <w:rPr>
          <w:sz w:val="20"/>
          <w:szCs w:val="20"/>
          <w:color w:val="auto"/>
        </w:rPr>
      </w:pPr>
    </w:p>
    <w:p>
      <w:pPr>
        <w:jc w:val="both"/>
        <w:ind w:left="140" w:firstLine="749"/>
        <w:spacing w:after="0" w:line="246" w:lineRule="auto"/>
        <w:rPr>
          <w:sz w:val="20"/>
          <w:szCs w:val="20"/>
          <w:color w:val="auto"/>
        </w:rPr>
      </w:pPr>
      <w:r>
        <w:rPr>
          <w:rFonts w:ascii="Times New Roman" w:cs="Times New Roman" w:eastAsia="Times New Roman" w:hAnsi="Times New Roman"/>
          <w:sz w:val="20"/>
          <w:szCs w:val="20"/>
          <w:color w:val="auto"/>
        </w:rPr>
        <w:t>7.14</w:t>
      </w:r>
      <w:r>
        <w:rPr>
          <w:rFonts w:ascii="Times New Roman" w:cs="Times New Roman" w:eastAsia="Times New Roman" w:hAnsi="Times New Roman"/>
          <w:sz w:val="20"/>
          <w:szCs w:val="20"/>
          <w:u w:val="single" w:color="auto"/>
          <w:color w:val="auto"/>
        </w:rPr>
        <w:t>Special Rule for Fraud</w:t>
      </w:r>
      <w:r>
        <w:rPr>
          <w:rFonts w:ascii="Times New Roman" w:cs="Times New Roman" w:eastAsia="Times New Roman" w:hAnsi="Times New Roman"/>
          <w:sz w:val="20"/>
          <w:szCs w:val="20"/>
          <w:color w:val="auto"/>
        </w:rPr>
        <w:t xml:space="preserve">. Notwithstanding anything in this Agreement to the contrary (including any survival periods, limitations on remedies, orders of recovery, disclaimers of reliance or omissions or any similar limitations or disclaimers (including, for the avoidance of doubt, in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nothing in this Agreement (or elsewhere) shall limit or restrict, or be used as a defense against, any of the Purchaser Indemnified Parties’ or Seller Indemnified Parties’ rights or abilities to maintain or recover any amounts in connection with any action or claim based upon or arising from Fraud.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40" w:right="719" w:bottom="1440" w:gutter="0" w:footer="0" w:header="0"/>
        </w:sectPr>
      </w:pPr>
    </w:p>
    <w:bookmarkStart w:id="35" w:name="page36"/>
    <w:bookmarkEnd w:id="35"/>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Covenants</w:t>
      </w:r>
    </w:p>
    <w:p>
      <w:pPr>
        <w:spacing w:after="0" w:line="194" w:lineRule="exact"/>
        <w:rPr>
          <w:sz w:val="20"/>
          <w:szCs w:val="20"/>
          <w:color w:val="auto"/>
        </w:rPr>
      </w:pPr>
    </w:p>
    <w:p>
      <w:pPr>
        <w:jc w:val="both"/>
        <w:ind w:left="140" w:right="20" w:firstLine="749"/>
        <w:spacing w:after="0" w:line="254" w:lineRule="auto"/>
        <w:rPr>
          <w:sz w:val="20"/>
          <w:szCs w:val="20"/>
          <w:color w:val="auto"/>
        </w:rPr>
      </w:pPr>
      <w:r>
        <w:rPr>
          <w:rFonts w:ascii="Times New Roman" w:cs="Times New Roman" w:eastAsia="Times New Roman" w:hAnsi="Times New Roman"/>
          <w:sz w:val="20"/>
          <w:szCs w:val="20"/>
          <w:color w:val="auto"/>
        </w:rPr>
        <w:t>8.1</w:t>
      </w:r>
      <w:r>
        <w:rPr>
          <w:rFonts w:ascii="Times New Roman" w:cs="Times New Roman" w:eastAsia="Times New Roman" w:hAnsi="Times New Roman"/>
          <w:sz w:val="20"/>
          <w:szCs w:val="20"/>
          <w:u w:val="single" w:color="auto"/>
          <w:color w:val="auto"/>
        </w:rPr>
        <w:t>Material Consents</w:t>
      </w:r>
      <w:r>
        <w:rPr>
          <w:rFonts w:ascii="Times New Roman" w:cs="Times New Roman" w:eastAsia="Times New Roman" w:hAnsi="Times New Roman"/>
          <w:sz w:val="20"/>
          <w:szCs w:val="20"/>
          <w:color w:val="auto"/>
        </w:rPr>
        <w:t>. As soon as reasonably practicable, but in any event no later than 30 Business Days from the date of this Agreement, Seller shall obtain all Material Consents and deliver evidence to the Purchase, in writing and in a form reasonably acceptable to Purchaser, that such Material Consents have been duly obtained.</w:t>
      </w:r>
    </w:p>
    <w:p>
      <w:pPr>
        <w:spacing w:after="0" w:line="174" w:lineRule="exact"/>
        <w:rPr>
          <w:sz w:val="20"/>
          <w:szCs w:val="20"/>
          <w:color w:val="auto"/>
        </w:rPr>
      </w:pPr>
    </w:p>
    <w:p>
      <w:pPr>
        <w:jc w:val="both"/>
        <w:ind w:left="140" w:right="20" w:firstLine="749"/>
        <w:spacing w:after="0" w:line="246" w:lineRule="auto"/>
        <w:rPr>
          <w:sz w:val="20"/>
          <w:szCs w:val="20"/>
          <w:color w:val="auto"/>
        </w:rPr>
      </w:pPr>
      <w:r>
        <w:rPr>
          <w:rFonts w:ascii="Times New Roman" w:cs="Times New Roman" w:eastAsia="Times New Roman" w:hAnsi="Times New Roman"/>
          <w:sz w:val="20"/>
          <w:szCs w:val="20"/>
          <w:color w:val="auto"/>
        </w:rPr>
        <w:t>8.2</w:t>
      </w:r>
      <w:r>
        <w:rPr>
          <w:rFonts w:ascii="Times New Roman" w:cs="Times New Roman" w:eastAsia="Times New Roman" w:hAnsi="Times New Roman"/>
          <w:sz w:val="20"/>
          <w:szCs w:val="20"/>
          <w:u w:val="single" w:color="auto"/>
          <w:color w:val="auto"/>
        </w:rPr>
        <w:t>Conduct of the Business</w:t>
      </w:r>
      <w:r>
        <w:rPr>
          <w:rFonts w:ascii="Times New Roman" w:cs="Times New Roman" w:eastAsia="Times New Roman" w:hAnsi="Times New Roman"/>
          <w:sz w:val="20"/>
          <w:szCs w:val="20"/>
          <w:color w:val="auto"/>
        </w:rPr>
        <w:t>. From the date of this Agreement and up to the Closing Date, Seller shall operate the Business in good faith and in the Ordinary Course of Business and will not, without prior written consent from Purchaser: (i) cease to carry on the Business, (ii) materially alter the nature of the Business; (iii) dispose of any Acquired Assets; (iv) terminate, materially reduce, or fail to renew any material vendor or customer relationship of the Business, except to the extent that such action is required by applicable law.</w:t>
      </w:r>
    </w:p>
    <w:p>
      <w:pPr>
        <w:spacing w:after="0" w:line="185" w:lineRule="exact"/>
        <w:rPr>
          <w:sz w:val="20"/>
          <w:szCs w:val="20"/>
          <w:color w:val="auto"/>
        </w:rPr>
      </w:pPr>
    </w:p>
    <w:p>
      <w:pPr>
        <w:jc w:val="both"/>
        <w:ind w:left="140" w:firstLine="749"/>
        <w:spacing w:after="0" w:line="245" w:lineRule="auto"/>
        <w:rPr>
          <w:sz w:val="20"/>
          <w:szCs w:val="20"/>
          <w:color w:val="auto"/>
        </w:rPr>
      </w:pPr>
      <w:r>
        <w:rPr>
          <w:rFonts w:ascii="Times New Roman" w:cs="Times New Roman" w:eastAsia="Times New Roman" w:hAnsi="Times New Roman"/>
          <w:sz w:val="20"/>
          <w:szCs w:val="20"/>
          <w:color w:val="auto"/>
        </w:rPr>
        <w:t>8.3</w:t>
      </w: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xml:space="preserve">. In case at any time after the Closing any further action is necessary to carry out the purposes of this Agreement, each of the Parties will take such further action (including the execution and delivery of such further instruments and documents) as any other Party reasonably may request, all at the sole cost and expense of the requesting Party (unless the requesting Party is entitled to indemnification therefor under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Seller acknowledges and agree that from and after the Closing, Purchaser will be entitled to possession of all documents, books, records (including Tax records), agreements, and financial data of any sort relating to the Business.</w:t>
      </w:r>
    </w:p>
    <w:p>
      <w:pPr>
        <w:spacing w:after="0" w:line="184" w:lineRule="exact"/>
        <w:rPr>
          <w:sz w:val="20"/>
          <w:szCs w:val="20"/>
          <w:color w:val="auto"/>
        </w:rPr>
      </w:pPr>
    </w:p>
    <w:p>
      <w:pPr>
        <w:jc w:val="both"/>
        <w:ind w:left="140" w:firstLine="749"/>
        <w:spacing w:after="0" w:line="241" w:lineRule="auto"/>
        <w:rPr>
          <w:sz w:val="20"/>
          <w:szCs w:val="20"/>
          <w:color w:val="auto"/>
        </w:rPr>
      </w:pPr>
      <w:r>
        <w:rPr>
          <w:rFonts w:ascii="Times New Roman" w:cs="Times New Roman" w:eastAsia="Times New Roman" w:hAnsi="Times New Roman"/>
          <w:sz w:val="20"/>
          <w:szCs w:val="20"/>
          <w:color w:val="auto"/>
        </w:rPr>
        <w:t>8.4</w:t>
      </w: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xml:space="preserve">. Seller shall treat and hold as confidential all of the Confidential Information and refrain from disclosing or using any of the Confidential Information except in connection with this Agreement. In the event that Seller is requested or required (by oral question or request for information or documents in any legal proceeding, interrogatory, subpoena, civil investigative demand, or similar process) to disclose any Confidential Information, Seller shall notify Purchaser promptly of the request or requirement so that Purchaser may seek an appropriate protective order or waive compliance with the provisions of this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If, in the absence of a protective order or the receipt of a waiver hereunder, Seller is, on the advice of counsel, compelled to disclose any Confidential Information to any tribunal or else stand liable for contempt, Seller may disclose the Confidential Information to the tribunal;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Seller shall use such Seller’s commercially reasonable efforts to obtain, at the reasonable request of Purchaser and at Purchaser’s expense, an order or other assurance that confidential treatment will be accorded to such portion of the Confidential Information required to be disclosed as Purchaser shall designate. Upon consummation of the transactions contemplated by this Agreement, Seller shall, and shall cause its respective Affiliates, advisors, agents and representatives to deliver promptly to Purchaser, at the request and option of Purchaser, all tangible embodiments (and all copies) of such Confidential Information which are in Seller’s possession or under Seller’s control.</w:t>
      </w:r>
    </w:p>
    <w:p>
      <w:pPr>
        <w:spacing w:after="0" w:line="197" w:lineRule="exact"/>
        <w:rPr>
          <w:sz w:val="20"/>
          <w:szCs w:val="20"/>
          <w:color w:val="auto"/>
        </w:rPr>
      </w:pPr>
    </w:p>
    <w:p>
      <w:pPr>
        <w:jc w:val="both"/>
        <w:ind w:left="140" w:right="20" w:firstLine="749"/>
        <w:spacing w:after="0" w:line="246" w:lineRule="auto"/>
        <w:rPr>
          <w:sz w:val="20"/>
          <w:szCs w:val="20"/>
          <w:color w:val="auto"/>
        </w:rPr>
      </w:pPr>
      <w:r>
        <w:rPr>
          <w:rFonts w:ascii="Times New Roman" w:cs="Times New Roman" w:eastAsia="Times New Roman" w:hAnsi="Times New Roman"/>
          <w:sz w:val="20"/>
          <w:szCs w:val="20"/>
          <w:color w:val="auto"/>
        </w:rPr>
        <w:t>8.5</w:t>
      </w:r>
      <w:r>
        <w:rPr>
          <w:rFonts w:ascii="Times New Roman" w:cs="Times New Roman" w:eastAsia="Times New Roman" w:hAnsi="Times New Roman"/>
          <w:sz w:val="20"/>
          <w:szCs w:val="20"/>
          <w:u w:val="single" w:color="auto"/>
          <w:color w:val="auto"/>
        </w:rPr>
        <w:t>Public Announcements</w:t>
      </w:r>
      <w:r>
        <w:rPr>
          <w:rFonts w:ascii="Times New Roman" w:cs="Times New Roman" w:eastAsia="Times New Roman" w:hAnsi="Times New Roman"/>
          <w:sz w:val="20"/>
          <w:szCs w:val="20"/>
          <w:color w:val="auto"/>
        </w:rPr>
        <w:t>. No public announcement or similar publicity with respect to this Agreement or the transactions contemplated hereby will be issued, if at all, at such time and in such manner as the Purchaser determines. Purchaser and the Seller will consult with one another concerning the means by which the Business’ employees, customers, and suppliers and others having dealings with the Business will be informed of the transactions contemplated hereby, and the Purchaser will have the right to be present for any such communication.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328" w:right="699" w:bottom="1440" w:gutter="0" w:footer="0" w:header="0"/>
        </w:sectPr>
      </w:pPr>
    </w:p>
    <w:bookmarkStart w:id="36" w:name="page37"/>
    <w:bookmarkEnd w:id="36"/>
    <w:p>
      <w:pPr>
        <w:spacing w:after="0" w:line="108" w:lineRule="exact"/>
        <w:rPr>
          <w:sz w:val="20"/>
          <w:szCs w:val="20"/>
          <w:color w:val="auto"/>
        </w:rPr>
      </w:pPr>
    </w:p>
    <w:p>
      <w:pPr>
        <w:ind w:left="880"/>
        <w:spacing w:after="0"/>
        <w:tabs>
          <w:tab w:leader="none" w:pos="1620" w:val="left"/>
        </w:tabs>
        <w:rPr>
          <w:sz w:val="20"/>
          <w:szCs w:val="20"/>
          <w:color w:val="auto"/>
        </w:rPr>
      </w:pPr>
      <w:r>
        <w:rPr>
          <w:rFonts w:ascii="Times New Roman" w:cs="Times New Roman" w:eastAsia="Times New Roman" w:hAnsi="Times New Roman"/>
          <w:sz w:val="20"/>
          <w:szCs w:val="20"/>
          <w:color w:val="auto"/>
        </w:rPr>
        <w:t>8.6</w:t>
      </w:r>
      <w:r>
        <w:rPr>
          <w:sz w:val="20"/>
          <w:szCs w:val="20"/>
          <w:color w:val="auto"/>
        </w:rPr>
        <w:tab/>
      </w:r>
      <w:r>
        <w:rPr>
          <w:rFonts w:ascii="Times New Roman" w:cs="Times New Roman" w:eastAsia="Times New Roman" w:hAnsi="Times New Roman"/>
          <w:sz w:val="19"/>
          <w:szCs w:val="19"/>
          <w:u w:val="single" w:color="auto"/>
          <w:color w:val="auto"/>
        </w:rPr>
        <w:t>Disclosure of Personal Information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40" w:right="20" w:firstLine="1494"/>
        <w:spacing w:after="0" w:line="254" w:lineRule="auto"/>
        <w:tabs>
          <w:tab w:leader="none" w:pos="2526"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confirm that Personal Information that a Party receives from one of the other Parties in connection with this Agreement prior to Closing (“</w:t>
      </w:r>
      <w:r>
        <w:rPr>
          <w:rFonts w:ascii="Times New Roman" w:cs="Times New Roman" w:eastAsia="Times New Roman" w:hAnsi="Times New Roman"/>
          <w:sz w:val="19"/>
          <w:szCs w:val="19"/>
          <w:u w:val="single" w:color="auto"/>
          <w:color w:val="auto"/>
        </w:rPr>
        <w:t>Disclosed Personal Information</w:t>
      </w:r>
      <w:r>
        <w:rPr>
          <w:rFonts w:ascii="Times New Roman" w:cs="Times New Roman" w:eastAsia="Times New Roman" w:hAnsi="Times New Roman"/>
          <w:sz w:val="19"/>
          <w:szCs w:val="19"/>
          <w:color w:val="auto"/>
        </w:rPr>
        <w:t>”) is necessary for the purposes of determining whether to proceed with the transactions contemplated by this Agreement and, if the determination is made to proceed with the transactions, to complete them. At all times, Purchaser shall protect all Disclosed Personal Information using security safeguards appropriate to the sensitivity of the information. Prior to Closing, Purchaser shall not use or disclose the Disclosed Personal Information for any purposes other than those related to determining if it shall proceed with the transactions contemplated by this Agreement, the performance of this Agreement, or the consummation of the transactions contemplated by this Agreement. Following the consummation of the transactions contemplated by this Agreement, the Parties (i) shall not use or disclose the Disclosed Personal Information for any purposes other than those for which the information was initially collected, unless additional consent is obtained, or as otherwise permitted or required by applicable Laws; (ii) shall protect the confidentiality of all Disclosed Personal Information in a manner consistent with security safeguards appropriate to the sensitivity of the information; and (iii) shall give effect to any withdrawal of consent with respect to the Disclosed Personal Information. Notwithstanding the foregoing, nothing shall prevent the Purchaser, following Closing, from using Disclosed Personal Information for the purposes for which the information was initially collected (unless additional consent is obtained or as otherwise permitted or required by applicable Laws) and protecting such information using the methods currently used by the Seller. If the transactions contemplated by this Agreement do not proceed, Purchaser shall return to the Seller or, at the Seller’s request, securely destroy the Disclosed Personal Information within a reasonable period of time.</w:t>
      </w:r>
    </w:p>
    <w:p>
      <w:pPr>
        <w:spacing w:after="0" w:line="186" w:lineRule="exact"/>
        <w:rPr>
          <w:rFonts w:ascii="Times New Roman" w:cs="Times New Roman" w:eastAsia="Times New Roman" w:hAnsi="Times New Roman"/>
          <w:sz w:val="19"/>
          <w:szCs w:val="19"/>
          <w:color w:val="auto"/>
        </w:rPr>
      </w:pPr>
    </w:p>
    <w:p>
      <w:pPr>
        <w:jc w:val="both"/>
        <w:ind w:left="740" w:right="20" w:firstLine="1494"/>
        <w:spacing w:after="0" w:line="254" w:lineRule="auto"/>
        <w:tabs>
          <w:tab w:leader="none" w:pos="252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applicable Privacy Laws require impacted individuals to be notified of the transaction, Purchaser shall, within a reasonable time after the transaction is completed, notify individuals that the transaction has been completed and that their Personal Information has been disclosed.</w:t>
      </w:r>
    </w:p>
    <w:p>
      <w:pPr>
        <w:spacing w:after="0" w:line="17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9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For the purposes hereof, the following terms have the meanings set forth below:</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Action</w:t>
      </w:r>
      <w:r>
        <w:rPr>
          <w:rFonts w:ascii="Times New Roman" w:cs="Times New Roman" w:eastAsia="Times New Roman" w:hAnsi="Times New Roman"/>
          <w:sz w:val="20"/>
          <w:szCs w:val="20"/>
          <w:color w:val="auto"/>
        </w:rPr>
        <w:t>” means any action, suit, proceeding, audit, investigation, arbitration, mediation, order, claim or charge.</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Acquired Assets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Adjustment Calculation Time</w:t>
      </w:r>
      <w:r>
        <w:rPr>
          <w:rFonts w:ascii="Times New Roman" w:cs="Times New Roman" w:eastAsia="Times New Roman" w:hAnsi="Times New Roman"/>
          <w:sz w:val="20"/>
          <w:szCs w:val="20"/>
          <w:color w:val="auto"/>
        </w:rPr>
        <w:t xml:space="preserve">” means opening of business on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calculation made pursuant this Agreement as of the Adjustment Calculation Time, such calculation shall take into account the use or transfer of the Acquired Assets following the Adjustment Calculation Time and prior to the Closing outside the Ordinary Course of Business..</w:t>
      </w:r>
    </w:p>
    <w:p>
      <w:pPr>
        <w:spacing w:after="0" w:line="180" w:lineRule="exact"/>
        <w:rPr>
          <w:sz w:val="20"/>
          <w:szCs w:val="20"/>
          <w:color w:val="auto"/>
        </w:rPr>
      </w:pPr>
    </w:p>
    <w:p>
      <w:pPr>
        <w:jc w:val="both"/>
        <w:ind w:left="74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of any particular Person means any other Person controlling, controlled by or under common control with such particular Person, where “</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the management and policies of a Person whether through the ownership of voting securities, contract or otherwise.</w:t>
      </w:r>
    </w:p>
    <w:p>
      <w:pPr>
        <w:spacing w:after="0" w:line="17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has the meaning set forth in the preamble to this Agreement.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37" w:name="page38"/>
    <w:bookmarkEnd w:id="37"/>
    <w:p>
      <w:pPr>
        <w:jc w:val="both"/>
        <w:ind w:left="740"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Laws relating to anti-bribery or anti-corruption (governmental or commercial); including Laws that prohibit the corrupt payment, offer, promise, or authorization of the payment or transfer of anything of value (including gifts or entertainment), directly or indirectly, to any Government Official, commercial entity, or any other Person to obtain an improper business advantage; including Brazilian Federal Law n. 12.846/2013, the Brazilian Criminal Code (</w:t>
      </w:r>
      <w:r>
        <w:rPr>
          <w:rFonts w:ascii="Times New Roman" w:cs="Times New Roman" w:eastAsia="Times New Roman" w:hAnsi="Times New Roman"/>
          <w:sz w:val="20"/>
          <w:szCs w:val="20"/>
          <w:i w:val="1"/>
          <w:iCs w:val="1"/>
          <w:color w:val="auto"/>
        </w:rPr>
        <w:t>Decreto-Lei n. 2.848/1940</w:t>
      </w:r>
      <w:r>
        <w:rPr>
          <w:rFonts w:ascii="Times New Roman" w:cs="Times New Roman" w:eastAsia="Times New Roman" w:hAnsi="Times New Roman"/>
          <w:sz w:val="20"/>
          <w:szCs w:val="20"/>
          <w:color w:val="auto"/>
        </w:rPr>
        <w:t>) the U.S. Foreign Corrupt Practices Act of 1977, the UK Bribery Act of 2010 and Laws enacted to implement the OECD Convention on Combating Bribery of Foreign Officials in International Business Transactions, each as amended from time to time.</w:t>
      </w:r>
    </w:p>
    <w:p>
      <w:pPr>
        <w:spacing w:after="0" w:line="186" w:lineRule="exact"/>
        <w:rPr>
          <w:sz w:val="20"/>
          <w:szCs w:val="20"/>
          <w:color w:val="auto"/>
        </w:rPr>
      </w:pPr>
    </w:p>
    <w:p>
      <w:pPr>
        <w:jc w:val="both"/>
        <w:ind w:left="740"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Anti-Money Laundering Laws</w:t>
      </w:r>
      <w:r>
        <w:rPr>
          <w:rFonts w:ascii="Times New Roman" w:cs="Times New Roman" w:eastAsia="Times New Roman" w:hAnsi="Times New Roman"/>
          <w:sz w:val="20"/>
          <w:szCs w:val="20"/>
          <w:color w:val="auto"/>
        </w:rPr>
        <w:t>” means Laws relating to money laundering, including financial recordkeeping and reporting requirements, such as, without limitation, the Brazilian Federal Law n. 9.613/1998, the U.S. Uniting and Strengthening America by Providing Appropriate Tools Required to Intercept and Obstruct Terrorism Act of 2001, Public Law 107-56, the U.S. Currency and Foreign Transaction Reporting Act of 1970, as amended, the U.S. Money Laundering Control Act of 1986, as amended, the UK Proceeds of Crime Act 2002, the UK Terrorism Act 2000, as amended, all money laundering-related Laws of other jurisdictions where the Seller conduct business or own assets, and any related or similar Law issued, administered or enforced by any Governmental Authority.</w:t>
      </w:r>
    </w:p>
    <w:p>
      <w:pPr>
        <w:spacing w:after="0" w:line="199" w:lineRule="exact"/>
        <w:rPr>
          <w:sz w:val="20"/>
          <w:szCs w:val="20"/>
          <w:color w:val="auto"/>
        </w:rPr>
      </w:pPr>
    </w:p>
    <w:p>
      <w:pPr>
        <w:jc w:val="both"/>
        <w:ind w:left="740"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all written and unwritten, registered or unregistered, insured or self-insured, qualified or unqualified pension plans, retirement savings plans or arrangements, savings bonds plans, group insurance plans (including coverage for life insurance, accidental death and dismemberment, disability, health care, welfare, dental care and medical travel insurance benefits), cafeteria health and dependent care reimbursement arrangements, termination pay (other than as required by applicable Law), supplemental unemployment benefits (other than as required by applicable Law), bonus plans, incentive plans, profit sharing plans, change of control payments, retirement compensation plans, stock option plans, agreements providing for stock option awards, share purchase plans, share appreciation plans, and all other plans, programs, policies, practices, schemes, agreements and arrangements that are, in each case: (i) offered to current or former employees, officers or directors of Seller, or other Persons who are receiving remuneration for work or services provided to Seller who are not employees (or any spouses, dependents, survivors or beneficiaries of such Persons), including Independent Contractors and other service providers of Seller and employees of any professional employer organization, co-employer organization, human resources and benefits outsourcing entity, or other similar vendor or provider , (ii) maintained, sponsored or funded by or on behalf of Seller; or (iii) under, or with respect to, which Seller has, or could reasonably be expected to have, any liability or contingent liability provided that “</w:t>
      </w:r>
      <w:r>
        <w:rPr>
          <w:rFonts w:ascii="Times New Roman" w:cs="Times New Roman" w:eastAsia="Times New Roman" w:hAnsi="Times New Roman"/>
          <w:sz w:val="20"/>
          <w:szCs w:val="20"/>
          <w:u w:val="single" w:color="auto"/>
          <w:color w:val="auto"/>
        </w:rPr>
        <w:t>Benefit Plans</w:t>
      </w:r>
      <w:r>
        <w:rPr>
          <w:rFonts w:ascii="Times New Roman" w:cs="Times New Roman" w:eastAsia="Times New Roman" w:hAnsi="Times New Roman"/>
          <w:sz w:val="20"/>
          <w:szCs w:val="20"/>
          <w:color w:val="auto"/>
        </w:rPr>
        <w:t>” shall not include any statutory plans or statutory payments to which Seller is obliged to contribute or comply with.</w:t>
      </w:r>
    </w:p>
    <w:p>
      <w:pPr>
        <w:spacing w:after="0" w:line="181" w:lineRule="exact"/>
        <w:rPr>
          <w:sz w:val="20"/>
          <w:szCs w:val="20"/>
          <w:color w:val="auto"/>
        </w:rPr>
      </w:pPr>
    </w:p>
    <w:p>
      <w:pPr>
        <w:jc w:val="both"/>
        <w:ind w:left="74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w:t>
      </w:r>
      <w:r>
        <w:rPr>
          <w:rFonts w:ascii="Times New Roman" w:cs="Times New Roman" w:eastAsia="Times New Roman" w:hAnsi="Times New Roman"/>
          <w:sz w:val="20"/>
          <w:szCs w:val="20"/>
          <w:color w:val="auto"/>
        </w:rPr>
        <w:t>” means, collectively, means, collectively, (a) the provision of digital payment processing and gateway services, including the issuance and management of prepaid payment instruments and virtual wallets, the development and operation of blockchain-based financial services infrastructure, and the provision of white-label payment platforms to B2B customers, and (b) any other business the Seller conducts, in each case in any and all mediums engaged in by the Seller on or prior to the date hereof.</w:t>
      </w:r>
    </w:p>
    <w:p>
      <w:pPr>
        <w:spacing w:after="0" w:line="185" w:lineRule="exact"/>
        <w:rPr>
          <w:sz w:val="20"/>
          <w:szCs w:val="20"/>
          <w:color w:val="auto"/>
        </w:rPr>
      </w:pPr>
    </w:p>
    <w:p>
      <w:pPr>
        <w:jc w:val="both"/>
        <w:ind w:left="740"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other than a Saturday, Sunday, or a day on which all banking institutions in Brasilia, Brazil or London, England are authorized or obligated by Law or executive order to close.</w:t>
      </w:r>
    </w:p>
    <w:p>
      <w:pPr>
        <w:spacing w:after="0" w:line="17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399" w:right="699" w:bottom="1440" w:gutter="0" w:footer="0" w:header="0"/>
        </w:sectPr>
      </w:pPr>
    </w:p>
    <w:bookmarkStart w:id="38" w:name="page39"/>
    <w:bookmarkEnd w:id="38"/>
    <w:p>
      <w:pPr>
        <w:jc w:val="both"/>
        <w:ind w:left="740" w:right="10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Data</w:t>
      </w:r>
      <w:r>
        <w:rPr>
          <w:rFonts w:ascii="Times New Roman" w:cs="Times New Roman" w:eastAsia="Times New Roman" w:hAnsi="Times New Roman"/>
          <w:sz w:val="20"/>
          <w:szCs w:val="20"/>
          <w:color w:val="auto"/>
        </w:rPr>
        <w:t>” means all Company Product Data, Personal Information, Sensitive Information, Confidential Information, and any other data or information, whether in physical or digital form, that is within the Seller’s possession or control.</w:t>
      </w:r>
    </w:p>
    <w:p>
      <w:pPr>
        <w:spacing w:after="0" w:line="174" w:lineRule="exact"/>
        <w:rPr>
          <w:sz w:val="20"/>
          <w:szCs w:val="20"/>
          <w:color w:val="auto"/>
        </w:rPr>
      </w:pPr>
    </w:p>
    <w:p>
      <w:pPr>
        <w:jc w:val="both"/>
        <w:ind w:left="740" w:right="1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Intellectual Property</w:t>
      </w:r>
      <w:r>
        <w:rPr>
          <w:rFonts w:ascii="Times New Roman" w:cs="Times New Roman" w:eastAsia="Times New Roman" w:hAnsi="Times New Roman"/>
          <w:sz w:val="20"/>
          <w:szCs w:val="20"/>
          <w:color w:val="auto"/>
        </w:rPr>
        <w:t>” means any and all Intellectual Property exploited by, held for exploitation by, owned (in whole or in part), purported to be owned (in whole or in part) by or licensed to the Seller.</w:t>
      </w:r>
    </w:p>
    <w:p>
      <w:pPr>
        <w:spacing w:after="0" w:line="159" w:lineRule="exact"/>
        <w:rPr>
          <w:sz w:val="20"/>
          <w:szCs w:val="20"/>
          <w:color w:val="auto"/>
        </w:rPr>
      </w:pPr>
    </w:p>
    <w:p>
      <w:pPr>
        <w:jc w:val="both"/>
        <w:ind w:left="740" w:right="1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Product Data</w:t>
      </w:r>
      <w:r>
        <w:rPr>
          <w:rFonts w:ascii="Times New Roman" w:cs="Times New Roman" w:eastAsia="Times New Roman" w:hAnsi="Times New Roman"/>
          <w:sz w:val="20"/>
          <w:szCs w:val="20"/>
          <w:color w:val="auto"/>
        </w:rPr>
        <w:t>” means all data and information, whether in electronic or any other form or medium, that is accessed, collected, used, processed, stored, shared, distributed, transferred, disclosed, destroyed, or disposed of by any of the Company Products; but for certainty excludes any Customer Data.</w:t>
      </w:r>
    </w:p>
    <w:p>
      <w:pPr>
        <w:spacing w:after="0" w:line="174" w:lineRule="exact"/>
        <w:rPr>
          <w:sz w:val="20"/>
          <w:szCs w:val="20"/>
          <w:color w:val="auto"/>
        </w:rPr>
      </w:pPr>
    </w:p>
    <w:p>
      <w:pPr>
        <w:jc w:val="both"/>
        <w:ind w:left="740" w:right="10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Products</w:t>
      </w:r>
      <w:r>
        <w:rPr>
          <w:rFonts w:ascii="Times New Roman" w:cs="Times New Roman" w:eastAsia="Times New Roman" w:hAnsi="Times New Roman"/>
          <w:sz w:val="20"/>
          <w:szCs w:val="20"/>
          <w:color w:val="auto"/>
        </w:rPr>
        <w:t>” means all Software and other products and services, including any of the foregoing currently in development, that the Business has sold, licensed, distributed provided as a service, or otherwise made available, or from which the Business has derived, is currently deriving or is scheduled to derive, revenue from the sale, license, maintenance or provision thereof.</w:t>
      </w:r>
    </w:p>
    <w:p>
      <w:pPr>
        <w:spacing w:after="0" w:line="180" w:lineRule="exact"/>
        <w:rPr>
          <w:sz w:val="20"/>
          <w:szCs w:val="20"/>
          <w:color w:val="auto"/>
        </w:rPr>
      </w:pPr>
    </w:p>
    <w:p>
      <w:pPr>
        <w:jc w:val="both"/>
        <w:ind w:left="740" w:right="12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Systems</w:t>
      </w:r>
      <w:r>
        <w:rPr>
          <w:rFonts w:ascii="Times New Roman" w:cs="Times New Roman" w:eastAsia="Times New Roman" w:hAnsi="Times New Roman"/>
          <w:sz w:val="20"/>
          <w:szCs w:val="20"/>
          <w:color w:val="auto"/>
        </w:rPr>
        <w:t>” means all Software (including Company Products), computer hardware (whether general or special purpose), electronic data processing, information, record keeping, communications, telecommunications, networks, interfaces, platforms, servers, peripherals, and computer systems, including any outsourced systems and processes that are owned or used by or for the Business.</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Computershare</w:t>
      </w:r>
      <w:r>
        <w:rPr>
          <w:rFonts w:ascii="Times New Roman" w:cs="Times New Roman" w:eastAsia="Times New Roman" w:hAnsi="Times New Roman"/>
          <w:sz w:val="20"/>
          <w:szCs w:val="20"/>
          <w:color w:val="auto"/>
        </w:rPr>
        <w:t>” has the meaning set forth in Section 1.4(e).</w:t>
      </w:r>
    </w:p>
    <w:p>
      <w:pPr>
        <w:spacing w:after="0" w:line="216" w:lineRule="exact"/>
        <w:rPr>
          <w:sz w:val="20"/>
          <w:szCs w:val="20"/>
          <w:color w:val="auto"/>
        </w:rPr>
      </w:pPr>
    </w:p>
    <w:p>
      <w:pPr>
        <w:jc w:val="both"/>
        <w:ind w:left="740" w:right="100"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means all information (whether or not specifically identified as confidential), in any form or medium, that is disclosed to, or developed or learned by Rocelo or Seller as the owners of the Equity Interests of the Seller or to employees of the Seller as the case may be, in the performance of duties for, or on behalf of, the Seller or that relates to the business, products, services or research of the Seller or any of their investors, partners, affiliates, strategic alliance participants, employees or equityholders or their respective Affiliates, including, without limitation: (i) internal business information (including, without limitation, information relating to strategic plans and practices, business, accounting, financial or marketing plans, practices or programs, training practices and programs, salaries, bonuses, incentive plans and other compensation and benefits information and accounting and business methods); (ii) identities of, individual requirements of, specific contractual arrangements with, and information about, the Seller or its Affiliates, their customers and their confidential information;</w:t>
      </w:r>
    </w:p>
    <w:p>
      <w:pPr>
        <w:spacing w:after="0" w:line="8" w:lineRule="exact"/>
        <w:rPr>
          <w:sz w:val="20"/>
          <w:szCs w:val="20"/>
          <w:color w:val="auto"/>
        </w:rPr>
      </w:pPr>
    </w:p>
    <w:p>
      <w:pPr>
        <w:jc w:val="both"/>
        <w:ind w:left="740" w:right="100" w:hanging="3"/>
        <w:spacing w:after="0" w:line="239" w:lineRule="auto"/>
        <w:tabs>
          <w:tab w:leader="none" w:pos="1122"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industry research compiled by, or on behalf of, the Seller, including, without limitation, identities of potential target companies, management teams, and transaction sources identified by, or on behalf of, the Seller; (iv) compilations of data and analyses, processes, methods, track and performance records, data and data bases relating thereto; and (v) information related to Company Intellectual Property and updates of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“Confidential Information” shall not include any information which</w:t>
      </w:r>
    </w:p>
    <w:p>
      <w:pPr>
        <w:spacing w:after="0" w:line="2" w:lineRule="exact"/>
        <w:rPr>
          <w:rFonts w:ascii="Times New Roman" w:cs="Times New Roman" w:eastAsia="Times New Roman" w:hAnsi="Times New Roman"/>
          <w:sz w:val="20"/>
          <w:szCs w:val="20"/>
          <w:color w:val="auto"/>
        </w:rPr>
      </w:pPr>
    </w:p>
    <w:p>
      <w:pPr>
        <w:jc w:val="both"/>
        <w:ind w:left="740" w:right="120"/>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is or becomes generally available to the public other than as a result of a disclosure by a Seller in breach of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of this Agreement, or (B) becomes available to a Seller on a non-confidential basis from a source other than the Seller,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source is not bound by a confidentiality agreement with, or other contractual, legal or fiduciary obligation of confidentiality to, the Seller or any other party with respect to such information.</w:t>
      </w:r>
    </w:p>
    <w:p>
      <w:pPr>
        <w:spacing w:after="0" w:line="1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Consideration Shares</w:t>
      </w:r>
      <w:r>
        <w:rPr>
          <w:rFonts w:ascii="Times New Roman" w:cs="Times New Roman" w:eastAsia="Times New Roman" w:hAnsi="Times New Roman"/>
          <w:sz w:val="20"/>
          <w:szCs w:val="20"/>
          <w:color w:val="auto"/>
        </w:rPr>
        <w:t>” means fully paid common shares in the share capital of Rezolve AI PLC.</w:t>
      </w:r>
    </w:p>
    <w:p>
      <w:pPr>
        <w:spacing w:after="0" w:line="216" w:lineRule="exact"/>
        <w:rPr>
          <w:sz w:val="20"/>
          <w:szCs w:val="20"/>
          <w:color w:val="auto"/>
        </w:rPr>
      </w:pPr>
    </w:p>
    <w:p>
      <w:pPr>
        <w:ind w:left="74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w:t>
      </w:r>
      <w:r>
        <w:rPr>
          <w:rFonts w:ascii="Times New Roman" w:cs="Times New Roman" w:eastAsia="Times New Roman" w:hAnsi="Times New Roman"/>
          <w:sz w:val="20"/>
          <w:szCs w:val="20"/>
          <w:color w:val="auto"/>
        </w:rPr>
        <w:t>” means all written or oral contracts, leases, licenses, instruments, arrangements, statements of work and other agreements.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40" w:top="1399" w:right="599" w:bottom="1440" w:gutter="0" w:footer="0" w:header="0"/>
        </w:sectPr>
      </w:pPr>
    </w:p>
    <w:bookmarkStart w:id="39" w:name="page40"/>
    <w:bookmarkEnd w:id="39"/>
    <w:p>
      <w:pPr>
        <w:jc w:val="both"/>
        <w:ind w:left="740" w:right="2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COVID-19</w:t>
      </w:r>
      <w:r>
        <w:rPr>
          <w:rFonts w:ascii="Times New Roman" w:cs="Times New Roman" w:eastAsia="Times New Roman" w:hAnsi="Times New Roman"/>
          <w:sz w:val="20"/>
          <w:szCs w:val="20"/>
          <w:color w:val="auto"/>
        </w:rPr>
        <w:t>” means SARS-CoV-2 or COVID-19 and any evolutions or additional strains, variations or mutations thereof or any related or associated epidemics, pandemic or disease outbreaks, including the pandemic declared on March 11, 2020 by the World Health Organization (the “</w:t>
      </w:r>
      <w:r>
        <w:rPr>
          <w:rFonts w:ascii="Times New Roman" w:cs="Times New Roman" w:eastAsia="Times New Roman" w:hAnsi="Times New Roman"/>
          <w:sz w:val="20"/>
          <w:szCs w:val="20"/>
          <w:u w:val="single" w:color="auto"/>
          <w:color w:val="auto"/>
        </w:rPr>
        <w:t>COVID-19 Pandemic</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740" w:right="40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Customer Data</w:t>
      </w:r>
      <w:r>
        <w:rPr>
          <w:rFonts w:ascii="Times New Roman" w:cs="Times New Roman" w:eastAsia="Times New Roman" w:hAnsi="Times New Roman"/>
          <w:sz w:val="20"/>
          <w:szCs w:val="20"/>
          <w:color w:val="auto"/>
        </w:rPr>
        <w:t>” means any and all data or information handled, stored or processed that relates to and is owned by the Business' customers.</w:t>
      </w:r>
    </w:p>
    <w:p>
      <w:pPr>
        <w:spacing w:after="0" w:line="159" w:lineRule="exact"/>
        <w:rPr>
          <w:sz w:val="20"/>
          <w:szCs w:val="20"/>
          <w:color w:val="auto"/>
        </w:rPr>
      </w:pPr>
    </w:p>
    <w:p>
      <w:pPr>
        <w:jc w:val="both"/>
        <w:ind w:left="740" w:right="20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Data Security Requirements</w:t>
      </w:r>
      <w:r>
        <w:rPr>
          <w:rFonts w:ascii="Times New Roman" w:cs="Times New Roman" w:eastAsia="Times New Roman" w:hAnsi="Times New Roman"/>
          <w:sz w:val="20"/>
          <w:szCs w:val="20"/>
          <w:color w:val="auto"/>
        </w:rPr>
        <w:t>” means, collectively, all of the following to the extent relating to Data Treatment or otherwise relating to privacy, security, or security breach notification requirements and applicable to the Seller, to the conduct of the Business, or to any of the Company Systems, any Company Data or any Sensitive Information: (i) the Business’ own rules, policies, and procedures; (ii) all applicable Laws, rules and regulations (including Privacy Laws); (iii) industry standards applicable to the industry in which the Seller operates (including, if applicable, the Payment Card Industry Data Security Standard (PCI DSS)); and (iv) Contracts into which the Seller has entered or by which they are otherwise bound.</w:t>
      </w:r>
    </w:p>
    <w:p>
      <w:pPr>
        <w:spacing w:after="0" w:line="184" w:lineRule="exact"/>
        <w:rPr>
          <w:sz w:val="20"/>
          <w:szCs w:val="20"/>
          <w:color w:val="auto"/>
        </w:rPr>
      </w:pPr>
    </w:p>
    <w:p>
      <w:pPr>
        <w:jc w:val="both"/>
        <w:ind w:left="740" w:right="2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Data Treatment</w:t>
      </w:r>
      <w:r>
        <w:rPr>
          <w:rFonts w:ascii="Times New Roman" w:cs="Times New Roman" w:eastAsia="Times New Roman" w:hAnsi="Times New Roman"/>
          <w:sz w:val="20"/>
          <w:szCs w:val="20"/>
          <w:color w:val="auto"/>
        </w:rPr>
        <w:t>” means the access, collection, use, processing, storage, maintenance, sharing, distribution, transfer, disclosure, security, destruction, or disposal of any personal, sensitive, or confidential information or data, including without limitation Personal Information (whether in electronic or any other form or medium).</w:t>
      </w:r>
    </w:p>
    <w:p>
      <w:pPr>
        <w:spacing w:after="0" w:line="174" w:lineRule="exact"/>
        <w:rPr>
          <w:sz w:val="20"/>
          <w:szCs w:val="20"/>
          <w:color w:val="auto"/>
        </w:rPr>
      </w:pPr>
    </w:p>
    <w:p>
      <w:pPr>
        <w:ind w:left="74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Deferred Shares</w:t>
      </w:r>
      <w:r>
        <w:rPr>
          <w:rFonts w:ascii="Times New Roman" w:cs="Times New Roman" w:eastAsia="Times New Roman" w:hAnsi="Times New Roman"/>
          <w:sz w:val="20"/>
          <w:szCs w:val="20"/>
          <w:color w:val="auto"/>
        </w:rPr>
        <w:t>” means deferred shares in the capital of Rezolve AI PLC and as defined in the articles of association of Rezolve AI PLC from time to time.</w:t>
      </w:r>
    </w:p>
    <w:p>
      <w:pPr>
        <w:spacing w:after="0" w:line="15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Documents</w:t>
      </w:r>
      <w:r>
        <w:rPr>
          <w:rFonts w:ascii="Times New Roman" w:cs="Times New Roman" w:eastAsia="Times New Roman" w:hAnsi="Times New Roman"/>
          <w:sz w:val="20"/>
          <w:szCs w:val="20"/>
          <w:color w:val="auto"/>
        </w:rPr>
        <w:t>” means this Agreement, the Employment Agreements and the Restrictive Covenant Agreements.</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Earn-Out Shares</w:t>
      </w:r>
      <w:r>
        <w:rPr>
          <w:rFonts w:ascii="Times New Roman" w:cs="Times New Roman" w:eastAsia="Times New Roman" w:hAnsi="Times New Roman"/>
          <w:sz w:val="20"/>
          <w:szCs w:val="20"/>
          <w:color w:val="auto"/>
        </w:rPr>
        <w:t>” means the Consideration Shares (if any) to be issued pursuant to Section 1.4.</w:t>
      </w:r>
    </w:p>
    <w:p>
      <w:pPr>
        <w:spacing w:after="0" w:line="216" w:lineRule="exact"/>
        <w:rPr>
          <w:sz w:val="20"/>
          <w:szCs w:val="20"/>
          <w:color w:val="auto"/>
        </w:rPr>
      </w:pPr>
    </w:p>
    <w:p>
      <w:pPr>
        <w:jc w:val="both"/>
        <w:ind w:left="740" w:right="2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Employees</w:t>
      </w:r>
      <w:r>
        <w:rPr>
          <w:rFonts w:ascii="Times New Roman" w:cs="Times New Roman" w:eastAsia="Times New Roman" w:hAnsi="Times New Roman"/>
          <w:sz w:val="20"/>
          <w:szCs w:val="20"/>
          <w:color w:val="auto"/>
        </w:rPr>
        <w:t>” means any individuals who are: (i) employed by Seller, whether on a temporary, contract, full-time, part-time basis, salaried or hourly basis as of the date of this Agreement, including any that are employed pursuant to a work visa, on medical or long-term disability leave, or other statutory or authorized leave of absence.</w:t>
      </w:r>
    </w:p>
    <w:p>
      <w:pPr>
        <w:spacing w:after="0" w:line="174" w:lineRule="exact"/>
        <w:rPr>
          <w:sz w:val="20"/>
          <w:szCs w:val="20"/>
          <w:color w:val="auto"/>
        </w:rPr>
      </w:pPr>
    </w:p>
    <w:p>
      <w:pPr>
        <w:jc w:val="both"/>
        <w:ind w:left="740" w:right="20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w:t>
      </w:r>
      <w:r>
        <w:rPr>
          <w:rFonts w:ascii="Times New Roman" w:cs="Times New Roman" w:eastAsia="Times New Roman" w:hAnsi="Times New Roman"/>
          <w:sz w:val="20"/>
          <w:szCs w:val="20"/>
          <w:color w:val="auto"/>
        </w:rPr>
        <w:t>” means, with respect to any Person, any share, unit, capital stock, limited liability company interest, membership interest, partnership interest or similar interest or other indicia of equity or equity-like ownership (including any option, warrant, profits interests or similar right or security convertible, exchangeable or exercisable therefor or other instrument or right the value of which is based on any of the foregoing, including any phantom interest) in such Person.</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Assets and Liabilities</w:t>
      </w:r>
      <w:r>
        <w:rPr>
          <w:rFonts w:ascii="Times New Roman" w:cs="Times New Roman" w:eastAsia="Times New Roman" w:hAnsi="Times New Roman"/>
          <w:sz w:val="20"/>
          <w:szCs w:val="20"/>
          <w:color w:val="auto"/>
        </w:rPr>
        <w:t>” means any liabilities or assets of Seller other than Acquired</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Assets.</w:t>
      </w:r>
    </w:p>
    <w:p>
      <w:pPr>
        <w:spacing w:after="0" w:line="19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Expert Accountant</w:t>
      </w:r>
      <w:r>
        <w:rPr>
          <w:rFonts w:ascii="Times New Roman" w:cs="Times New Roman" w:eastAsia="Times New Roman" w:hAnsi="Times New Roman"/>
          <w:sz w:val="20"/>
          <w:szCs w:val="20"/>
          <w:color w:val="auto"/>
        </w:rPr>
        <w:t>" has the meaning set forth in 1.4(b)(i).</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Earn-Out Conditions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1.4(a)(iii)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Earn-Out Payment</w:t>
      </w:r>
      <w:r>
        <w:rPr>
          <w:rFonts w:ascii="Times New Roman" w:cs="Times New Roman" w:eastAsia="Times New Roman" w:hAnsi="Times New Roman"/>
          <w:sz w:val="20"/>
          <w:szCs w:val="20"/>
          <w:color w:val="auto"/>
        </w:rPr>
        <w:t xml:space="preserve">” means the set forth in </w:t>
      </w:r>
      <w:r>
        <w:rPr>
          <w:rFonts w:ascii="Times New Roman" w:cs="Times New Roman" w:eastAsia="Times New Roman" w:hAnsi="Times New Roman"/>
          <w:sz w:val="20"/>
          <w:szCs w:val="20"/>
          <w:u w:val="single" w:color="auto"/>
          <w:color w:val="auto"/>
        </w:rPr>
        <w:t>Section 1.4(a)</w:t>
      </w:r>
      <w:r>
        <w:rPr>
          <w:rFonts w:ascii="Times New Roman" w:cs="Times New Roman" w:eastAsia="Times New Roman" w:hAnsi="Times New Roman"/>
          <w:sz w:val="20"/>
          <w:szCs w:val="20"/>
          <w:color w:val="auto"/>
        </w:rPr>
        <w: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512445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399" w:right="499" w:bottom="1440" w:gutter="0" w:footer="0" w:header="0"/>
        </w:sectPr>
      </w:pPr>
    </w:p>
    <w:bookmarkStart w:id="40" w:name="page41"/>
    <w:bookmarkEnd w:id="40"/>
    <w:p>
      <w:pPr>
        <w:ind w:left="2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Earn-Out Period</w:t>
      </w:r>
      <w:r>
        <w:rPr>
          <w:rFonts w:ascii="Times New Roman" w:cs="Times New Roman" w:eastAsia="Times New Roman" w:hAnsi="Times New Roman"/>
          <w:sz w:val="20"/>
          <w:szCs w:val="20"/>
          <w:color w:val="auto"/>
        </w:rPr>
        <w:t>” means the period form 1 January 2026 to 31 December 2026.</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Earn-Out Statement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1.4(b)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Earn-Out Dispute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1.4(b)(i)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Floor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1.4(a)(iii)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Fraud</w:t>
      </w:r>
      <w:r>
        <w:rPr>
          <w:rFonts w:ascii="Times New Roman" w:cs="Times New Roman" w:eastAsia="Times New Roman" w:hAnsi="Times New Roman"/>
          <w:sz w:val="20"/>
          <w:szCs w:val="20"/>
          <w:color w:val="auto"/>
        </w:rPr>
        <w:t>” means an act in the making of a specific representation or warranty expressly set forth in this Agreement, committed by a Person in the making of such express representation or warranty with intent to deceive a party to this Agreement and to induce such party to enter into the Agreement.</w:t>
      </w:r>
    </w:p>
    <w:p>
      <w:pPr>
        <w:spacing w:after="0" w:line="174" w:lineRule="exact"/>
        <w:rPr>
          <w:sz w:val="20"/>
          <w:szCs w:val="20"/>
          <w:color w:val="auto"/>
        </w:rPr>
      </w:pPr>
    </w:p>
    <w:p>
      <w:pPr>
        <w:jc w:val="both"/>
        <w:ind w:left="740"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Fundamental Representations</w:t>
      </w:r>
      <w:r>
        <w:rPr>
          <w:rFonts w:ascii="Times New Roman" w:cs="Times New Roman" w:eastAsia="Times New Roman" w:hAnsi="Times New Roman"/>
          <w:sz w:val="20"/>
          <w:szCs w:val="20"/>
          <w:color w:val="auto"/>
        </w:rPr>
        <w:t>” means the Purchaser Fundamental Representations and the Seller Fundamental Representations.</w:t>
      </w:r>
    </w:p>
    <w:p>
      <w:pPr>
        <w:spacing w:after="0" w:line="15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General Cap</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7.2(c)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right="2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any Brazilian, British or foreign governmental authority, including but not limited to any national, federal, provincial, territorial, state, commonwealth, county, municipal, district, local governmental jurisdiction of any nature or any other governmental, self-regulatory or quasi-governmental authority of any nature (including any governmental department, ministry, division, official, judiciary, agency, bureau, office, branch, court, entity, commission, tribunal, or other governmental instrumentality) or any political or other subdivision or part of any of the foregoing.</w:t>
      </w:r>
    </w:p>
    <w:p>
      <w:pPr>
        <w:spacing w:after="0" w:line="185" w:lineRule="exact"/>
        <w:rPr>
          <w:sz w:val="20"/>
          <w:szCs w:val="20"/>
          <w:color w:val="auto"/>
        </w:rPr>
      </w:pPr>
    </w:p>
    <w:p>
      <w:pPr>
        <w:jc w:val="both"/>
        <w:ind w:left="74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Inbound Licenses</w:t>
      </w:r>
      <w:r>
        <w:rPr>
          <w:rFonts w:ascii="Times New Roman" w:cs="Times New Roman" w:eastAsia="Times New Roman" w:hAnsi="Times New Roman"/>
          <w:sz w:val="20"/>
          <w:szCs w:val="20"/>
          <w:color w:val="auto"/>
        </w:rPr>
        <w:t>” means, collectively, any Contract (including covenants not to sue) pursuant to which Seller is authorized or otherwise permitted to access or exploit any other Person’s Intellectual Property, or any Contract pursuant to which the Business obtains a right to access or exploit a Person’s Intellectual Property in the form of services, such as a software as a services Contract or a cloud services Contract.</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means, without duplication, any of the following Liabilities of the Seller, whether or not contingent:</w:t>
      </w:r>
    </w:p>
    <w:p>
      <w:pPr>
        <w:spacing w:after="0" w:line="22" w:lineRule="exact"/>
        <w:rPr>
          <w:sz w:val="20"/>
          <w:szCs w:val="20"/>
          <w:color w:val="auto"/>
        </w:rPr>
      </w:pPr>
    </w:p>
    <w:p>
      <w:pPr>
        <w:jc w:val="both"/>
        <w:ind w:left="740" w:hanging="3"/>
        <w:spacing w:after="0" w:line="239" w:lineRule="auto"/>
        <w:tabs>
          <w:tab w:leader="none" w:pos="102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for borrowed money (including any principal, premium, accrued and unpaid interest, related expenses, prepayment penalties, commitment and other fees, sale or liquidity participation amounts, reimbursements, indemnities and all other amounts payable in connection therewith), (ii) all Liabilities evidenced by bonds, debentures, notes, or other similar instruments or debt securities, (iii) all Liabilities of the Seller under or in connection with drawn or undrawn letters of credit, bankers’ acceptances, performance bonds, surety bonds, fidelity bonds or similar items, (iv) all Liabilities to pay the deferred purchase price of property or services other than those trade payables incurred in the Ordinary Course of Business and included in Closing Net Working Capital, (v) all Liabilities arising from cash/book overdrafts, (vi) all lease obligations that are required to be classified as capitalized lease obligations in accordance with Brazilian Accounting Standards, (vii) all Liabilities of the Seller under conditional sale or other title retention agreements, (viii) all Liabilities with respect to vendor advances or any other advances made to the Seller, (ix) all Liabilities of the Seller arising out of interest rate and currency swap arrangements and any other arrangements designed to provide protection against fluctuations in interest or currency rates, (x) all Liabilities secured by a Lien upon any property or assets owned by the Seller, (xi) any deferred purchase price Liabilities related to past acquisitions, (xii) any obligations under severance agreements, stay bonuses, incentive bonuses (relating to the sale of any Acquired Asset), termination and change of control arrangements and similar obligations that are owed to any Person or that will be triggered, either automatically or with the passage of time, by the consummation of the transactions contemplated by this Agreement, (xiii) all Liabilities of the Seller arising from any breach of any of the foregoing, (xiv) deferred rent, (xv) Liabilities owed to any Person under any deferred compensation arrangements, defined benefit plans, and pension plans of the Seller, (xvi) Liabilities associated with factoring or discounting of accounts receivables, (xvii) Liabilities set forth on the Indebtedness Schedule, (xviii) guarantees of the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512445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13" w:right="699" w:bottom="1440" w:gutter="0" w:footer="0" w:header="0"/>
        </w:sectPr>
      </w:pPr>
    </w:p>
    <w:bookmarkStart w:id="41" w:name="page42"/>
    <w:bookmarkEnd w:id="41"/>
    <w:p>
      <w:pPr>
        <w:spacing w:after="0" w:line="13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obligations described in clauses (i) through (xix) above of any other Person, in each case, outstanding as of the Closing, and</w:t>
      </w:r>
    </w:p>
    <w:p>
      <w:pPr>
        <w:spacing w:after="0" w:line="22" w:lineRule="exact"/>
        <w:rPr>
          <w:sz w:val="20"/>
          <w:szCs w:val="20"/>
          <w:color w:val="auto"/>
        </w:rPr>
      </w:pPr>
    </w:p>
    <w:p>
      <w:pPr>
        <w:jc w:val="both"/>
        <w:ind w:left="740" w:hanging="3"/>
        <w:spacing w:after="0" w:line="241" w:lineRule="auto"/>
        <w:tabs>
          <w:tab w:leader="none" w:pos="115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clauses (i) through (xxi), all accrued interest, fees, premiums, penalties, indemnities, costs, expenses and/or other amounts due in respect of any of the foregoing. For purposes of calculating the Closing Indebtedness, all interest, fees, premiums, penalties, indemnities, cost and expenses (if any) and other amounts which would be payable if Indebtedness were paid in full at the Closing should be treated as Indebtedness.</w:t>
      </w:r>
    </w:p>
    <w:p>
      <w:pPr>
        <w:spacing w:after="0" w:line="1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Indemnitor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Independent Contractor</w:t>
      </w:r>
      <w:r>
        <w:rPr>
          <w:rFonts w:ascii="Times New Roman" w:cs="Times New Roman" w:eastAsia="Times New Roman" w:hAnsi="Times New Roman"/>
          <w:sz w:val="20"/>
          <w:szCs w:val="20"/>
          <w:color w:val="auto"/>
        </w:rPr>
        <w:t>” means all independent contractors and consultants engaged or retained by the Seller at any</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time.</w:t>
      </w:r>
    </w:p>
    <w:p>
      <w:pPr>
        <w:spacing w:after="0" w:line="19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Consideration</w:t>
      </w:r>
      <w:r>
        <w:rPr>
          <w:rFonts w:ascii="Times New Roman" w:cs="Times New Roman" w:eastAsia="Times New Roman" w:hAnsi="Times New Roman"/>
          <w:sz w:val="20"/>
          <w:szCs w:val="20"/>
          <w:color w:val="auto"/>
        </w:rPr>
        <w:t>” has the meaning set forth in Section 1.2(a).</w:t>
      </w:r>
    </w:p>
    <w:p>
      <w:pPr>
        <w:spacing w:after="0" w:line="216" w:lineRule="exact"/>
        <w:rPr>
          <w:sz w:val="20"/>
          <w:szCs w:val="20"/>
          <w:color w:val="auto"/>
        </w:rPr>
      </w:pPr>
    </w:p>
    <w:p>
      <w:pPr>
        <w:jc w:val="both"/>
        <w:ind w:left="740" w:firstLine="749"/>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 means (i) all intellectual property and proprietary rights throughout the world, including but not limited to all intellectual property and proprietary rights in or to (a) patents, patent applications, design patents, industrial design applications and registrations, patent disclosures, and inventions and all improvements thereto (whether or not patentable or reduced to practice), and all reissues, continuations, continuations-in-part, revisions, divisional, extensions, and reexaminations in connection therewith, (b) trademarks, service marks, trade dress, trade names, slogans, logos, Internet domain names, and corporate names, social media sites (and all translations, transliterations, adaptations, derivations and combinations of the foregoing), together with all of the goodwill associated therewith, (c) copyrights and copyrightable works, author’s rights, including any moral rights or economic rights (d) registrations, applications and renewals for any of the foregoing, as applicable, (e) Trade Secrets, technology, know-how, inventions, improvements, specifications, machining, tooling, engineering and manufacturing methods and processes, designs, formulae, techniques, technical data and manuals, and research and development information, (f) Software (including but not limited to source code, object code, data, databases and documentation), and (g) all other similar proprietary rights; (ii) all priority rights in and to the foregoing intellectual property;</w:t>
      </w:r>
    </w:p>
    <w:p>
      <w:pPr>
        <w:spacing w:after="0" w:line="1" w:lineRule="exact"/>
        <w:rPr>
          <w:sz w:val="20"/>
          <w:szCs w:val="20"/>
          <w:color w:val="auto"/>
        </w:rPr>
      </w:pPr>
    </w:p>
    <w:p>
      <w:pPr>
        <w:jc w:val="both"/>
        <w:ind w:left="740" w:hanging="3"/>
        <w:spacing w:after="0" w:line="242" w:lineRule="auto"/>
        <w:tabs>
          <w:tab w:leader="none" w:pos="1089"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claims, causes of action and rights to sue for past, present and future infringement or misappropriation of the foregoing, and all proceeds, rights of recovery and revenues arising from or pertaining to the foregoing; and, (iv) all copies and tangible embodiments of any of the foregoing (in whatever form or medium).</w:t>
      </w:r>
    </w:p>
    <w:p>
      <w:pPr>
        <w:spacing w:after="0" w:line="187" w:lineRule="exact"/>
        <w:rPr>
          <w:sz w:val="20"/>
          <w:szCs w:val="20"/>
          <w:color w:val="auto"/>
        </w:rPr>
      </w:pPr>
    </w:p>
    <w:p>
      <w:pPr>
        <w:jc w:val="both"/>
        <w:ind w:left="74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as applied to any Person means (i) any direct or indirect purchase or other acquisition by such Person of any notes, obligations, instruments, stock, securities or ownership interest (including partnership interests and joint venture interests) of any other Person and (ii) any capital contribution by such Person to any other Person.</w:t>
      </w:r>
    </w:p>
    <w:p>
      <w:pPr>
        <w:spacing w:after="0" w:line="17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Knowledge</w:t>
      </w:r>
      <w:r>
        <w:rPr>
          <w:rFonts w:ascii="Times New Roman" w:cs="Times New Roman" w:eastAsia="Times New Roman" w:hAnsi="Times New Roman"/>
          <w:sz w:val="20"/>
          <w:szCs w:val="20"/>
          <w:color w:val="auto"/>
        </w:rPr>
        <w:t>” of the Seller means the knowledge, after reasonable inquiry, of Rocelo.</w:t>
      </w:r>
    </w:p>
    <w:p>
      <w:pPr>
        <w:spacing w:after="0" w:line="216" w:lineRule="exact"/>
        <w:rPr>
          <w:sz w:val="20"/>
          <w:szCs w:val="20"/>
          <w:color w:val="auto"/>
        </w:rPr>
      </w:pPr>
    </w:p>
    <w:p>
      <w:pPr>
        <w:jc w:val="both"/>
        <w:ind w:left="74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Law</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Laws</w:t>
      </w:r>
      <w:r>
        <w:rPr>
          <w:rFonts w:ascii="Times New Roman" w:cs="Times New Roman" w:eastAsia="Times New Roman" w:hAnsi="Times New Roman"/>
          <w:sz w:val="20"/>
          <w:szCs w:val="20"/>
          <w:color w:val="auto"/>
        </w:rPr>
        <w:t>” means all federal, state, municipal or local constitutions, laws, ordinances, principles of common law, codes, statutes, rules, orders, determinations, judgements, writs, injunctions, acts, decrees, regulations or treaties, by consent or otherwise, of any Governmental Authority.</w:t>
      </w:r>
    </w:p>
    <w:p>
      <w:pPr>
        <w:spacing w:after="0" w:line="17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Leased Real Property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Leases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4.13(a)</w:t>
      </w:r>
      <w:r>
        <w:rPr>
          <w:rFonts w:ascii="Times New Roman" w:cs="Times New Roman" w:eastAsia="Times New Roman" w:hAnsi="Times New Roman"/>
          <w:sz w:val="20"/>
          <w:szCs w:val="20"/>
          <w:color w:val="auto"/>
        </w:rPr>
        <w: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42" w:name="page43"/>
    <w:bookmarkEnd w:id="42"/>
    <w:p>
      <w:pPr>
        <w:jc w:val="both"/>
        <w:ind w:left="74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Liability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liability</w:t>
      </w:r>
      <w:r>
        <w:rPr>
          <w:rFonts w:ascii="Times New Roman" w:cs="Times New Roman" w:eastAsia="Times New Roman" w:hAnsi="Times New Roman"/>
          <w:sz w:val="20"/>
          <w:szCs w:val="20"/>
          <w:color w:val="auto"/>
        </w:rPr>
        <w:t>” means any liability, debt, obligation, deficiency, interest, Tax, penalty, fine, claim, demand, judgment, cause of action, or other loss (including without limitation, loss of benefit or relief), cost or expense of any kind or nature whatsoever, whether known or unknown, asserted or unasserted, absolute or contingent, accrued or unaccrued, liquidated or unliquidated, and whether due or become due and regardless of when asserted, cost or expense relating thereto.</w:t>
      </w:r>
    </w:p>
    <w:p>
      <w:pPr>
        <w:spacing w:after="0" w:line="180" w:lineRule="exact"/>
        <w:rPr>
          <w:sz w:val="20"/>
          <w:szCs w:val="20"/>
          <w:color w:val="auto"/>
        </w:rPr>
      </w:pPr>
    </w:p>
    <w:p>
      <w:pPr>
        <w:jc w:val="both"/>
        <w:ind w:left="740"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Licenses</w:t>
      </w:r>
      <w:r>
        <w:rPr>
          <w:rFonts w:ascii="Times New Roman" w:cs="Times New Roman" w:eastAsia="Times New Roman" w:hAnsi="Times New Roman"/>
          <w:sz w:val="20"/>
          <w:szCs w:val="20"/>
          <w:color w:val="auto"/>
        </w:rPr>
        <w:t>” means collectively all Inbound Licenses and the Outbound Licenses and each other Contract to which Seller is a party relating to the acquisition, transfer, development, license, use or commercialization of Intellectual Property or any waiver or release of rights in, to or under Intellectual Property.</w:t>
      </w:r>
    </w:p>
    <w:p>
      <w:pPr>
        <w:spacing w:after="0" w:line="174" w:lineRule="exact"/>
        <w:rPr>
          <w:sz w:val="20"/>
          <w:szCs w:val="20"/>
          <w:color w:val="auto"/>
        </w:rPr>
      </w:pPr>
    </w:p>
    <w:p>
      <w:pPr>
        <w:jc w:val="both"/>
        <w:ind w:left="74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means any lien (statutory or otherwise), pledge, security interest, encumbrance, mortgage, restriction, right of first refusal or offer, hypothecation, personal property registration, charge, adverse claim and any other security arrangement, option, encroachment, easement, voting trust, proxies, preemptive or similar rights or transfer restriction (including any conditional sale or other title retention agreement or lease in the nature thereof), exclusive license or other encumbrance on of any Intellectual Property, or any sale of receivables with recourse against Seller, or any subordination arrangement in favor of another Person.</w:t>
      </w:r>
    </w:p>
    <w:p>
      <w:pPr>
        <w:spacing w:after="0" w:line="198" w:lineRule="exact"/>
        <w:rPr>
          <w:sz w:val="20"/>
          <w:szCs w:val="20"/>
          <w:color w:val="auto"/>
        </w:rPr>
      </w:pPr>
    </w:p>
    <w:p>
      <w:pPr>
        <w:jc w:val="both"/>
        <w:ind w:left="740"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Lock-Up Agreements</w:t>
      </w:r>
      <w:r>
        <w:rPr>
          <w:rFonts w:ascii="Times New Roman" w:cs="Times New Roman" w:eastAsia="Times New Roman" w:hAnsi="Times New Roman"/>
          <w:sz w:val="20"/>
          <w:szCs w:val="20"/>
          <w:color w:val="auto"/>
        </w:rPr>
        <w:t>” means the Lock-Up Agreements to be executed by and between Rezolve PLC, Seller and Rocelo, substantially in the form of Schedule 2.1(c).</w:t>
      </w:r>
    </w:p>
    <w:p>
      <w:pPr>
        <w:spacing w:after="0" w:line="146" w:lineRule="exact"/>
        <w:rPr>
          <w:sz w:val="20"/>
          <w:szCs w:val="20"/>
          <w:color w:val="auto"/>
        </w:rPr>
      </w:pPr>
    </w:p>
    <w:p>
      <w:pPr>
        <w:jc w:val="both"/>
        <w:ind w:left="740" w:right="2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Losses</w:t>
      </w:r>
      <w:r>
        <w:rPr>
          <w:rFonts w:ascii="Times New Roman" w:cs="Times New Roman" w:eastAsia="Times New Roman" w:hAnsi="Times New Roman"/>
          <w:sz w:val="20"/>
          <w:szCs w:val="20"/>
          <w:color w:val="auto"/>
        </w:rPr>
        <w:t xml:space="preserve">” means any and all losses, damages, Liabilities, Taxes, judgments, fines, penalties, costs and expenses, including reasonable, documented legal fees and expenses paid in the investigation, defense, assertion or settlement of the foregoing or the enforcement of rights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Losses shall not include any punitive damages other than such punitive damages specifically awarded: (a) to a third party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a Person that is not a Purchaser Indemnified Party or a Seller Indemnified Party, as applicable, or one of their respective Affiliates) in connection with a Third-Party Claim; or (b) as a remedy to the Purchaser for Fraud.</w:t>
      </w:r>
    </w:p>
    <w:p>
      <w:pPr>
        <w:spacing w:after="0" w:line="19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Malicious Code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4.7(j)</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740" w:firstLine="74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Adverse Effect</w:t>
      </w:r>
      <w:r>
        <w:rPr>
          <w:rFonts w:ascii="Times New Roman" w:cs="Times New Roman" w:eastAsia="Times New Roman" w:hAnsi="Times New Roman"/>
          <w:sz w:val="19"/>
          <w:szCs w:val="19"/>
          <w:color w:val="auto"/>
        </w:rPr>
        <w:t>” means any change, event, occurrence, state of facts or effect that is, or would reasonably likely be, materially adverse to (i) the business, operations, assets, liabilities, condition (financial or otherwise), employees, business relations, operating results or prospects of the Business taken as a whole or (ii) the ability of Seller to perform any of their obligations under this Agreement or to consummate any of the transactions contemplated by this Agreement, in each case other than to the extent resulting from (A) any change in general economic conditions in, or change that affects, the industries or markets in which the Seller operates, (B) any change in national or international political conditions, including any engagement in hostilities, whether or not pursuant to the declaration of a national emergency or war or the occurrence of any military or terrorist attack, or change in national or international economic conditions or credit or financial market conditions,</w:t>
      </w:r>
    </w:p>
    <w:p>
      <w:pPr>
        <w:ind w:left="1060" w:hanging="323"/>
        <w:spacing w:after="0"/>
        <w:tabs>
          <w:tab w:leader="none" w:pos="10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natural or man-made disasters or acts of god, or</w:t>
      </w:r>
    </w:p>
    <w:p>
      <w:pPr>
        <w:jc w:val="both"/>
        <w:ind w:left="740" w:right="20" w:hanging="3"/>
        <w:spacing w:after="0" w:line="241" w:lineRule="auto"/>
        <w:tabs>
          <w:tab w:leader="none" w:pos="1073"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changes in applicable Law or Brazilian Accounting Standards from and after the date of this Agreement, except, with respect to each of the foregoing, to the extent (i) as a result of the COVID-19 Pandemic and/or (ii) such event, circumstance, change, occurrence, development, fact or effect has a disproportionate impact on the Business as compared to other participants in the industry in which the Seller conduct its business.</w:t>
      </w:r>
    </w:p>
    <w:p>
      <w:pPr>
        <w:spacing w:after="0" w:line="20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Consents</w:t>
      </w:r>
      <w:r>
        <w:rPr>
          <w:rFonts w:ascii="Times New Roman" w:cs="Times New Roman" w:eastAsia="Times New Roman" w:hAnsi="Times New Roman"/>
          <w:sz w:val="20"/>
          <w:szCs w:val="20"/>
          <w:color w:val="auto"/>
        </w:rPr>
        <w:t xml:space="preserve">” means the consents listed in </w:t>
      </w:r>
      <w:r>
        <w:rPr>
          <w:rFonts w:ascii="Times New Roman" w:cs="Times New Roman" w:eastAsia="Times New Roman" w:hAnsi="Times New Roman"/>
          <w:sz w:val="20"/>
          <w:szCs w:val="20"/>
          <w:u w:val="single" w:color="auto"/>
          <w:color w:val="auto"/>
        </w:rPr>
        <w:t>Schedule 3.2(c)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Contracts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4.6(b)</w:t>
      </w:r>
      <w:r>
        <w:rPr>
          <w:rFonts w:ascii="Times New Roman" w:cs="Times New Roman" w:eastAsia="Times New Roman" w:hAnsi="Times New Roman"/>
          <w:sz w:val="20"/>
          <w:szCs w:val="20"/>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399" w:right="699" w:bottom="1440" w:gutter="0" w:footer="0" w:header="0"/>
        </w:sectPr>
      </w:pPr>
    </w:p>
    <w:bookmarkStart w:id="43" w:name="page44"/>
    <w:bookmarkEnd w:id="43"/>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Customer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Vendor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4.14(b)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Most Recent Balance Sheet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right="40"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Open Source Software</w:t>
      </w:r>
      <w:r>
        <w:rPr>
          <w:rFonts w:ascii="Times New Roman" w:cs="Times New Roman" w:eastAsia="Times New Roman" w:hAnsi="Times New Roman"/>
          <w:sz w:val="20"/>
          <w:szCs w:val="20"/>
          <w:color w:val="auto"/>
        </w:rPr>
        <w:t>” means any Software that is licensed, distributed or conveyed as “open source software,” “free software,” “copyleft” or under a similar licensing or distribution model, or under a licence that requires as a condition of its use, modification or distribution that it, or other Software into which such Software is incorporated, integrated or with which such Software is combined or distributed or that is derived from or linked to such Software, be disclosed or distributed in source code form, delivered at no charge or be licensed, distributed or conveyed under the same terms as such contract (including Software licensed under the GNU General Public License (GPL), GNU Lesser General Public License (LGPL), Mozilla Public License (MPL), BSD licenses, Microsoft Shared Source License, Common Public License, Artistic License, Netscape Public License, Sun Community Source License (SCSL), Sun Industry Standards License (SISL), Apache License and any license listed at www.opensource.org).</w:t>
      </w:r>
    </w:p>
    <w:p>
      <w:pPr>
        <w:spacing w:after="0" w:line="186" w:lineRule="exact"/>
        <w:rPr>
          <w:sz w:val="20"/>
          <w:szCs w:val="20"/>
          <w:color w:val="auto"/>
        </w:rPr>
      </w:pPr>
    </w:p>
    <w:p>
      <w:pPr>
        <w:jc w:val="both"/>
        <w:ind w:left="740" w:right="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Order</w:t>
      </w:r>
      <w:r>
        <w:rPr>
          <w:rFonts w:ascii="Times New Roman" w:cs="Times New Roman" w:eastAsia="Times New Roman" w:hAnsi="Times New Roman"/>
          <w:sz w:val="20"/>
          <w:szCs w:val="20"/>
          <w:color w:val="auto"/>
        </w:rPr>
        <w:t>” means any award, decision, injunction, judgment, decree, order, ruling or verdict entered, issued, made or rendered by any court, administrative agency or other Governmental Authority or any arbitrator.</w:t>
      </w:r>
    </w:p>
    <w:p>
      <w:pPr>
        <w:spacing w:after="0" w:line="159" w:lineRule="exact"/>
        <w:rPr>
          <w:sz w:val="20"/>
          <w:szCs w:val="20"/>
          <w:color w:val="auto"/>
        </w:rPr>
      </w:pPr>
    </w:p>
    <w:p>
      <w:pPr>
        <w:jc w:val="both"/>
        <w:ind w:left="740" w:right="4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Ordinary Course of Business</w:t>
      </w:r>
      <w:r>
        <w:rPr>
          <w:rFonts w:ascii="Times New Roman" w:cs="Times New Roman" w:eastAsia="Times New Roman" w:hAnsi="Times New Roman"/>
          <w:sz w:val="20"/>
          <w:szCs w:val="20"/>
          <w:color w:val="auto"/>
        </w:rPr>
        <w:t>” means the ordinary course of business consistent in all material respects with past custom and practice (including with respect to frequency and amount) of the Business as conducted by Seller over the past twenty-four (24) months.</w:t>
      </w:r>
    </w:p>
    <w:p>
      <w:pPr>
        <w:spacing w:after="0" w:line="174" w:lineRule="exact"/>
        <w:rPr>
          <w:sz w:val="20"/>
          <w:szCs w:val="20"/>
          <w:color w:val="auto"/>
        </w:rPr>
      </w:pPr>
    </w:p>
    <w:p>
      <w:pPr>
        <w:jc w:val="both"/>
        <w:ind w:left="740" w:right="4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Organizational Documents</w:t>
      </w:r>
      <w:r>
        <w:rPr>
          <w:rFonts w:ascii="Times New Roman" w:cs="Times New Roman" w:eastAsia="Times New Roman" w:hAnsi="Times New Roman"/>
          <w:sz w:val="20"/>
          <w:szCs w:val="20"/>
          <w:color w:val="auto"/>
        </w:rPr>
        <w:t>” means, with respect to any Person (other than an individual), (a) the certificate or articles of incorporation, formation or organization and any joint venture, limited liability company, operating, trust or partnership agreement and other similar documents adopted or filed in connection with the creation, formation or organization of such Person and (b) all by-laws, voting agreements and similar documents, instruments or agreements relating to the organization or governance of such Person, in each case, as amended or supplemented.</w:t>
      </w:r>
    </w:p>
    <w:p>
      <w:pPr>
        <w:spacing w:after="0" w:line="185" w:lineRule="exact"/>
        <w:rPr>
          <w:sz w:val="20"/>
          <w:szCs w:val="20"/>
          <w:color w:val="auto"/>
        </w:rPr>
      </w:pPr>
    </w:p>
    <w:p>
      <w:pPr>
        <w:jc w:val="both"/>
        <w:ind w:left="740" w:right="6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Outbound Licenses</w:t>
      </w:r>
      <w:r>
        <w:rPr>
          <w:rFonts w:ascii="Times New Roman" w:cs="Times New Roman" w:eastAsia="Times New Roman" w:hAnsi="Times New Roman"/>
          <w:sz w:val="20"/>
          <w:szCs w:val="20"/>
          <w:color w:val="auto"/>
        </w:rPr>
        <w:t>” means, collectively, any Contract (including covenants not to sue) pursuant to which the Business authorizes or otherwise permits any other Person to access or exploit any Company Intellectual Property, including in the form of services, such as a software as a services Contract or a cloud services Contract.</w:t>
      </w:r>
    </w:p>
    <w:p>
      <w:pPr>
        <w:spacing w:after="0" w:line="17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Overall Cap</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7.2(c)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4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Owned Intellectual Property</w:t>
      </w:r>
      <w:r>
        <w:rPr>
          <w:rFonts w:ascii="Times New Roman" w:cs="Times New Roman" w:eastAsia="Times New Roman" w:hAnsi="Times New Roman"/>
          <w:sz w:val="20"/>
          <w:szCs w:val="20"/>
          <w:color w:val="auto"/>
        </w:rPr>
        <w:t>” means all Company Intellectual Property other than Intellectual Property licensed to the Business pursuant to an Inbound License.</w:t>
      </w:r>
    </w:p>
    <w:p>
      <w:pPr>
        <w:spacing w:after="0" w:line="1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Permits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4.10(a)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means (i) Liens for Taxes or assessments and similar charges, which either are</w:t>
      </w:r>
    </w:p>
    <w:p>
      <w:pPr>
        <w:spacing w:after="0" w:line="22" w:lineRule="exact"/>
        <w:rPr>
          <w:sz w:val="20"/>
          <w:szCs w:val="20"/>
          <w:color w:val="auto"/>
        </w:rPr>
      </w:pPr>
    </w:p>
    <w:p>
      <w:pPr>
        <w:jc w:val="both"/>
        <w:ind w:left="740" w:right="40" w:hanging="3"/>
        <w:spacing w:after="0"/>
        <w:tabs>
          <w:tab w:leader="none" w:pos="1081"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yet due and payable or (B) being diligently contested in good faith and by appropriate proceedings, and as to which adequate reserves have been established on the Seller’s financial statements in accordance with Brazilian Accounting Standards, (ii) Liens imposed by applicable Law and incurred in the Ordinary Course of Business for obligations not yet due and payable to landlords, carriers, warehousemen, laborers, materialmen and the like, (iii) zoning, building codes and other land use Laws regulating the use or occupancy of any Leased Real Property or the activities conducted thereon which are imposed by any Governmental Authority having jurisdiction over such Leased Real Property which are not violated by the current use or occupancy of such Leased Real Property or the operation of the Business thereon, and (iv)</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1413" w:right="659" w:bottom="1440" w:gutter="0" w:footer="0" w:header="0"/>
        </w:sectPr>
      </w:pPr>
    </w:p>
    <w:bookmarkStart w:id="44" w:name="page45"/>
    <w:bookmarkEnd w:id="44"/>
    <w:p>
      <w:pPr>
        <w:jc w:val="both"/>
        <w:ind w:left="740" w:right="280"/>
        <w:spacing w:after="0" w:line="254" w:lineRule="auto"/>
        <w:rPr>
          <w:sz w:val="20"/>
          <w:szCs w:val="20"/>
          <w:color w:val="auto"/>
        </w:rPr>
      </w:pPr>
      <w:r>
        <w:rPr>
          <w:rFonts w:ascii="Times New Roman" w:cs="Times New Roman" w:eastAsia="Times New Roman" w:hAnsi="Times New Roman"/>
          <w:sz w:val="20"/>
          <w:szCs w:val="20"/>
          <w:color w:val="auto"/>
        </w:rPr>
        <w:t>easements, covenants, conditions, restrictions and other similar matters affecting title to any Leased Real Property and other title defects which do not materially impair the use or occupancy of such Leased Real Property or the operation of the Business.</w:t>
      </w:r>
    </w:p>
    <w:p>
      <w:pPr>
        <w:spacing w:after="0" w:line="174" w:lineRule="exact"/>
        <w:rPr>
          <w:sz w:val="20"/>
          <w:szCs w:val="20"/>
          <w:color w:val="auto"/>
        </w:rPr>
      </w:pPr>
    </w:p>
    <w:p>
      <w:pPr>
        <w:jc w:val="both"/>
        <w:ind w:left="740" w:right="28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 individual, a partnership, a corporation, a limited liability company, an unlimited liability company, an association, a joint stock company, a trust, a joint venture, an unincorporated organization and a governmental entity or any department, agency or political subdivision thereof.</w:t>
      </w:r>
    </w:p>
    <w:p>
      <w:pPr>
        <w:spacing w:after="0" w:line="174" w:lineRule="exact"/>
        <w:rPr>
          <w:sz w:val="20"/>
          <w:szCs w:val="20"/>
          <w:color w:val="auto"/>
        </w:rPr>
      </w:pPr>
    </w:p>
    <w:p>
      <w:pPr>
        <w:jc w:val="both"/>
        <w:ind w:left="740" w:right="28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Personal Information</w:t>
      </w:r>
      <w:r>
        <w:rPr>
          <w:rFonts w:ascii="Times New Roman" w:cs="Times New Roman" w:eastAsia="Times New Roman" w:hAnsi="Times New Roman"/>
          <w:sz w:val="20"/>
          <w:szCs w:val="20"/>
          <w:color w:val="auto"/>
        </w:rPr>
        <w:t>” means any information from which an individual or individual’s identity can be ascertained either from the information itself or by combining the information with information from other sources, including names, phone numbers, addresses and social security numbers, driver’s license numbers, government-issued identification numbers, payment card or other financial account numbers (which, for the avoidance of doubt, includes any such data or information which has been anonymized, pseudonymized, aggregated or de-identified) and other data or other information that constitutes personal information or personal data under any Privacy Law or other applicable Law.</w:t>
      </w:r>
    </w:p>
    <w:p>
      <w:pPr>
        <w:spacing w:after="0" w:line="1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Privacy Agreements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4.7(p)</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right="28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Privacy Laws</w:t>
      </w:r>
      <w:r>
        <w:rPr>
          <w:rFonts w:ascii="Times New Roman" w:cs="Times New Roman" w:eastAsia="Times New Roman" w:hAnsi="Times New Roman"/>
          <w:sz w:val="20"/>
          <w:szCs w:val="20"/>
          <w:color w:val="auto"/>
        </w:rPr>
        <w:t>” means any applicable Law or rule of a self-regulatory organization that Seller is or was required to comply with that relates, in any way, to Data Treatment performed by the Seller in the operation of the Businesses, including Brazilian Federal Law n. 13.709/2018.</w:t>
      </w:r>
    </w:p>
    <w:p>
      <w:pPr>
        <w:spacing w:after="0" w:line="157" w:lineRule="exact"/>
        <w:rPr>
          <w:sz w:val="20"/>
          <w:szCs w:val="20"/>
          <w:color w:val="auto"/>
        </w:rPr>
      </w:pPr>
    </w:p>
    <w:p>
      <w:pPr>
        <w:jc w:val="both"/>
        <w:ind w:left="740" w:right="30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xml:space="preserve">” means the Initial Consideration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 if payable under Section 1.4(a), the First Earn-Out Payment, and (ii) if payable under Section 1.4(c), the Second Earn-Out Payment.</w:t>
      </w:r>
    </w:p>
    <w:p>
      <w:pPr>
        <w:spacing w:after="0" w:line="15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40" w:firstLine="749"/>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Purchaser Fundamental Representations</w:t>
      </w:r>
      <w:r>
        <w:rPr>
          <w:rFonts w:ascii="Times New Roman" w:cs="Times New Roman" w:eastAsia="Times New Roman" w:hAnsi="Times New Roman"/>
          <w:sz w:val="20"/>
          <w:szCs w:val="20"/>
          <w:color w:val="auto"/>
        </w:rPr>
        <w:t xml:space="preserve">” means the representations and warranties set forth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(Organization and Power), </w:t>
      </w:r>
      <w:r>
        <w:rPr>
          <w:rFonts w:ascii="Times New Roman" w:cs="Times New Roman" w:eastAsia="Times New Roman" w:hAnsi="Times New Roman"/>
          <w:sz w:val="20"/>
          <w:szCs w:val="20"/>
          <w:u w:val="single" w:color="auto"/>
          <w:color w:val="auto"/>
        </w:rPr>
        <w:t>Section 6.2(a)</w:t>
      </w:r>
      <w:r>
        <w:rPr>
          <w:rFonts w:ascii="Times New Roman" w:cs="Times New Roman" w:eastAsia="Times New Roman" w:hAnsi="Times New Roman"/>
          <w:sz w:val="20"/>
          <w:szCs w:val="20"/>
          <w:color w:val="auto"/>
        </w:rPr>
        <w:t xml:space="preserve"> (Authorization),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xml:space="preserve"> (Brokerage) and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6.5</w:t>
      </w:r>
      <w:r>
        <w:rPr>
          <w:rFonts w:ascii="Times New Roman" w:cs="Times New Roman" w:eastAsia="Times New Roman" w:hAnsi="Times New Roman"/>
          <w:sz w:val="20"/>
          <w:szCs w:val="20"/>
          <w:color w:val="auto"/>
        </w:rPr>
        <w:t xml:space="preserve"> (Consideration Shares).</w:t>
      </w:r>
    </w:p>
    <w:p>
      <w:pPr>
        <w:spacing w:after="0" w:line="200" w:lineRule="exact"/>
        <w:rPr>
          <w:sz w:val="20"/>
          <w:szCs w:val="20"/>
          <w:color w:val="auto"/>
        </w:rPr>
      </w:pPr>
    </w:p>
    <w:p>
      <w:pPr>
        <w:spacing w:after="0" w:line="2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Purchaser Indemnified Parties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7.2(a).</w:t>
      </w:r>
    </w:p>
    <w:p>
      <w:pPr>
        <w:spacing w:after="0" w:line="216" w:lineRule="exact"/>
        <w:rPr>
          <w:sz w:val="20"/>
          <w:szCs w:val="20"/>
          <w:color w:val="auto"/>
        </w:rPr>
      </w:pPr>
    </w:p>
    <w:p>
      <w:pPr>
        <w:jc w:val="both"/>
        <w:ind w:left="740" w:right="28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R&amp;D Sponsor</w:t>
      </w:r>
      <w:r>
        <w:rPr>
          <w:rFonts w:ascii="Times New Roman" w:cs="Times New Roman" w:eastAsia="Times New Roman" w:hAnsi="Times New Roman"/>
          <w:sz w:val="20"/>
          <w:szCs w:val="20"/>
          <w:color w:val="auto"/>
        </w:rPr>
        <w:t>” means any Governmental Authority, public or private source, university, college, hospital, clinic, laboratory, research center or other educational or research institution, military, multi- national, bi-national or international organization or research center that has provided grants to Seller, or any developer, inventor or other contributor to any Owned Intellectual Property.</w:t>
      </w:r>
    </w:p>
    <w:p>
      <w:pPr>
        <w:spacing w:after="0" w:line="180" w:lineRule="exact"/>
        <w:rPr>
          <w:sz w:val="20"/>
          <w:szCs w:val="20"/>
          <w:color w:val="auto"/>
        </w:rPr>
      </w:pPr>
    </w:p>
    <w:p>
      <w:pPr>
        <w:jc w:val="both"/>
        <w:ind w:left="740" w:right="28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Registered Intellectual Property</w:t>
      </w:r>
      <w:r>
        <w:rPr>
          <w:rFonts w:ascii="Times New Roman" w:cs="Times New Roman" w:eastAsia="Times New Roman" w:hAnsi="Times New Roman"/>
          <w:sz w:val="20"/>
          <w:szCs w:val="20"/>
          <w:color w:val="auto"/>
        </w:rPr>
        <w:t>” means any Intellectual Property that is exclusively licensed to the Seller or any Owned Intellectual Property that, in either case, is the subject of an application or registration with any Governmental Authority, including any Domain Name registration and any application or registration for any Patent, Copyright, Industrial Design or Trademark.</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ind w:left="740" w:right="520" w:firstLine="374"/>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Net Profit</w:t>
      </w:r>
      <w:r>
        <w:rPr>
          <w:rFonts w:ascii="Times New Roman" w:cs="Times New Roman" w:eastAsia="Times New Roman" w:hAnsi="Times New Roman"/>
          <w:sz w:val="20"/>
          <w:szCs w:val="20"/>
          <w:color w:val="auto"/>
        </w:rPr>
        <w:t>” means in respect of either the First or Second Earn-Out Period, the aggregate net profit of the Purchaser generated by the Acquired Assets for that period which is fully recognized for USGAAP purposes and is shown in the audited accounts of the Purchaser for each of the financial years ending 31 December 2026 and 31 December 2027 being an amount equal to total revenue less total expenses where total expenses include: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1359" w:right="419" w:bottom="1440" w:gutter="0" w:footer="0" w:header="0"/>
        </w:sectPr>
      </w:pPr>
    </w:p>
    <w:bookmarkStart w:id="45" w:name="page46"/>
    <w:bookmarkEnd w:id="45"/>
    <w:p>
      <w:pPr>
        <w:spacing w:after="0" w:line="149" w:lineRule="exact"/>
        <w:rPr>
          <w:sz w:val="20"/>
          <w:szCs w:val="20"/>
          <w:color w:val="auto"/>
        </w:rPr>
      </w:pPr>
    </w:p>
    <w:p>
      <w:pPr>
        <w:ind w:left="1480" w:hanging="369"/>
        <w:spacing w:after="0"/>
        <w:tabs>
          <w:tab w:leader="none" w:pos="1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Cost of Goods Sold (COGS)</w:t>
      </w:r>
    </w:p>
    <w:p>
      <w:pPr>
        <w:spacing w:after="0" w:line="21" w:lineRule="exact"/>
        <w:rPr>
          <w:rFonts w:ascii="Times New Roman" w:cs="Times New Roman" w:eastAsia="Times New Roman" w:hAnsi="Times New Roman"/>
          <w:sz w:val="18"/>
          <w:szCs w:val="18"/>
          <w:color w:val="auto"/>
        </w:rPr>
      </w:pPr>
    </w:p>
    <w:p>
      <w:pPr>
        <w:ind w:left="1480" w:hanging="369"/>
        <w:spacing w:after="0"/>
        <w:tabs>
          <w:tab w:leader="none" w:pos="1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Operating expenses (e.g., salaries, rent)</w:t>
      </w:r>
    </w:p>
    <w:p>
      <w:pPr>
        <w:ind w:left="1480" w:hanging="369"/>
        <w:spacing w:after="0"/>
        <w:tabs>
          <w:tab w:leader="none" w:pos="1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Interest</w:t>
      </w:r>
    </w:p>
    <w:p>
      <w:pPr>
        <w:ind w:left="1480" w:hanging="369"/>
        <w:spacing w:after="0"/>
        <w:tabs>
          <w:tab w:leader="none" w:pos="1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Taxes</w:t>
      </w:r>
    </w:p>
    <w:p>
      <w:pPr>
        <w:ind w:left="1480" w:hanging="369"/>
        <w:spacing w:after="0"/>
        <w:tabs>
          <w:tab w:leader="none" w:pos="1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Depreciation and amortization</w:t>
      </w:r>
    </w:p>
    <w:p>
      <w:pPr>
        <w:ind w:left="1480" w:hanging="369"/>
        <w:spacing w:after="0"/>
        <w:tabs>
          <w:tab w:leader="none" w:pos="1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One-time or extraordinary costs (if applicable)</w:t>
      </w:r>
    </w:p>
    <w:p>
      <w:pPr>
        <w:spacing w:after="0" w:line="234" w:lineRule="exact"/>
        <w:rPr>
          <w:sz w:val="20"/>
          <w:szCs w:val="20"/>
          <w:color w:val="auto"/>
        </w:rPr>
      </w:pPr>
    </w:p>
    <w:p>
      <w:pPr>
        <w:jc w:val="both"/>
        <w:ind w:left="740" w:firstLine="749"/>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Representative</w:t>
      </w:r>
      <w:r>
        <w:rPr>
          <w:rFonts w:ascii="Times New Roman" w:cs="Times New Roman" w:eastAsia="Times New Roman" w:hAnsi="Times New Roman"/>
          <w:sz w:val="19"/>
          <w:szCs w:val="19"/>
          <w:color w:val="auto"/>
        </w:rPr>
        <w:t>” means, with respect to any Person, any officer, director, manager, employee, agent, consultant, advisor or other representative of such Person, including legal counsel, accountants, investment bankers and financial advisors.</w:t>
      </w:r>
    </w:p>
    <w:p>
      <w:pPr>
        <w:spacing w:after="0" w:line="13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Restrictive Covenant Agreements</w:t>
      </w:r>
      <w:r>
        <w:rPr>
          <w:rFonts w:ascii="Times New Roman" w:cs="Times New Roman" w:eastAsia="Times New Roman" w:hAnsi="Times New Roman"/>
          <w:sz w:val="20"/>
          <w:szCs w:val="20"/>
          <w:color w:val="auto"/>
        </w:rPr>
        <w:t>” has the meaning set forth in recitals to this Agreement.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Second Earn-Out Conditions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1.4(c)(iii)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Second Earn-Out Dispute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1.4(d)(i)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Second Earn-Out Payment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1.4(c)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Second Earn-Out Period</w:t>
      </w:r>
      <w:r>
        <w:rPr>
          <w:rFonts w:ascii="Times New Roman" w:cs="Times New Roman" w:eastAsia="Times New Roman" w:hAnsi="Times New Roman"/>
          <w:sz w:val="20"/>
          <w:szCs w:val="20"/>
          <w:color w:val="auto"/>
        </w:rPr>
        <w:t>” means the period form 1 January 2027 to 31 December 2027.</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Second Earn-Out Statement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1.4(d)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Second Floor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1.4(c)(iii)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Securities Act of 1933, as amended, and applicable rules and regulations thereunder, and any successor to such statute, rules or regulations. Any reference herein to a specific section, rule or regulation of the Securities Act shall be deemed to include any corresponding provisions of future law.</w:t>
      </w:r>
    </w:p>
    <w:p>
      <w:pPr>
        <w:spacing w:after="0" w:line="17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Seller</w:t>
      </w:r>
      <w:r>
        <w:rPr>
          <w:rFonts w:ascii="Times New Roman" w:cs="Times New Roman" w:eastAsia="Times New Roman" w:hAnsi="Times New Roman"/>
          <w:sz w:val="20"/>
          <w:szCs w:val="20"/>
          <w:color w:val="auto"/>
        </w:rPr>
        <w:t>” has the meaning set forth in the preamble to this Agreement.</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Seller’ Counsel</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Seller Fundamental Representations</w:t>
      </w:r>
      <w:r>
        <w:rPr>
          <w:rFonts w:ascii="Times New Roman" w:cs="Times New Roman" w:eastAsia="Times New Roman" w:hAnsi="Times New Roman"/>
          <w:sz w:val="20"/>
          <w:szCs w:val="20"/>
          <w:color w:val="auto"/>
        </w:rPr>
        <w:t xml:space="preserve">” means the representations and warranties set forth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(Organization; Authority; No Breach),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xml:space="preserve"> (Assets)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xml:space="preserve"> (Intellectual Property; Privacy and Data Security),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(Affiliate Transactions), and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Seller Indemnified Parties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7.2(a)(v)</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Seller’s Wallet</w:t>
      </w:r>
      <w:r>
        <w:rPr>
          <w:rFonts w:ascii="Times New Roman" w:cs="Times New Roman" w:eastAsia="Times New Roman" w:hAnsi="Times New Roman"/>
          <w:sz w:val="20"/>
          <w:szCs w:val="20"/>
          <w:color w:val="auto"/>
        </w:rPr>
        <w:t>” means the crypto wallet to be indicated by Seller to which any USDT to be paid by Purchaser to Seller shall be remitted.</w:t>
      </w:r>
    </w:p>
    <w:p>
      <w:pPr>
        <w:spacing w:after="0" w:line="159" w:lineRule="exact"/>
        <w:rPr>
          <w:sz w:val="20"/>
          <w:szCs w:val="20"/>
          <w:color w:val="auto"/>
        </w:rPr>
      </w:pPr>
    </w:p>
    <w:p>
      <w:pPr>
        <w:jc w:val="both"/>
        <w:ind w:left="740"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Sensitive Information</w:t>
      </w:r>
      <w:r>
        <w:rPr>
          <w:rFonts w:ascii="Times New Roman" w:cs="Times New Roman" w:eastAsia="Times New Roman" w:hAnsi="Times New Roman"/>
          <w:sz w:val="20"/>
          <w:szCs w:val="20"/>
          <w:color w:val="auto"/>
        </w:rPr>
        <w:t>” means any data of a sensitive nature, including: (a) confidential information regarding the products, services, operations, customers, clients, suppliers and service providers of Seller; (b) information required by any applicable Law or regulatory requirement to be encrypted, masked or otherwise protected from disclosure; (c) government issued identifiers used to identify individuals, such as social insurance numbers or other tax identification numbers, driver’s license numbers and other government-issued identification numbers; (d) account, credit or debit card numbers, with or without any required security code, access code, personal identification number or password that would permit access to an individual’s financial account, and financial account information, including balances and transaction data; (e) user names and email addresses, together with passwords or other credentials that would permit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512445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46" w:name="page47"/>
    <w:bookmarkEnd w:id="46"/>
    <w:p>
      <w:pPr>
        <w:spacing w:after="0" w:line="108" w:lineRule="exact"/>
        <w:rPr>
          <w:sz w:val="20"/>
          <w:szCs w:val="20"/>
          <w:color w:val="auto"/>
        </w:rPr>
      </w:pPr>
    </w:p>
    <w:p>
      <w:pPr>
        <w:jc w:val="both"/>
        <w:ind w:left="740"/>
        <w:spacing w:after="0" w:line="254" w:lineRule="auto"/>
        <w:rPr>
          <w:sz w:val="20"/>
          <w:szCs w:val="20"/>
          <w:color w:val="auto"/>
        </w:rPr>
      </w:pPr>
      <w:r>
        <w:rPr>
          <w:rFonts w:ascii="Times New Roman" w:cs="Times New Roman" w:eastAsia="Times New Roman" w:hAnsi="Times New Roman"/>
          <w:sz w:val="20"/>
          <w:szCs w:val="20"/>
          <w:color w:val="auto"/>
        </w:rPr>
        <w:t>access to online accounts; and (f) any other sensitive information regarding any Employee or other individuals including their employment, family, health or financial status, such as salary, benefits, marital status, and geographic location data, and DNA information.</w:t>
      </w:r>
    </w:p>
    <w:p>
      <w:pPr>
        <w:spacing w:after="0" w:line="174" w:lineRule="exact"/>
        <w:rPr>
          <w:sz w:val="20"/>
          <w:szCs w:val="20"/>
          <w:color w:val="auto"/>
        </w:rPr>
      </w:pPr>
    </w:p>
    <w:p>
      <w:pPr>
        <w:jc w:val="both"/>
        <w:ind w:left="74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Service Agreement</w:t>
      </w:r>
      <w:r>
        <w:rPr>
          <w:rFonts w:ascii="Times New Roman" w:cs="Times New Roman" w:eastAsia="Times New Roman" w:hAnsi="Times New Roman"/>
          <w:sz w:val="20"/>
          <w:szCs w:val="20"/>
          <w:color w:val="auto"/>
        </w:rPr>
        <w:t>” means the Service Agreement to be executed by Truther Payments Limited and Rezolve PLC substantially in the form of Schedule 2.1(b).</w:t>
      </w:r>
    </w:p>
    <w:p>
      <w:pPr>
        <w:spacing w:after="0" w:line="159" w:lineRule="exact"/>
        <w:rPr>
          <w:sz w:val="20"/>
          <w:szCs w:val="20"/>
          <w:color w:val="auto"/>
        </w:rPr>
      </w:pPr>
    </w:p>
    <w:p>
      <w:pPr>
        <w:jc w:val="both"/>
        <w:ind w:left="740"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Software</w:t>
      </w:r>
      <w:r>
        <w:rPr>
          <w:rFonts w:ascii="Times New Roman" w:cs="Times New Roman" w:eastAsia="Times New Roman" w:hAnsi="Times New Roman"/>
          <w:sz w:val="20"/>
          <w:szCs w:val="20"/>
          <w:color w:val="auto"/>
        </w:rPr>
        <w:t>” means all computer software (in object code or source code format), data and databases, and related documentation and materials.</w:t>
      </w:r>
    </w:p>
    <w:p>
      <w:pPr>
        <w:spacing w:after="0" w:line="159" w:lineRule="exact"/>
        <w:rPr>
          <w:sz w:val="20"/>
          <w:szCs w:val="20"/>
          <w:color w:val="auto"/>
        </w:rPr>
      </w:pPr>
    </w:p>
    <w:p>
      <w:pPr>
        <w:jc w:val="both"/>
        <w:ind w:left="740"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xml:space="preserve">” means all federal, state, provincial, territorial, county, municipal, local or foreign taxes, imposts, levies, assessments, and other charges in the nature of a tax imposed, assessed or collected by a Governmental Authority including (i) those levied on, or measured by, or referred to as, income, net income, gross income, gross receipts, business, royalty, capital, capital gains, goods and services, harmonized sales, value added, severance, stamp, franchise, occupation, premium, capital stock, sales and use, real property, land transfer, personal property, </w:t>
      </w:r>
      <w:r>
        <w:rPr>
          <w:rFonts w:ascii="Times New Roman" w:cs="Times New Roman" w:eastAsia="Times New Roman" w:hAnsi="Times New Roman"/>
          <w:sz w:val="20"/>
          <w:szCs w:val="20"/>
          <w:i w:val="1"/>
          <w:iCs w:val="1"/>
          <w:color w:val="auto"/>
        </w:rPr>
        <w:t>ad valorem</w:t>
      </w:r>
      <w:r>
        <w:rPr>
          <w:rFonts w:ascii="Times New Roman" w:cs="Times New Roman" w:eastAsia="Times New Roman" w:hAnsi="Times New Roman"/>
          <w:sz w:val="20"/>
          <w:szCs w:val="20"/>
          <w:color w:val="auto"/>
        </w:rPr>
        <w:t>, transfer, license, profits, windfall profits, withholding, environmental, payroll, employment, employer health, pension plan, excise, severance, stamp, occupation, or premium tax, (ii) any tax imposed, assessed, or collected or payable pursuant to any tax- sharing agreement or any other contract relating to the sharing or payment of any such tax, levy, assessment, tariff, deficiency, or fee, (iii) any installments in respect thereof, (iv) any interest, fine, penalty or addition thereto , and (v) any liability for any of the foregoing as a transferee, successor, guarantor, or by contract, operation of Law or otherwise.</w:t>
      </w:r>
    </w:p>
    <w:p>
      <w:pPr>
        <w:spacing w:after="0" w:line="192" w:lineRule="exact"/>
        <w:rPr>
          <w:sz w:val="20"/>
          <w:szCs w:val="20"/>
          <w:color w:val="auto"/>
        </w:rPr>
      </w:pPr>
    </w:p>
    <w:p>
      <w:pPr>
        <w:jc w:val="both"/>
        <w:ind w:left="740" w:right="2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 Return</w:t>
      </w:r>
      <w:r>
        <w:rPr>
          <w:rFonts w:ascii="Times New Roman" w:cs="Times New Roman" w:eastAsia="Times New Roman" w:hAnsi="Times New Roman"/>
          <w:sz w:val="20"/>
          <w:szCs w:val="20"/>
          <w:color w:val="auto"/>
        </w:rPr>
        <w:t>” means all returns (including any information returns), declarations, reports, elections, statements, schedules, notices, forms or other documents filed with or submitted to, or required to be made, prepared or filed in respect of any Taxes with a Governmental Authority or provided to a payee in connection with the determination, assessment, collection or payment of any Tax, including any schedule or attachment thereto, and including any amendment thereof.</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Technical Deficiencies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4.7(h)</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means the date that is six months after the date of this Agreement.</w:t>
      </w:r>
    </w:p>
    <w:p>
      <w:pPr>
        <w:spacing w:after="0" w:line="216" w:lineRule="exact"/>
        <w:rPr>
          <w:sz w:val="20"/>
          <w:szCs w:val="20"/>
          <w:color w:val="auto"/>
        </w:rPr>
      </w:pPr>
    </w:p>
    <w:p>
      <w:pPr>
        <w:jc w:val="both"/>
        <w:ind w:left="740"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 Laws</w:t>
      </w:r>
      <w:r>
        <w:rPr>
          <w:rFonts w:ascii="Times New Roman" w:cs="Times New Roman" w:eastAsia="Times New Roman" w:hAnsi="Times New Roman"/>
          <w:sz w:val="20"/>
          <w:szCs w:val="20"/>
          <w:color w:val="auto"/>
        </w:rPr>
        <w:t>” means Laws and associated regulations relating to import, export, and customs compliance and controls, and economic sanctions.</w:t>
      </w:r>
    </w:p>
    <w:p>
      <w:pPr>
        <w:spacing w:after="0" w:line="159" w:lineRule="exact"/>
        <w:rPr>
          <w:sz w:val="20"/>
          <w:szCs w:val="20"/>
          <w:color w:val="auto"/>
        </w:rPr>
      </w:pPr>
    </w:p>
    <w:p>
      <w:pPr>
        <w:jc w:val="both"/>
        <w:ind w:left="740"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 Secrets</w:t>
      </w:r>
      <w:r>
        <w:rPr>
          <w:rFonts w:ascii="Times New Roman" w:cs="Times New Roman" w:eastAsia="Times New Roman" w:hAnsi="Times New Roman"/>
          <w:sz w:val="20"/>
          <w:szCs w:val="20"/>
          <w:color w:val="auto"/>
        </w:rPr>
        <w:t>” means information and materials not generally known to the public, including trade secrets and other confidential or proprietary information.</w:t>
      </w:r>
    </w:p>
    <w:p>
      <w:pPr>
        <w:spacing w:after="0" w:line="159" w:lineRule="exact"/>
        <w:rPr>
          <w:sz w:val="20"/>
          <w:szCs w:val="20"/>
          <w:color w:val="auto"/>
        </w:rPr>
      </w:pPr>
    </w:p>
    <w:p>
      <w:pPr>
        <w:jc w:val="both"/>
        <w:ind w:left="740"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USGAAP</w:t>
      </w:r>
      <w:r>
        <w:rPr>
          <w:rFonts w:ascii="Times New Roman" w:cs="Times New Roman" w:eastAsia="Times New Roman" w:hAnsi="Times New Roman"/>
          <w:sz w:val="20"/>
          <w:szCs w:val="20"/>
          <w:color w:val="auto"/>
        </w:rPr>
        <w:t>” means the set of generally accepted accounting principles, standards, and procedures established by the Financial Accounting Standards Board (FASB) applicable to financial statements, accounting records, and reporting practices within the United States.</w:t>
      </w:r>
    </w:p>
    <w:p>
      <w:pPr>
        <w:spacing w:after="0" w:line="1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USDT</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0"/>
          <w:szCs w:val="20"/>
          <w:b w:val="1"/>
          <w:bCs w:val="1"/>
          <w:color w:val="auto"/>
        </w:rPr>
        <w:t>Tether (USD</w:t>
      </w:r>
      <w:r>
        <w:rPr>
          <w:rFonts w:ascii="Arial" w:cs="Arial" w:eastAsia="Arial" w:hAnsi="Arial"/>
          <w:sz w:val="20"/>
          <w:szCs w:val="20"/>
          <w:color w:val="auto"/>
          <w:highlight w:val="black"/>
        </w:rPr>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a type of stablecoin.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47" w:name="page48"/>
    <w:bookmarkEnd w:id="47"/>
    <w:p>
      <w:pPr>
        <w:ind w:left="5240"/>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3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b w:val="1"/>
          <w:bCs w:val="1"/>
          <w:color w:val="auto"/>
        </w:rPr>
        <w:t>Termination</w:t>
      </w:r>
    </w:p>
    <w:p>
      <w:pPr>
        <w:spacing w:after="0" w:line="200" w:lineRule="exact"/>
        <w:rPr>
          <w:sz w:val="20"/>
          <w:szCs w:val="20"/>
          <w:color w:val="auto"/>
        </w:rPr>
      </w:pPr>
    </w:p>
    <w:p>
      <w:pPr>
        <w:ind w:left="880"/>
        <w:spacing w:after="0"/>
        <w:tabs>
          <w:tab w:leader="none" w:pos="162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u w:val="single" w:color="auto"/>
          <w:color w:val="auto"/>
        </w:rPr>
        <w:t>Termination</w:t>
      </w:r>
      <w:r>
        <w:rPr>
          <w:rFonts w:ascii="Times New Roman" w:cs="Times New Roman" w:eastAsia="Times New Roman" w:hAnsi="Times New Roman"/>
          <w:sz w:val="19"/>
          <w:szCs w:val="19"/>
          <w:color w:val="auto"/>
        </w:rPr>
        <w:t>. This Agreement may be terminated prior to Closing:</w:t>
      </w:r>
    </w:p>
    <w:p>
      <w:pPr>
        <w:spacing w:after="0" w:line="216" w:lineRule="exact"/>
        <w:rPr>
          <w:sz w:val="20"/>
          <w:szCs w:val="20"/>
          <w:color w:val="auto"/>
        </w:rPr>
      </w:pPr>
    </w:p>
    <w:p>
      <w:pPr>
        <w:ind w:left="2680" w:hanging="535"/>
        <w:spacing w:after="0"/>
        <w:tabs>
          <w:tab w:leader="none" w:pos="26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writing by both Parties;</w:t>
      </w:r>
    </w:p>
    <w:p>
      <w:pPr>
        <w:spacing w:after="0" w:line="107" w:lineRule="exact"/>
        <w:rPr>
          <w:rFonts w:ascii="Times New Roman" w:cs="Times New Roman" w:eastAsia="Times New Roman" w:hAnsi="Times New Roman"/>
          <w:sz w:val="20"/>
          <w:szCs w:val="20"/>
          <w:color w:val="auto"/>
        </w:rPr>
      </w:pPr>
    </w:p>
    <w:p>
      <w:pPr>
        <w:ind w:left="2680" w:hanging="521"/>
        <w:spacing w:after="0"/>
        <w:tabs>
          <w:tab w:leader="none" w:pos="268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Purchaser if a Material Adverse Effect occurs;</w:t>
      </w:r>
    </w:p>
    <w:p>
      <w:pPr>
        <w:spacing w:after="0" w:line="94" w:lineRule="exact"/>
        <w:rPr>
          <w:rFonts w:ascii="Times New Roman" w:cs="Times New Roman" w:eastAsia="Times New Roman" w:hAnsi="Times New Roman"/>
          <w:sz w:val="20"/>
          <w:szCs w:val="20"/>
          <w:color w:val="auto"/>
        </w:rPr>
      </w:pPr>
    </w:p>
    <w:p>
      <w:pPr>
        <w:ind w:left="740" w:right="20" w:firstLine="1419"/>
        <w:spacing w:after="0" w:line="269" w:lineRule="auto"/>
        <w:tabs>
          <w:tab w:leader="none" w:pos="2524"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either Party in the event of a material breach of this Agreement by the other Party that remains uncured for 15 Business Days following the delivery of notice by the innocent Party to the breaching Party;</w:t>
      </w:r>
    </w:p>
    <w:p>
      <w:pPr>
        <w:spacing w:after="0" w:line="51" w:lineRule="exact"/>
        <w:rPr>
          <w:rFonts w:ascii="Times New Roman" w:cs="Times New Roman" w:eastAsia="Times New Roman" w:hAnsi="Times New Roman"/>
          <w:sz w:val="20"/>
          <w:szCs w:val="20"/>
          <w:color w:val="auto"/>
        </w:rPr>
      </w:pPr>
    </w:p>
    <w:p>
      <w:pPr>
        <w:jc w:val="both"/>
        <w:ind w:left="740" w:firstLine="1419"/>
        <w:spacing w:after="0" w:line="252" w:lineRule="auto"/>
        <w:tabs>
          <w:tab w:leader="none" w:pos="2524"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either party if the Closing has not occurred on or prior to the Termination Date provided, however, that no party hereto shall have the right to terminate this Agreement under this section if such party's failure to act in good faith to fulfill any obligation under this Agreement shall have been the cause </w:t>
      </w:r>
      <w:r>
        <w:rPr>
          <w:rFonts w:ascii="Times New Roman" w:cs="Times New Roman" w:eastAsia="Times New Roman" w:hAnsi="Times New Roman"/>
          <w:sz w:val="21"/>
          <w:szCs w:val="21"/>
          <w:color w:val="auto"/>
        </w:rPr>
        <w:t>of, or shall have resulted in, the failure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Closing to occur prior to such date.</w:t>
      </w:r>
    </w:p>
    <w:p>
      <w:pPr>
        <w:spacing w:after="0" w:line="63" w:lineRule="exact"/>
        <w:rPr>
          <w:sz w:val="20"/>
          <w:szCs w:val="20"/>
          <w:color w:val="auto"/>
        </w:rPr>
      </w:pPr>
    </w:p>
    <w:p>
      <w:pPr>
        <w:jc w:val="both"/>
        <w:ind w:left="140" w:right="20" w:firstLine="749"/>
        <w:spacing w:after="0" w:line="250" w:lineRule="auto"/>
        <w:rPr>
          <w:sz w:val="20"/>
          <w:szCs w:val="20"/>
          <w:color w:val="auto"/>
        </w:rPr>
      </w:pPr>
      <w:r>
        <w:rPr>
          <w:rFonts w:ascii="Times New Roman" w:cs="Times New Roman" w:eastAsia="Times New Roman" w:hAnsi="Times New Roman"/>
          <w:sz w:val="20"/>
          <w:szCs w:val="20"/>
          <w:color w:val="auto"/>
        </w:rPr>
        <w:t>10.2</w:t>
      </w:r>
      <w:r>
        <w:rPr>
          <w:rFonts w:ascii="Times New Roman" w:cs="Times New Roman" w:eastAsia="Times New Roman" w:hAnsi="Times New Roman"/>
          <w:sz w:val="20"/>
          <w:szCs w:val="20"/>
          <w:u w:val="single" w:color="auto"/>
          <w:color w:val="auto"/>
        </w:rPr>
        <w:t>Effect of Termination</w:t>
      </w:r>
      <w:r>
        <w:rPr>
          <w:rFonts w:ascii="Times New Roman" w:cs="Times New Roman" w:eastAsia="Times New Roman" w:hAnsi="Times New Roman"/>
          <w:sz w:val="20"/>
          <w:szCs w:val="20"/>
          <w:color w:val="auto"/>
        </w:rPr>
        <w:t>. the event of termination of this Agreement as provided above, this Agreement will become void and of no further force or effect (other than this Article X and Sections 8.4, 8.6 and</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8.7 hereof which will survive the termination of this Agreement in accordance with their respective terms.</w:t>
      </w:r>
    </w:p>
    <w:p>
      <w:pPr>
        <w:spacing w:after="0" w:line="20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ARTICLE XI</w:t>
      </w:r>
    </w:p>
    <w:p>
      <w:pPr>
        <w:spacing w:after="0" w:line="3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87" w:lineRule="exact"/>
        <w:rPr>
          <w:sz w:val="20"/>
          <w:szCs w:val="20"/>
          <w:color w:val="auto"/>
        </w:rPr>
      </w:pPr>
    </w:p>
    <w:p>
      <w:pPr>
        <w:jc w:val="both"/>
        <w:ind w:left="140" w:right="20" w:firstLine="749"/>
        <w:spacing w:after="0" w:line="242" w:lineRule="auto"/>
        <w:rPr>
          <w:sz w:val="20"/>
          <w:szCs w:val="20"/>
          <w:color w:val="auto"/>
        </w:rPr>
      </w:pPr>
      <w:r>
        <w:rPr>
          <w:rFonts w:ascii="Times New Roman" w:cs="Times New Roman" w:eastAsia="Times New Roman" w:hAnsi="Times New Roman"/>
          <w:sz w:val="20"/>
          <w:szCs w:val="20"/>
          <w:color w:val="auto"/>
        </w:rPr>
        <w:t>11.1</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Effective as of the Closing, Seller hereby unconditionally and irrevocably acquits, remises, discharges and forever releases the Purchaser and its respective Affiliates, partners, post-closing equity holders, managers, employees, officers, directors and agents (collectively, the “</w:t>
      </w:r>
      <w:r>
        <w:rPr>
          <w:rFonts w:ascii="Times New Roman" w:cs="Times New Roman" w:eastAsia="Times New Roman" w:hAnsi="Times New Roman"/>
          <w:sz w:val="20"/>
          <w:szCs w:val="20"/>
          <w:u w:val="single" w:color="auto"/>
          <w:color w:val="auto"/>
        </w:rPr>
        <w:t>Releasees</w:t>
      </w:r>
      <w:r>
        <w:rPr>
          <w:rFonts w:ascii="Times New Roman" w:cs="Times New Roman" w:eastAsia="Times New Roman" w:hAnsi="Times New Roman"/>
          <w:sz w:val="20"/>
          <w:szCs w:val="20"/>
          <w:color w:val="auto"/>
        </w:rPr>
        <w:t xml:space="preserve">”) from any and all liabilities and obligations of every kind whatsoever, whether accrued or fixed, absolute or contingent, matured or unmatured or determined or determinable, including those arising under any Law, Contract, agreement, arrangement, commitment or undertaking, whether written or oral to the extent arising on or prior to the consummation of the transactions contemplated 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in no event shall the foregoing release apply with respect to (a) any obligations of any Releasee set forth in this Agreement or in any other agreement contemplated hereby, including, for the avoidance of doubt, the Lock-Up Agreement and the Service Agreement, (b) any rights or claims arising prior to the Closing for employment or consulting compensation, employee benefits, or expense reimbursement unpaid as of the Closing (c) to the extent arising prior to the Closing, the obligations of any insurer under any insurance policy, and (d) any liabilities or obligations arising out of agreements entered into with any Releasees after the Closing.</w:t>
      </w:r>
    </w:p>
    <w:p>
      <w:pPr>
        <w:spacing w:after="0" w:line="190" w:lineRule="exact"/>
        <w:rPr>
          <w:sz w:val="20"/>
          <w:szCs w:val="20"/>
          <w:color w:val="auto"/>
        </w:rPr>
      </w:pPr>
    </w:p>
    <w:p>
      <w:pPr>
        <w:jc w:val="both"/>
        <w:ind w:left="140" w:right="20" w:firstLine="749"/>
        <w:spacing w:after="0" w:line="269" w:lineRule="auto"/>
        <w:rPr>
          <w:sz w:val="20"/>
          <w:szCs w:val="20"/>
          <w:color w:val="auto"/>
        </w:rPr>
      </w:pPr>
      <w:r>
        <w:rPr>
          <w:rFonts w:ascii="Times New Roman" w:cs="Times New Roman" w:eastAsia="Times New Roman" w:hAnsi="Times New Roman"/>
          <w:sz w:val="20"/>
          <w:szCs w:val="20"/>
          <w:color w:val="auto"/>
        </w:rPr>
        <w:t>11.2</w:t>
      </w:r>
      <w:r>
        <w:rPr>
          <w:rFonts w:ascii="Times New Roman" w:cs="Times New Roman" w:eastAsia="Times New Roman" w:hAnsi="Times New Roman"/>
          <w:sz w:val="20"/>
          <w:szCs w:val="20"/>
          <w:u w:val="single" w:color="auto"/>
          <w:color w:val="auto"/>
        </w:rPr>
        <w:t>Fees; Expenses</w:t>
      </w:r>
      <w:r>
        <w:rPr>
          <w:rFonts w:ascii="Times New Roman" w:cs="Times New Roman" w:eastAsia="Times New Roman" w:hAnsi="Times New Roman"/>
          <w:sz w:val="20"/>
          <w:szCs w:val="20"/>
          <w:color w:val="auto"/>
        </w:rPr>
        <w:t>. Each Party will be responsible for all costs and expenses incurred by it in connection with the negotiation, preparation and entry into this Agreement and the consummation of the transactions contemplated hereby.</w:t>
      </w:r>
    </w:p>
    <w:p>
      <w:pPr>
        <w:spacing w:after="0" w:line="159" w:lineRule="exact"/>
        <w:rPr>
          <w:sz w:val="20"/>
          <w:szCs w:val="20"/>
          <w:color w:val="auto"/>
        </w:rPr>
      </w:pPr>
    </w:p>
    <w:p>
      <w:pPr>
        <w:jc w:val="both"/>
        <w:ind w:left="140" w:right="20" w:firstLine="749"/>
        <w:spacing w:after="0" w:line="246" w:lineRule="auto"/>
        <w:rPr>
          <w:sz w:val="20"/>
          <w:szCs w:val="20"/>
          <w:color w:val="auto"/>
        </w:rPr>
      </w:pPr>
      <w:r>
        <w:rPr>
          <w:rFonts w:ascii="Times New Roman" w:cs="Times New Roman" w:eastAsia="Times New Roman" w:hAnsi="Times New Roman"/>
          <w:sz w:val="20"/>
          <w:szCs w:val="20"/>
          <w:color w:val="auto"/>
        </w:rPr>
        <w:t>11.3</w:t>
      </w:r>
      <w:r>
        <w:rPr>
          <w:rFonts w:ascii="Times New Roman" w:cs="Times New Roman" w:eastAsia="Times New Roman" w:hAnsi="Times New Roman"/>
          <w:sz w:val="20"/>
          <w:szCs w:val="20"/>
          <w:u w:val="single" w:color="auto"/>
          <w:color w:val="auto"/>
        </w:rPr>
        <w:t>Specific Performance</w:t>
      </w:r>
      <w:r>
        <w:rPr>
          <w:rFonts w:ascii="Times New Roman" w:cs="Times New Roman" w:eastAsia="Times New Roman" w:hAnsi="Times New Roman"/>
          <w:sz w:val="20"/>
          <w:szCs w:val="20"/>
          <w:color w:val="auto"/>
        </w:rPr>
        <w:t xml:space="preserve">. Each of the parties hereto acknowledges and agrees that the other parties hereto would be damaged irreparably in the event any of the provisions of this Agreement are not performed in accordance with their specific terms or otherwise are breached. Accordingly, each of the parties hereto shall be entitled to an injunction or injunctions to prevent breaches of the provisions of this Agreement and to enforce specifically this Agreement and the terms and provisions hereof in any Action instituted in any court having jurisdiction over the parties hereto and the matter (subject to the provisions set forth in </w:t>
      </w:r>
      <w:r>
        <w:rPr>
          <w:rFonts w:ascii="Times New Roman" w:cs="Times New Roman" w:eastAsia="Times New Roman" w:hAnsi="Times New Roman"/>
          <w:sz w:val="20"/>
          <w:szCs w:val="20"/>
          <w:u w:val="single" w:color="auto"/>
          <w:color w:val="auto"/>
        </w:rPr>
        <w:t>Section 11.12</w:t>
      </w:r>
      <w:r>
        <w:rPr>
          <w:rFonts w:ascii="Times New Roman" w:cs="Times New Roman" w:eastAsia="Times New Roman" w:hAnsi="Times New Roman"/>
          <w:sz w:val="20"/>
          <w:szCs w:val="20"/>
          <w:color w:val="auto"/>
        </w:rPr>
        <w:t>).</w:t>
      </w:r>
    </w:p>
    <w:p>
      <w:pPr>
        <w:spacing w:after="0" w:line="36" w:lineRule="exact"/>
        <w:rPr>
          <w:sz w:val="20"/>
          <w:szCs w:val="20"/>
          <w:color w:val="auto"/>
        </w:rPr>
      </w:pPr>
    </w:p>
    <w:p>
      <w:pPr>
        <w:jc w:val="both"/>
        <w:ind w:left="140" w:right="20" w:firstLine="749"/>
        <w:spacing w:after="0" w:line="245" w:lineRule="auto"/>
        <w:rPr>
          <w:sz w:val="20"/>
          <w:szCs w:val="20"/>
          <w:color w:val="auto"/>
        </w:rPr>
      </w:pPr>
      <w:r>
        <w:rPr>
          <w:rFonts w:ascii="Times New Roman" w:cs="Times New Roman" w:eastAsia="Times New Roman" w:hAnsi="Times New Roman"/>
          <w:sz w:val="20"/>
          <w:szCs w:val="20"/>
          <w:color w:val="auto"/>
        </w:rPr>
        <w:t>11.4</w:t>
      </w:r>
      <w:r>
        <w:rPr>
          <w:rFonts w:ascii="Times New Roman" w:cs="Times New Roman" w:eastAsia="Times New Roman" w:hAnsi="Times New Roman"/>
          <w:sz w:val="20"/>
          <w:szCs w:val="20"/>
          <w:u w:val="single" w:color="auto"/>
          <w:color w:val="auto"/>
        </w:rPr>
        <w:t>Consent to Amendments; Waivers</w:t>
      </w:r>
      <w:r>
        <w:rPr>
          <w:rFonts w:ascii="Times New Roman" w:cs="Times New Roman" w:eastAsia="Times New Roman" w:hAnsi="Times New Roman"/>
          <w:sz w:val="20"/>
          <w:szCs w:val="20"/>
          <w:color w:val="auto"/>
        </w:rPr>
        <w:t>. This Agreement may be amended, or any provision of this Agreement may be waived upon the approval, in a writing, executed by Purchaser and Seller. No course of dealing between or among the parties hereto shall be deemed effective to modify, amend or discharge any part of this Agreement or any rights or obligations of any such party under or by reason of this Agreement. A waiver by any party of any term or condition of this Agreement in any one instance shall not be deemed or construed to be a waiver of such term or condition for any other instance in the future (whether similar or dissimilar) or of any subsequent breach hereof.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512445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395" w:right="699" w:bottom="1440" w:gutter="0" w:footer="0" w:header="0"/>
        </w:sectPr>
      </w:pPr>
    </w:p>
    <w:bookmarkStart w:id="48" w:name="page49"/>
    <w:bookmarkEnd w:id="48"/>
    <w:p>
      <w:pPr>
        <w:spacing w:after="0" w:line="108" w:lineRule="exact"/>
        <w:rPr>
          <w:sz w:val="20"/>
          <w:szCs w:val="20"/>
          <w:color w:val="auto"/>
        </w:rPr>
      </w:pPr>
    </w:p>
    <w:p>
      <w:pPr>
        <w:jc w:val="both"/>
        <w:ind w:left="140" w:right="20" w:firstLine="749"/>
        <w:spacing w:after="0" w:line="243" w:lineRule="auto"/>
        <w:rPr>
          <w:sz w:val="20"/>
          <w:szCs w:val="20"/>
          <w:color w:val="auto"/>
        </w:rPr>
      </w:pPr>
      <w:r>
        <w:rPr>
          <w:rFonts w:ascii="Times New Roman" w:cs="Times New Roman" w:eastAsia="Times New Roman" w:hAnsi="Times New Roman"/>
          <w:sz w:val="20"/>
          <w:szCs w:val="20"/>
          <w:color w:val="auto"/>
        </w:rPr>
        <w:t>11.5</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xml:space="preserve">. This Agreement and all covenants and agreements contained herein and rights, interests or obligations hereunder, by or on behalf of any of the parties hereto, shall bind and inure to the benefit of the respective successors and permitted assigns of the parties hereto whether so expressed or not, except that neither this Agreement nor any of the covenants and agreements herein or rights, interests or obligations hereunder may be assigned or delegated by any Seller, without the prior written consent of Purchaser, and neither this Agreement nor any of the covenants and agreements herein or rights, interests or obligations hereunder may be assigned or delegated by Purchaser without the prior written consent of Seller;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Purchaser may assign its rights under this Agreement (in whole or in part) to (a) any Affiliate of Purchaser, (b) any purchaser of any material portion of the assets of Purchaser or any Person under the foregoing clause (a) or (c) to a lender of Purchaser or its Affiliates as collateral security for borrowing, at any time whether prior to or following the Closing Date.</w:t>
      </w:r>
    </w:p>
    <w:p>
      <w:pPr>
        <w:spacing w:after="0" w:line="186" w:lineRule="exact"/>
        <w:rPr>
          <w:sz w:val="20"/>
          <w:szCs w:val="20"/>
          <w:color w:val="auto"/>
        </w:rPr>
      </w:pPr>
    </w:p>
    <w:p>
      <w:pPr>
        <w:jc w:val="both"/>
        <w:ind w:left="140" w:firstLine="749"/>
        <w:spacing w:after="0" w:line="246" w:lineRule="auto"/>
        <w:rPr>
          <w:sz w:val="20"/>
          <w:szCs w:val="20"/>
          <w:color w:val="auto"/>
        </w:rPr>
      </w:pPr>
      <w:r>
        <w:rPr>
          <w:rFonts w:ascii="Times New Roman" w:cs="Times New Roman" w:eastAsia="Times New Roman" w:hAnsi="Times New Roman"/>
          <w:sz w:val="20"/>
          <w:szCs w:val="20"/>
          <w:color w:val="auto"/>
        </w:rPr>
        <w:t>11.6</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Whenever possible, each provision of this Agreement shall be interpreted in such manner as to be effective and valid under applicable Law, but if any provision of this Agreement or the application of any such provision to any Person or circumstance shall be held to be prohibited by, illegal or unenforceable under applicable Law or rule in any respect by a court of competent jurisdiction, such provision shall be ineffective in such jurisdiction only to the extent of such prohibition, illegality or unenforceability, without invalidating the remainder of such provision or the remaining provisions of this Agreement.</w:t>
      </w:r>
    </w:p>
    <w:p>
      <w:pPr>
        <w:spacing w:after="0" w:line="185" w:lineRule="exact"/>
        <w:rPr>
          <w:sz w:val="20"/>
          <w:szCs w:val="20"/>
          <w:color w:val="auto"/>
        </w:rPr>
      </w:pPr>
    </w:p>
    <w:p>
      <w:pPr>
        <w:jc w:val="both"/>
        <w:ind w:left="140" w:right="20" w:firstLine="749"/>
        <w:spacing w:after="0" w:line="246" w:lineRule="auto"/>
        <w:rPr>
          <w:sz w:val="20"/>
          <w:szCs w:val="20"/>
          <w:color w:val="auto"/>
        </w:rPr>
      </w:pPr>
      <w:r>
        <w:rPr>
          <w:rFonts w:ascii="Times New Roman" w:cs="Times New Roman" w:eastAsia="Times New Roman" w:hAnsi="Times New Roman"/>
          <w:sz w:val="20"/>
          <w:szCs w:val="20"/>
          <w:color w:val="auto"/>
        </w:rPr>
        <w:t>11.7</w:t>
      </w:r>
      <w:r>
        <w:rPr>
          <w:rFonts w:ascii="Times New Roman" w:cs="Times New Roman" w:eastAsia="Times New Roman" w:hAnsi="Times New Roman"/>
          <w:sz w:val="20"/>
          <w:szCs w:val="20"/>
          <w:u w:val="single" w:color="auto"/>
          <w:color w:val="auto"/>
        </w:rPr>
        <w:t>Counterparts; Facsimile and Email Signatures</w:t>
      </w:r>
      <w:r>
        <w:rPr>
          <w:rFonts w:ascii="Times New Roman" w:cs="Times New Roman" w:eastAsia="Times New Roman" w:hAnsi="Times New Roman"/>
          <w:sz w:val="20"/>
          <w:szCs w:val="20"/>
          <w:color w:val="auto"/>
        </w:rPr>
        <w:t>. This Agreement may be executed in one or more counterparts, each of which shall be considered an original counterpart, and all of which shall be considered to be but one agreement and shall become a binding agreement when each party shall have executed one counterpart and delivered it to the other party hereto. A signature affixed to a counterpart of this Agreement and delivered by facsimile or electronic mail by any Person is intended to be such Person’s signature and shall be valid, binding and enforceable against the party on whose behalf it has been affixed.</w:t>
      </w:r>
    </w:p>
    <w:p>
      <w:pPr>
        <w:spacing w:after="0" w:line="185" w:lineRule="exact"/>
        <w:rPr>
          <w:sz w:val="20"/>
          <w:szCs w:val="20"/>
          <w:color w:val="auto"/>
        </w:rPr>
      </w:pPr>
    </w:p>
    <w:p>
      <w:pPr>
        <w:jc w:val="both"/>
        <w:ind w:left="140" w:firstLine="749"/>
        <w:spacing w:after="0" w:line="242" w:lineRule="auto"/>
        <w:rPr>
          <w:sz w:val="20"/>
          <w:szCs w:val="20"/>
          <w:color w:val="auto"/>
        </w:rPr>
      </w:pPr>
      <w:r>
        <w:rPr>
          <w:rFonts w:ascii="Times New Roman" w:cs="Times New Roman" w:eastAsia="Times New Roman" w:hAnsi="Times New Roman"/>
          <w:sz w:val="20"/>
          <w:szCs w:val="20"/>
          <w:color w:val="auto"/>
        </w:rPr>
        <w:t>11.8</w:t>
      </w:r>
      <w:r>
        <w:rPr>
          <w:rFonts w:ascii="Times New Roman" w:cs="Times New Roman" w:eastAsia="Times New Roman" w:hAnsi="Times New Roman"/>
          <w:sz w:val="20"/>
          <w:szCs w:val="20"/>
          <w:u w:val="single" w:color="auto"/>
          <w:color w:val="auto"/>
        </w:rPr>
        <w:t>Descriptive Headings; Interpretation</w:t>
      </w:r>
      <w:r>
        <w:rPr>
          <w:rFonts w:ascii="Times New Roman" w:cs="Times New Roman" w:eastAsia="Times New Roman" w:hAnsi="Times New Roman"/>
          <w:sz w:val="20"/>
          <w:szCs w:val="20"/>
          <w:color w:val="auto"/>
        </w:rPr>
        <w:t>. The headings and captions used in this Agreement and the table of contents to this Agreement are for reference purposes only and shall not affect in any way the meaning or interpretation of this Agreement. Any capitalized terms used in any Schedule, Annex or Exhibit attached hereto and not otherwise defined therein shall have the meanings set forth in this Agreement. The use of the word “including” herein shall mean “including without limitation.” Whenever this Agreement indicates that a document has been “made available” or “delivered” to Purchaser, such statement will mean that such document was made available for viewing and actually accessible by Purchaser in the virtual data room posted to Google Drive at least 3 Business Days prior to and continuously through the date hereof (it being understood that, at Purchaser’s request, the Seller shall provide Purchaser with a true, correct and completed digital copy of such virtual data room, as of immediately prior to the Closing, in each case prior to making such virtual data room inaccessible to Purchaser and/or its Affiliates or representatives following the Closing). Unless otherwise specified, all reference to money amounts herein are in United States dollars.</w:t>
      </w:r>
    </w:p>
    <w:p>
      <w:pPr>
        <w:spacing w:after="0" w:line="192" w:lineRule="exact"/>
        <w:rPr>
          <w:sz w:val="20"/>
          <w:szCs w:val="20"/>
          <w:color w:val="auto"/>
        </w:rPr>
      </w:pPr>
    </w:p>
    <w:p>
      <w:pPr>
        <w:jc w:val="both"/>
        <w:ind w:left="140" w:right="20" w:firstLine="749"/>
        <w:spacing w:after="0" w:line="254" w:lineRule="auto"/>
        <w:rPr>
          <w:sz w:val="20"/>
          <w:szCs w:val="20"/>
          <w:color w:val="auto"/>
        </w:rPr>
      </w:pPr>
      <w:r>
        <w:rPr>
          <w:rFonts w:ascii="Times New Roman" w:cs="Times New Roman" w:eastAsia="Times New Roman" w:hAnsi="Times New Roman"/>
          <w:sz w:val="20"/>
          <w:szCs w:val="20"/>
          <w:color w:val="auto"/>
        </w:rPr>
        <w:t>11.9</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and the agreements and documents referred to herein contain the entire agreement and understanding among the parties hereto with respect to the subject matter hereof and supersede all prior agreements and understandings, whether written or oral, relating to such subject matter in any way.</w:t>
      </w:r>
    </w:p>
    <w:p>
      <w:pPr>
        <w:spacing w:after="0" w:line="26" w:lineRule="exact"/>
        <w:rPr>
          <w:sz w:val="20"/>
          <w:szCs w:val="20"/>
          <w:color w:val="auto"/>
        </w:rPr>
      </w:pPr>
    </w:p>
    <w:p>
      <w:pPr>
        <w:jc w:val="both"/>
        <w:ind w:left="140" w:right="20" w:firstLine="749"/>
        <w:spacing w:after="0" w:line="246" w:lineRule="auto"/>
        <w:rPr>
          <w:sz w:val="20"/>
          <w:szCs w:val="20"/>
          <w:color w:val="auto"/>
        </w:rPr>
      </w:pPr>
      <w:r>
        <w:rPr>
          <w:rFonts w:ascii="Times New Roman" w:cs="Times New Roman" w:eastAsia="Times New Roman" w:hAnsi="Times New Roman"/>
          <w:sz w:val="20"/>
          <w:szCs w:val="20"/>
          <w:color w:val="auto"/>
        </w:rPr>
        <w:t>11.10</w:t>
      </w:r>
      <w:r>
        <w:rPr>
          <w:rFonts w:ascii="Times New Roman" w:cs="Times New Roman" w:eastAsia="Times New Roman" w:hAnsi="Times New Roman"/>
          <w:sz w:val="20"/>
          <w:szCs w:val="20"/>
          <w:u w:val="single" w:color="auto"/>
          <w:color w:val="auto"/>
        </w:rPr>
        <w:t>No Third-Party Beneficiaries</w:t>
      </w:r>
      <w:r>
        <w:rPr>
          <w:rFonts w:ascii="Times New Roman" w:cs="Times New Roman" w:eastAsia="Times New Roman" w:hAnsi="Times New Roman"/>
          <w:sz w:val="20"/>
          <w:szCs w:val="20"/>
          <w:color w:val="auto"/>
        </w:rPr>
        <w:t>. This Agreement is for the sole benefit of the parties hereto and their permitted successors and assigns and nothing herein expressed or implied shall give or be construed to give any Person any legal or equitable rights hereunder, other than the parties hereto, the Purchaser Indemnified Parties (to the extent not a party hereto), the Seller Indemnified Parties (to the extent not a party hereto), the Releasees (to the extent not a party hereto), and their respective permitted successors and assigns.</w:t>
      </w:r>
    </w:p>
    <w:p>
      <w:pPr>
        <w:spacing w:after="0" w:line="185" w:lineRule="exact"/>
        <w:rPr>
          <w:sz w:val="20"/>
          <w:szCs w:val="20"/>
          <w:color w:val="auto"/>
        </w:rPr>
      </w:pPr>
    </w:p>
    <w:p>
      <w:pPr>
        <w:jc w:val="both"/>
        <w:ind w:left="140" w:right="20" w:firstLine="749"/>
        <w:spacing w:after="0" w:line="269" w:lineRule="auto"/>
        <w:rPr>
          <w:sz w:val="20"/>
          <w:szCs w:val="20"/>
          <w:color w:val="auto"/>
        </w:rPr>
      </w:pPr>
      <w:r>
        <w:rPr>
          <w:rFonts w:ascii="Times New Roman" w:cs="Times New Roman" w:eastAsia="Times New Roman" w:hAnsi="Times New Roman"/>
          <w:sz w:val="20"/>
          <w:szCs w:val="20"/>
          <w:color w:val="auto"/>
        </w:rPr>
        <w:t>11.11</w:t>
      </w:r>
      <w:r>
        <w:rPr>
          <w:rFonts w:ascii="Times New Roman" w:cs="Times New Roman" w:eastAsia="Times New Roman" w:hAnsi="Times New Roman"/>
          <w:sz w:val="20"/>
          <w:szCs w:val="20"/>
          <w:u w:val="single" w:color="auto"/>
          <w:color w:val="auto"/>
        </w:rPr>
        <w:t>Schedules and Exhibits</w:t>
      </w:r>
      <w:r>
        <w:rPr>
          <w:rFonts w:ascii="Times New Roman" w:cs="Times New Roman" w:eastAsia="Times New Roman" w:hAnsi="Times New Roman"/>
          <w:sz w:val="20"/>
          <w:szCs w:val="20"/>
          <w:color w:val="auto"/>
        </w:rPr>
        <w:t>. All Schedules and Exhibits attached hereto or referred to herein are hereby incorporated in and made a part of this Agreement as if set forth in full herein.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49" w:name="page50"/>
    <w:bookmarkEnd w:id="49"/>
    <w:p>
      <w:pPr>
        <w:spacing w:after="0" w:line="108" w:lineRule="exact"/>
        <w:rPr>
          <w:sz w:val="20"/>
          <w:szCs w:val="20"/>
          <w:color w:val="auto"/>
        </w:rPr>
      </w:pPr>
    </w:p>
    <w:p>
      <w:pPr>
        <w:jc w:val="both"/>
        <w:ind w:left="140" w:firstLine="749"/>
        <w:spacing w:after="0" w:line="254" w:lineRule="auto"/>
        <w:rPr>
          <w:sz w:val="20"/>
          <w:szCs w:val="20"/>
          <w:color w:val="auto"/>
        </w:rPr>
      </w:pPr>
      <w:r>
        <w:rPr>
          <w:rFonts w:ascii="Times New Roman" w:cs="Times New Roman" w:eastAsia="Times New Roman" w:hAnsi="Times New Roman"/>
          <w:sz w:val="20"/>
          <w:szCs w:val="20"/>
          <w:color w:val="auto"/>
        </w:rPr>
        <w:t>11.12</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construed in accordance with the laws of England and Wales applicable therein. Any dispute or proceeding in connection with this Agreement shall be subject to, and the parties irrevocably agree to, the exclusive jurisdiction of the courts in the United Kingdom.</w:t>
      </w:r>
    </w:p>
    <w:p>
      <w:pPr>
        <w:spacing w:after="0" w:line="174" w:lineRule="exact"/>
        <w:rPr>
          <w:sz w:val="20"/>
          <w:szCs w:val="20"/>
          <w:color w:val="auto"/>
        </w:rPr>
      </w:pPr>
    </w:p>
    <w:p>
      <w:pPr>
        <w:jc w:val="both"/>
        <w:ind w:left="140" w:firstLine="749"/>
        <w:spacing w:after="0" w:line="242" w:lineRule="auto"/>
        <w:rPr>
          <w:sz w:val="20"/>
          <w:szCs w:val="20"/>
          <w:color w:val="auto"/>
        </w:rPr>
      </w:pPr>
      <w:r>
        <w:rPr>
          <w:rFonts w:ascii="Times New Roman" w:cs="Times New Roman" w:eastAsia="Times New Roman" w:hAnsi="Times New Roman"/>
          <w:sz w:val="20"/>
          <w:szCs w:val="20"/>
          <w:color w:val="auto"/>
        </w:rPr>
        <w:t>11.13</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demands or other communications to be given or delivered under or by reason of the provisions of this Agreement shall be in writing and shall be deemed to have been given: (a) when actually delivered by hand; (b) 1 Business Day following the date tendered to the applicable courier if sent by overnight service with a nationally recognized overnight courier (receipt requested); (c) on the date sent by email of a PDF document or other electronic transmission, so long as the sender has not received machine-generated notice of unsuccessful transmission (unless such unsuccessful transmission is caused by actions taken by or on behalf of the recipient); or (d) on the 3</w:t>
      </w:r>
      <w:r>
        <w:rPr>
          <w:rFonts w:ascii="Times New Roman" w:cs="Times New Roman" w:eastAsia="Times New Roman" w:hAnsi="Times New Roman"/>
          <w:sz w:val="13"/>
          <w:szCs w:val="13"/>
          <w:color w:val="auto"/>
        </w:rPr>
        <w:t>rd</w:t>
      </w:r>
      <w:r>
        <w:rPr>
          <w:rFonts w:ascii="Times New Roman" w:cs="Times New Roman" w:eastAsia="Times New Roman" w:hAnsi="Times New Roman"/>
          <w:sz w:val="20"/>
          <w:szCs w:val="20"/>
          <w:color w:val="auto"/>
        </w:rPr>
        <w:t xml:space="preserve"> Business Day after the date mailed, by certified or registered mail, return receipt requested, postage prepaid. Such notices, demands and other communications shall be sent to Purchaser, Seller and Seller at the addresses indicated below or to such other address or to the attention of such other Person as the recipient party has specified by prior written notice to the sending party. All notices, demands and other communications hereunder may be given by any other means, but shall not be deemed to have been duly given unless and until confirmation of delivery thereof has been obtained.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40" w:right="719" w:bottom="1440" w:gutter="0" w:footer="0" w:header="0"/>
        </w:sectPr>
      </w:pPr>
    </w:p>
    <w:bookmarkStart w:id="50" w:name="page51"/>
    <w:bookmarkEnd w:id="50"/>
    <w:p>
      <w:pPr>
        <w:spacing w:after="0" w:line="10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To Seller:</w:t>
      </w:r>
    </w:p>
    <w:p>
      <w:pPr>
        <w:spacing w:after="0" w:line="21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Smartpay Digital Services Limitada</w:t>
      </w:r>
    </w:p>
    <w:p>
      <w:pPr>
        <w:spacing w:after="0" w:line="21" w:lineRule="exact"/>
        <w:rPr>
          <w:sz w:val="20"/>
          <w:szCs w:val="20"/>
          <w:color w:val="auto"/>
        </w:rPr>
      </w:pPr>
    </w:p>
    <w:p>
      <w:pPr>
        <w:ind w:left="2980"/>
        <w:spacing w:after="0"/>
        <w:tabs>
          <w:tab w:leader="none" w:pos="416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Rocelo Lopes</w:t>
      </w:r>
    </w:p>
    <w:p>
      <w:pPr>
        <w:ind w:left="2980"/>
        <w:spacing w:after="0"/>
        <w:rPr>
          <w:sz w:val="20"/>
          <w:szCs w:val="20"/>
          <w:color w:val="auto"/>
        </w:rPr>
      </w:pPr>
      <w:r>
        <w:rPr>
          <w:rFonts w:ascii="Times New Roman" w:cs="Times New Roman" w:eastAsia="Times New Roman" w:hAnsi="Times New Roman"/>
          <w:sz w:val="20"/>
          <w:szCs w:val="20"/>
          <w:color w:val="auto"/>
        </w:rPr>
        <w:t>Email:</w:t>
      </w:r>
    </w:p>
    <w:p>
      <w:pPr>
        <w:spacing w:after="0" w:line="19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with a copy to (which shall not constitute notice):</w:t>
      </w:r>
    </w:p>
    <w:p>
      <w:pPr>
        <w:spacing w:after="0" w:line="21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Gaspary Consultoria Juridica Empresarial Attention:</w:t>
      </w:r>
    </w:p>
    <w:p>
      <w:pPr>
        <w:spacing w:after="0" w:line="2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Paula Gaspary</w:t>
      </w:r>
    </w:p>
    <w:p>
      <w:pPr>
        <w:ind w:left="2980"/>
        <w:spacing w:after="0"/>
        <w:rPr>
          <w:sz w:val="20"/>
          <w:szCs w:val="20"/>
          <w:color w:val="auto"/>
        </w:rPr>
      </w:pPr>
      <w:r>
        <w:rPr>
          <w:rFonts w:ascii="Times New Roman" w:cs="Times New Roman" w:eastAsia="Times New Roman" w:hAnsi="Times New Roman"/>
          <w:sz w:val="20"/>
          <w:szCs w:val="20"/>
          <w:color w:val="auto"/>
        </w:rPr>
        <w:t>Email:</w:t>
      </w:r>
    </w:p>
    <w:p>
      <w:pPr>
        <w:spacing w:after="0" w:line="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To Purchaser:</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c/o Rezolve AI PLC 21</w:t>
      </w:r>
    </w:p>
    <w:p>
      <w:pPr>
        <w:ind w:left="2980"/>
        <w:spacing w:after="0"/>
        <w:rPr>
          <w:sz w:val="20"/>
          <w:szCs w:val="20"/>
          <w:color w:val="auto"/>
        </w:rPr>
      </w:pPr>
      <w:r>
        <w:rPr>
          <w:rFonts w:ascii="Times New Roman" w:cs="Times New Roman" w:eastAsia="Times New Roman" w:hAnsi="Times New Roman"/>
          <w:sz w:val="20"/>
          <w:szCs w:val="20"/>
          <w:color w:val="auto"/>
        </w:rPr>
        <w:t>Sackville Street London,</w:t>
      </w:r>
    </w:p>
    <w:p>
      <w:pPr>
        <w:ind w:left="2980"/>
        <w:spacing w:after="0"/>
        <w:rPr>
          <w:sz w:val="20"/>
          <w:szCs w:val="20"/>
          <w:color w:val="auto"/>
        </w:rPr>
      </w:pPr>
      <w:r>
        <w:rPr>
          <w:rFonts w:ascii="Times New Roman" w:cs="Times New Roman" w:eastAsia="Times New Roman" w:hAnsi="Times New Roman"/>
          <w:sz w:val="20"/>
          <w:szCs w:val="20"/>
          <w:color w:val="auto"/>
        </w:rPr>
        <w:t>England W1S 3DN</w:t>
      </w:r>
    </w:p>
    <w:p>
      <w:pPr>
        <w:ind w:left="2980"/>
        <w:spacing w:after="0"/>
        <w:tabs>
          <w:tab w:leader="none" w:pos="416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Raymond McKeeve</w:t>
      </w:r>
    </w:p>
    <w:p>
      <w:pPr>
        <w:ind w:left="2980"/>
        <w:spacing w:after="0"/>
        <w:rPr>
          <w:sz w:val="20"/>
          <w:szCs w:val="20"/>
          <w:color w:val="auto"/>
        </w:rPr>
      </w:pPr>
      <w:r>
        <w:rPr>
          <w:rFonts w:ascii="Times New Roman" w:cs="Times New Roman" w:eastAsia="Times New Roman" w:hAnsi="Times New Roman"/>
          <w:sz w:val="20"/>
          <w:szCs w:val="20"/>
          <w:color w:val="auto"/>
        </w:rPr>
        <w:t>Email:</w:t>
      </w:r>
    </w:p>
    <w:p>
      <w:pPr>
        <w:ind w:left="3040"/>
        <w:spacing w:after="0"/>
        <w:rPr>
          <w:sz w:val="20"/>
          <w:szCs w:val="20"/>
          <w:color w:val="auto"/>
        </w:rPr>
      </w:pPr>
      <w:r>
        <w:rPr>
          <w:rFonts w:ascii="Times New Roman" w:cs="Times New Roman" w:eastAsia="Times New Roman" w:hAnsi="Times New Roman"/>
          <w:sz w:val="20"/>
          <w:szCs w:val="20"/>
          <w:color w:val="auto"/>
        </w:rPr>
        <w:t>with a copy to (which shall not constitute notice):</w:t>
      </w:r>
    </w:p>
    <w:p>
      <w:pPr>
        <w:ind w:left="2980"/>
        <w:spacing w:after="0"/>
        <w:rPr>
          <w:sz w:val="20"/>
          <w:szCs w:val="20"/>
          <w:color w:val="auto"/>
        </w:rPr>
      </w:pPr>
      <w:r>
        <w:rPr>
          <w:rFonts w:ascii="Times New Roman" w:cs="Times New Roman" w:eastAsia="Times New Roman" w:hAnsi="Times New Roman"/>
          <w:sz w:val="20"/>
          <w:szCs w:val="20"/>
          <w:color w:val="auto"/>
        </w:rPr>
        <w:t>DLA Piper LLP</w:t>
      </w:r>
    </w:p>
    <w:p>
      <w:pPr>
        <w:spacing w:after="0" w:line="45" w:lineRule="exact"/>
        <w:rPr>
          <w:sz w:val="20"/>
          <w:szCs w:val="20"/>
          <w:color w:val="auto"/>
        </w:rPr>
      </w:pPr>
    </w:p>
    <w:p>
      <w:pPr>
        <w:ind w:left="2980"/>
        <w:spacing w:after="0"/>
        <w:tabs>
          <w:tab w:leader="none" w:pos="416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Gerry Williams</w:t>
      </w:r>
    </w:p>
    <w:p>
      <w:pPr>
        <w:spacing w:after="0" w:line="2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Email:</w:t>
      </w:r>
    </w:p>
    <w:p>
      <w:pPr>
        <w:spacing w:after="0" w:line="194" w:lineRule="exact"/>
        <w:rPr>
          <w:sz w:val="20"/>
          <w:szCs w:val="20"/>
          <w:color w:val="auto"/>
        </w:rPr>
      </w:pPr>
    </w:p>
    <w:p>
      <w:pPr>
        <w:jc w:val="both"/>
        <w:ind w:left="140" w:firstLine="749"/>
        <w:spacing w:after="0" w:line="249" w:lineRule="auto"/>
        <w:rPr>
          <w:sz w:val="20"/>
          <w:szCs w:val="20"/>
          <w:color w:val="auto"/>
        </w:rPr>
      </w:pPr>
      <w:r>
        <w:rPr>
          <w:rFonts w:ascii="Times New Roman" w:cs="Times New Roman" w:eastAsia="Times New Roman" w:hAnsi="Times New Roman"/>
          <w:sz w:val="20"/>
          <w:szCs w:val="20"/>
          <w:color w:val="auto"/>
        </w:rPr>
        <w:t>11.14</w:t>
      </w:r>
      <w:r>
        <w:rPr>
          <w:rFonts w:ascii="Times New Roman" w:cs="Times New Roman" w:eastAsia="Times New Roman" w:hAnsi="Times New Roman"/>
          <w:sz w:val="20"/>
          <w:szCs w:val="20"/>
          <w:u w:val="single" w:color="auto"/>
          <w:color w:val="auto"/>
        </w:rPr>
        <w:t>No Strict Construction</w:t>
      </w:r>
      <w:r>
        <w:rPr>
          <w:rFonts w:ascii="Times New Roman" w:cs="Times New Roman" w:eastAsia="Times New Roman" w:hAnsi="Times New Roman"/>
          <w:sz w:val="20"/>
          <w:szCs w:val="20"/>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hereto by virtue of the authorship of any of the provisions of this Agreement.</w:t>
      </w:r>
    </w:p>
    <w:p>
      <w:pPr>
        <w:spacing w:after="0" w:line="180"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 * * * *</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40" w:right="719" w:bottom="1440" w:gutter="0" w:footer="0" w:header="0"/>
        </w:sectPr>
      </w:pPr>
    </w:p>
    <w:bookmarkStart w:id="51" w:name="page52"/>
    <w:bookmarkEnd w:id="51"/>
    <w:p>
      <w:pPr>
        <w:ind w:left="1500"/>
        <w:spacing w:after="0"/>
        <w:rPr>
          <w:sz w:val="20"/>
          <w:szCs w:val="20"/>
          <w:color w:val="auto"/>
        </w:rPr>
      </w:pPr>
      <w:r>
        <w:rPr>
          <w:rFonts w:ascii="Times New Roman" w:cs="Times New Roman" w:eastAsia="Times New Roman" w:hAnsi="Times New Roman"/>
          <w:sz w:val="20"/>
          <w:szCs w:val="20"/>
          <w:color w:val="auto"/>
        </w:rPr>
        <w:t>IN WITNESS WHEREOF, the parties hereto have executed this Agreement on the date first written</w:t>
      </w:r>
    </w:p>
    <w:p>
      <w:pPr>
        <w:spacing w:after="0" w:line="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above.</w:t>
      </w:r>
    </w:p>
    <w:p>
      <w:pPr>
        <w:spacing w:after="0" w:line="22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b w:val="1"/>
          <w:bCs w:val="1"/>
          <w:color w:val="auto"/>
        </w:rPr>
        <w:t>PURCHASER:</w:t>
      </w:r>
    </w:p>
    <w:p>
      <w:pPr>
        <w:spacing w:after="0" w:line="21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b w:val="1"/>
          <w:bCs w:val="1"/>
          <w:color w:val="auto"/>
        </w:rPr>
        <w:t>REZOLVE AI PLC</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ind w:left="5680"/>
              <w:spacing w:after="0"/>
              <w:rPr>
                <w:sz w:val="20"/>
                <w:szCs w:val="20"/>
                <w:color w:val="auto"/>
              </w:rPr>
            </w:pPr>
            <w:r>
              <w:rPr>
                <w:rFonts w:ascii="Times New Roman" w:cs="Times New Roman" w:eastAsia="Times New Roman" w:hAnsi="Times New Roman"/>
                <w:sz w:val="20"/>
                <w:szCs w:val="20"/>
                <w:color w:val="auto"/>
              </w:rPr>
              <w:t>By:</w:t>
            </w:r>
          </w:p>
        </w:tc>
        <w:tc>
          <w:tcPr>
            <w:tcW w:w="50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/s/ Daniel M. Wagner</w:t>
            </w:r>
          </w:p>
        </w:tc>
      </w:tr>
      <w:tr>
        <w:trPr>
          <w:trHeight w:val="20"/>
        </w:trPr>
        <w:tc>
          <w:tcPr>
            <w:tcW w:w="6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27"/>
        </w:trPr>
        <w:tc>
          <w:tcPr>
            <w:tcW w:w="6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60" w:type="dxa"/>
            <w:vAlign w:val="bottom"/>
            <w:gridSpan w:val="2"/>
          </w:tcPr>
          <w:p>
            <w:pPr>
              <w:ind w:left="160"/>
              <w:spacing w:after="0" w:line="228" w:lineRule="exact"/>
              <w:rPr>
                <w:sz w:val="20"/>
                <w:szCs w:val="20"/>
                <w:color w:val="auto"/>
              </w:rPr>
            </w:pPr>
            <w:r>
              <w:rPr>
                <w:rFonts w:ascii="Times New Roman" w:cs="Times New Roman" w:eastAsia="Times New Roman" w:hAnsi="Times New Roman"/>
                <w:sz w:val="20"/>
                <w:szCs w:val="20"/>
                <w:color w:val="auto"/>
              </w:rPr>
              <w:t>Name: Daniel M. Wagner</w:t>
            </w:r>
          </w:p>
        </w:tc>
      </w:tr>
      <w:tr>
        <w:trPr>
          <w:trHeight w:val="258"/>
        </w:trPr>
        <w:tc>
          <w:tcPr>
            <w:tcW w:w="6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Title: Chairman and CEO</w:t>
            </w:r>
          </w:p>
        </w:tc>
      </w:tr>
      <w:tr>
        <w:trPr>
          <w:trHeight w:val="1486"/>
        </w:trPr>
        <w:tc>
          <w:tcPr>
            <w:tcW w:w="6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52" w:name="page53"/>
    <w:bookmarkEnd w:id="52"/>
    <w:p>
      <w:pPr>
        <w:jc w:val="center"/>
        <w:ind w:right="-20"/>
        <w:spacing w:after="0"/>
        <w:rPr>
          <w:sz w:val="20"/>
          <w:szCs w:val="20"/>
          <w:color w:val="auto"/>
        </w:rPr>
      </w:pPr>
      <w:r>
        <w:rPr>
          <w:rFonts w:ascii="Times New Roman" w:cs="Times New Roman" w:eastAsia="Times New Roman" w:hAnsi="Times New Roman"/>
          <w:sz w:val="19"/>
          <w:szCs w:val="19"/>
          <w:color w:val="auto"/>
        </w:rPr>
        <w:t>IN WITNESS WHEREOF, the parties hereto have executed this Agreement on the date first written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00" w:lineRule="exact"/>
        <w:rPr>
          <w:sz w:val="20"/>
          <w:szCs w:val="20"/>
          <w:color w:val="auto"/>
        </w:rPr>
      </w:pP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SELLER:</w:t>
      </w:r>
    </w:p>
    <w:p>
      <w:pPr>
        <w:spacing w:after="0" w:line="200" w:lineRule="exact"/>
        <w:rPr>
          <w:sz w:val="20"/>
          <w:szCs w:val="20"/>
          <w:color w:val="auto"/>
        </w:rPr>
      </w:pPr>
    </w:p>
    <w:p>
      <w:pPr>
        <w:spacing w:after="0" w:line="2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SMARTPAY DIGITAL SERVICES LIMITADA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u w:val="single" w:color="auto"/>
          <w:color w:val="auto"/>
        </w:rPr>
        <w:t>Rocelo Bezerra Lopes</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Name: ROCELO BEZERRA LOPES</w:t>
      </w:r>
    </w:p>
    <w:p>
      <w:pPr>
        <w:ind w:left="360"/>
        <w:spacing w:after="0"/>
        <w:rPr>
          <w:sz w:val="20"/>
          <w:szCs w:val="20"/>
          <w:color w:val="auto"/>
        </w:rPr>
      </w:pPr>
      <w:r>
        <w:rPr>
          <w:rFonts w:ascii="Times New Roman" w:cs="Times New Roman" w:eastAsia="Times New Roman" w:hAnsi="Times New Roman"/>
          <w:sz w:val="20"/>
          <w:szCs w:val="20"/>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ROCELO:</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 Rocelo Bezerra Lopes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125730</wp:posOffset>
            </wp:positionV>
            <wp:extent cx="206565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65655" cy="17145"/>
                    </a:xfrm>
                    <a:prstGeom prst="rect">
                      <a:avLst/>
                    </a:prstGeom>
                    <a:noFill/>
                  </pic:spPr>
                </pic:pic>
              </a:graphicData>
            </a:graphic>
          </wp:anchor>
        </w:drawing>
      </w:r>
    </w:p>
    <w:p>
      <w:pPr>
        <w:spacing w:after="0" w:line="1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ROCELO BEZERRA LOPES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953135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399" w:right="1440"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3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5"/>
          <w:szCs w:val="25"/>
          <w:b w:val="1"/>
          <w:bCs w:val="1"/>
          <w:color w:val="auto"/>
        </w:rPr>
        <w:t>SHARE PURCHASE AGREEMENT</w:t>
      </w:r>
    </w:p>
    <w:p>
      <w:pPr>
        <w:spacing w:after="0" w:line="200" w:lineRule="exact"/>
        <w:rPr>
          <w:sz w:val="20"/>
          <w:szCs w:val="20"/>
          <w:color w:val="auto"/>
        </w:rPr>
      </w:pPr>
    </w:p>
    <w:p>
      <w:pPr>
        <w:spacing w:after="0" w:line="205" w:lineRule="exact"/>
        <w:rPr>
          <w:sz w:val="20"/>
          <w:szCs w:val="20"/>
          <w:color w:val="auto"/>
        </w:rPr>
      </w:pPr>
    </w:p>
    <w:p>
      <w:pPr>
        <w:jc w:val="both"/>
        <w:ind w:left="380" w:right="380"/>
        <w:spacing w:after="0" w:line="235" w:lineRule="auto"/>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7"/>
          <w:szCs w:val="17"/>
          <w:b w:val="1"/>
          <w:bCs w:val="1"/>
          <w:color w:val="auto"/>
        </w:rPr>
        <w:t>HIS</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HARE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URCHASE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as of</w:t>
      </w:r>
      <w:r>
        <w:rPr>
          <w:rFonts w:ascii="Times New Roman" w:cs="Times New Roman" w:eastAsia="Times New Roman" w:hAnsi="Times New Roman"/>
          <w:sz w:val="22"/>
          <w:szCs w:val="22"/>
          <w:b w:val="1"/>
          <w:bCs w:val="1"/>
          <w:color w:val="auto"/>
        </w:rPr>
        <w:t xml:space="preserve"> </w:t>
      </w:r>
      <w:r>
        <w:rPr>
          <w:rFonts w:ascii="Arial" w:cs="Arial" w:eastAsia="Arial" w:hAnsi="Arial"/>
          <w:sz w:val="22"/>
          <w:szCs w:val="22"/>
          <w:color w:val="auto"/>
        </w:rPr>
        <w:t>8 October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2025, by and among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Mr Marcel Fohrmann of Papieri-Platz 1, 6330 Cham, Switzerland (the “</w:t>
      </w:r>
      <w:r>
        <w:rPr>
          <w:rFonts w:ascii="Times New Roman" w:cs="Times New Roman" w:eastAsia="Times New Roman" w:hAnsi="Times New Roman"/>
          <w:sz w:val="22"/>
          <w:szCs w:val="22"/>
          <w:b w:val="1"/>
          <w:bCs w:val="1"/>
          <w:color w:val="auto"/>
        </w:rPr>
        <w:t>Seller</w:t>
      </w:r>
      <w:r>
        <w:rPr>
          <w:rFonts w:ascii="Times New Roman" w:cs="Times New Roman" w:eastAsia="Times New Roman" w:hAnsi="Times New Roman"/>
          <w:sz w:val="22"/>
          <w:szCs w:val="22"/>
          <w:color w:val="auto"/>
        </w:rPr>
        <w:t>”) and Rezolve AI PLC, a public limited company organized under the laws of the England and Wales with registered number 14573691 and having its registered office at 21 Sackville Street, London, England, W1S 3DN (“</w:t>
      </w:r>
      <w:r>
        <w:rPr>
          <w:rFonts w:ascii="Times New Roman" w:cs="Times New Roman" w:eastAsia="Times New Roman" w:hAnsi="Times New Roman"/>
          <w:sz w:val="22"/>
          <w:szCs w:val="22"/>
          <w:b w:val="1"/>
          <w:bCs w:val="1"/>
          <w:color w:val="auto"/>
        </w:rPr>
        <w:t>Buyer</w:t>
      </w:r>
      <w:r>
        <w:rPr>
          <w:rFonts w:ascii="Times New Roman" w:cs="Times New Roman" w:eastAsia="Times New Roman" w:hAnsi="Times New Roman"/>
          <w:sz w:val="22"/>
          <w:szCs w:val="22"/>
          <w:color w:val="auto"/>
        </w:rPr>
        <w:t>”) regarding the acquisition of the entire issued and to be issued share capital of each of Subsquid Labs GmbH, a limited liability company (</w:t>
      </w:r>
      <w:r>
        <w:rPr>
          <w:rFonts w:ascii="Times New Roman" w:cs="Times New Roman" w:eastAsia="Times New Roman" w:hAnsi="Times New Roman"/>
          <w:sz w:val="22"/>
          <w:szCs w:val="22"/>
          <w:i w:val="1"/>
          <w:iCs w:val="1"/>
          <w:color w:val="auto"/>
        </w:rPr>
        <w:t>Gesellschaft mit beschränkter Haftung</w:t>
      </w:r>
      <w:r>
        <w:rPr>
          <w:rFonts w:ascii="Times New Roman" w:cs="Times New Roman" w:eastAsia="Times New Roman" w:hAnsi="Times New Roman"/>
          <w:sz w:val="22"/>
          <w:szCs w:val="22"/>
          <w:color w:val="auto"/>
        </w:rPr>
        <w:t xml:space="preserve">) organized under the laws of Switzerland with registered number CHE- 240.458.636 and having its registered office at c/o Wadsack Zug AG, Bahnhofstrasse 7, 6300 Zug, Switzerland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4235450</wp:posOffset>
            </wp:positionH>
            <wp:positionV relativeFrom="paragraph">
              <wp:posOffset>-1109980</wp:posOffset>
            </wp:positionV>
            <wp:extent cx="7340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4060" cy="8255"/>
                    </a:xfrm>
                    <a:prstGeom prst="rect">
                      <a:avLst/>
                    </a:prstGeom>
                    <a:noFill/>
                  </pic:spPr>
                </pic:pic>
              </a:graphicData>
            </a:graphic>
          </wp:anchor>
        </w:drawing>
      </w:r>
    </w:p>
    <w:p>
      <w:pPr>
        <w:spacing w:after="0" w:line="171" w:lineRule="exact"/>
        <w:rPr>
          <w:sz w:val="20"/>
          <w:szCs w:val="20"/>
          <w:color w:val="auto"/>
        </w:rPr>
      </w:pPr>
    </w:p>
    <w:p>
      <w:pPr>
        <w:jc w:val="center"/>
        <w:ind w:left="1900"/>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ecitals</w:t>
      </w:r>
    </w:p>
    <w:p>
      <w:pPr>
        <w:spacing w:after="0" w:line="224" w:lineRule="exact"/>
        <w:rPr>
          <w:sz w:val="20"/>
          <w:szCs w:val="20"/>
          <w:color w:val="auto"/>
        </w:rPr>
      </w:pPr>
    </w:p>
    <w:p>
      <w:pPr>
        <w:jc w:val="both"/>
        <w:ind w:left="380" w:right="380" w:firstLine="749"/>
        <w:spacing w:after="0" w:line="244" w:lineRule="auto"/>
        <w:rPr>
          <w:sz w:val="20"/>
          <w:szCs w:val="20"/>
          <w:color w:val="auto"/>
        </w:rPr>
      </w:pPr>
      <w:r>
        <w:rPr>
          <w:rFonts w:ascii="Times New Roman" w:cs="Times New Roman" w:eastAsia="Times New Roman" w:hAnsi="Times New Roman"/>
          <w:sz w:val="22"/>
          <w:szCs w:val="22"/>
          <w:color w:val="auto"/>
        </w:rPr>
        <w:t>WHEREAS the Seller is the owner of 200 (two hundred) quotas in the Company, representing 100% (one hundred percent) of the quota capital of the Company on a fully diluted basis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380" w:right="380" w:firstLine="749"/>
        <w:spacing w:after="0" w:line="244" w:lineRule="auto"/>
        <w:rPr>
          <w:sz w:val="20"/>
          <w:szCs w:val="20"/>
          <w:color w:val="auto"/>
        </w:rPr>
      </w:pPr>
      <w:r>
        <w:rPr>
          <w:rFonts w:ascii="Times New Roman" w:cs="Times New Roman" w:eastAsia="Times New Roman" w:hAnsi="Times New Roman"/>
          <w:sz w:val="22"/>
          <w:szCs w:val="22"/>
          <w:color w:val="auto"/>
        </w:rPr>
        <w:t>WHEREAS the Seller desires to sell and transfer the Company Shares to Buyer, and the Buyer has agreed to purchase the Company Shares from the Seller, for the consideration and on the terms and subject to the conditions set forth in this Agreement.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WHEREAS each of: (i) the assignment declaration for the transfer of the Company Shares;</w:t>
      </w:r>
    </w:p>
    <w:p>
      <w:pPr>
        <w:spacing w:after="0" w:line="14" w:lineRule="exact"/>
        <w:rPr>
          <w:sz w:val="20"/>
          <w:szCs w:val="20"/>
          <w:color w:val="auto"/>
        </w:rPr>
      </w:pPr>
    </w:p>
    <w:p>
      <w:pPr>
        <w:jc w:val="both"/>
        <w:ind w:left="380" w:right="380" w:firstLine="5"/>
        <w:spacing w:after="0" w:line="234" w:lineRule="auto"/>
        <w:tabs>
          <w:tab w:leader="none" w:pos="74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release of any and all claims of the Seller against the Company; (iii) an employment agreement between the Seller and the Company; (iv) a service agreement between Green Trident and the Company; and (v) the Regulatory and Compliance Protocols are each in a form which has been agreed by the Parties prior to the date of this Agreement, and are referred to herein.</w:t>
      </w:r>
    </w:p>
    <w:p>
      <w:pPr>
        <w:spacing w:after="0" w:line="177" w:lineRule="exact"/>
        <w:rPr>
          <w:sz w:val="20"/>
          <w:szCs w:val="20"/>
          <w:color w:val="auto"/>
        </w:rPr>
      </w:pPr>
    </w:p>
    <w:p>
      <w:pPr>
        <w:jc w:val="both"/>
        <w:ind w:left="380" w:right="380" w:firstLine="749"/>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premises, representations and warranties and mutual covenants contained herein and other good and valuable consideration, the receipt and sufficiency of which are hereby acknowledged, the Parties agree as follows:</w:t>
      </w:r>
    </w:p>
    <w:p>
      <w:pPr>
        <w:spacing w:after="0" w:line="16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greement</w:t>
      </w:r>
    </w:p>
    <w:p>
      <w:pPr>
        <w:spacing w:after="0" w:line="21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The Parties, intending to be legally bound, agree as follows:</w:t>
      </w:r>
    </w:p>
    <w:p>
      <w:pPr>
        <w:spacing w:after="0" w:line="202" w:lineRule="exact"/>
        <w:rPr>
          <w:sz w:val="20"/>
          <w:szCs w:val="20"/>
          <w:color w:val="auto"/>
        </w:rPr>
      </w:pPr>
    </w:p>
    <w:p>
      <w:pPr>
        <w:ind w:left="1140" w:hanging="755"/>
        <w:spacing w:after="0"/>
        <w:tabs>
          <w:tab w:leader="none" w:pos="114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7"/>
          <w:szCs w:val="17"/>
          <w:b w:val="1"/>
          <w:bCs w:val="1"/>
          <w:color w:val="auto"/>
        </w:rPr>
        <w:t>EFINITIONS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380" w:right="400" w:firstLine="749"/>
        <w:spacing w:after="0" w:line="258" w:lineRule="auto"/>
        <w:rPr>
          <w:sz w:val="20"/>
          <w:szCs w:val="20"/>
          <w:color w:val="auto"/>
        </w:rPr>
      </w:pPr>
      <w:r>
        <w:rPr>
          <w:rFonts w:ascii="Times New Roman" w:cs="Times New Roman" w:eastAsia="Times New Roman" w:hAnsi="Times New Roman"/>
          <w:sz w:val="22"/>
          <w:szCs w:val="22"/>
          <w:color w:val="auto"/>
        </w:rPr>
        <w:t>For purposes of this Agreement, the following terms have the meanings specified or referred to in this Section 1:</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“AMLO” </w:t>
      </w:r>
      <w:r>
        <w:rPr>
          <w:rFonts w:ascii="Times New Roman" w:cs="Times New Roman" w:eastAsia="Times New Roman" w:hAnsi="Times New Roman"/>
          <w:sz w:val="22"/>
          <w:szCs w:val="22"/>
          <w:color w:val="auto"/>
        </w:rPr>
        <w:t>as defined in Section 6.13</w:t>
      </w:r>
      <w:r>
        <w:rPr>
          <w:rFonts w:ascii="Times New Roman" w:cs="Times New Roman" w:eastAsia="Times New Roman" w:hAnsi="Times New Roman"/>
          <w:sz w:val="22"/>
          <w:szCs w:val="22"/>
          <w:b w:val="1"/>
          <w:bCs w:val="1"/>
          <w:i w:val="1"/>
          <w:iCs w:val="1"/>
          <w:color w:val="auto"/>
        </w:rPr>
        <w:t>.</w:t>
      </w:r>
    </w:p>
    <w:p>
      <w:pPr>
        <w:spacing w:after="0" w:line="206" w:lineRule="exact"/>
        <w:rPr>
          <w:sz w:val="20"/>
          <w:szCs w:val="20"/>
          <w:color w:val="auto"/>
        </w:rPr>
      </w:pPr>
    </w:p>
    <w:p>
      <w:pPr>
        <w:jc w:val="both"/>
        <w:ind w:left="380" w:right="380" w:firstLine="749"/>
        <w:spacing w:after="0" w:line="247"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Applicable Law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means applicable provisions of laws, practiced in the jurisdiction where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has its registered office and operates its business, in relation to (a) constitutions, treaties, statutes, enactments, acts of legislature, laws (including common law),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866775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54" w:name="page55"/>
    <w:bookmarkEnd w:id="54"/>
    <w:p>
      <w:pPr>
        <w:spacing w:after="0" w:line="185"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22"/>
          <w:szCs w:val="22"/>
          <w:color w:val="auto"/>
        </w:rPr>
        <w:t>laws, codes, rules, regulations, ordinances, notifications, guidelines or policies of any Governmental Authorization; (b) laid down by Governmental Body; and (c) orders, decisions, directions, injunctions, judgments, awards and decrees of any Governmental Authorization.</w:t>
      </w:r>
    </w:p>
    <w:p>
      <w:pPr>
        <w:spacing w:after="0" w:line="167" w:lineRule="exact"/>
        <w:rPr>
          <w:sz w:val="20"/>
          <w:szCs w:val="20"/>
          <w:color w:val="auto"/>
        </w:rPr>
      </w:pPr>
    </w:p>
    <w:p>
      <w:pPr>
        <w:jc w:val="both"/>
        <w:ind w:left="380"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“Applicable Contract” </w:t>
      </w:r>
      <w:r>
        <w:rPr>
          <w:rFonts w:ascii="Times New Roman" w:cs="Times New Roman" w:eastAsia="Times New Roman" w:hAnsi="Times New Roman"/>
          <w:sz w:val="22"/>
          <w:szCs w:val="22"/>
          <w:color w:val="auto"/>
        </w:rPr>
        <w:t>-- any Contract (a) under which the Company has or may acquire 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rights, (b) under which the Company has or may become subject to any obligation or liability, or (c) by which the Company or any of the assets owned or used by it is or may become </w:t>
      </w:r>
      <w:r>
        <w:rPr>
          <w:rFonts w:ascii="Times New Roman" w:cs="Times New Roman" w:eastAsia="Times New Roman" w:hAnsi="Times New Roman"/>
          <w:sz w:val="22"/>
          <w:szCs w:val="22"/>
          <w:i w:val="1"/>
          <w:iCs w:val="1"/>
          <w:color w:val="auto"/>
        </w:rPr>
        <w:t>bound.</w:t>
      </w:r>
    </w:p>
    <w:p>
      <w:pPr>
        <w:spacing w:after="0" w:line="164" w:lineRule="exact"/>
        <w:rPr>
          <w:sz w:val="20"/>
          <w:szCs w:val="20"/>
          <w:color w:val="auto"/>
        </w:rPr>
      </w:pPr>
    </w:p>
    <w:p>
      <w:pPr>
        <w:jc w:val="both"/>
        <w:ind w:left="380"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 xml:space="preserve">“Bad Leaver” </w:t>
      </w:r>
      <w:r>
        <w:rPr>
          <w:rFonts w:ascii="Times New Roman" w:cs="Times New Roman" w:eastAsia="Times New Roman" w:hAnsi="Times New Roman"/>
          <w:sz w:val="22"/>
          <w:szCs w:val="22"/>
          <w:color w:val="auto"/>
        </w:rPr>
        <w:t>-- means the Seller ceasing to be (or gives or is given notice to terminate their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employment as) an employee of the Company as a consequence of the Seller's dismissal or termination as an employee for gross misconduct, fraud, dishonesty or being convicted of any criminal offence (other than a road traffic offence which is not punishable by a custodial sentence), or as a consequence of that person's resignation in such circumstances.</w:t>
      </w:r>
    </w:p>
    <w:p>
      <w:pPr>
        <w:spacing w:after="0" w:line="1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“Balance Sheet” </w:t>
      </w:r>
      <w:r>
        <w:rPr>
          <w:rFonts w:ascii="Times New Roman" w:cs="Times New Roman" w:eastAsia="Times New Roman" w:hAnsi="Times New Roman"/>
          <w:sz w:val="22"/>
          <w:szCs w:val="22"/>
          <w:color w:val="auto"/>
        </w:rPr>
        <w:t>-- as defined in Section 6.4.</w:t>
      </w:r>
    </w:p>
    <w:p>
      <w:pPr>
        <w:spacing w:after="0" w:line="206" w:lineRule="exact"/>
        <w:rPr>
          <w:sz w:val="20"/>
          <w:szCs w:val="20"/>
          <w:color w:val="auto"/>
        </w:rPr>
      </w:pPr>
    </w:p>
    <w:p>
      <w:pPr>
        <w:jc w:val="both"/>
        <w:ind w:left="380"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“Bank Accounts” </w:t>
      </w:r>
      <w:r>
        <w:rPr>
          <w:rFonts w:ascii="Times New Roman" w:cs="Times New Roman" w:eastAsia="Times New Roman" w:hAnsi="Times New Roman"/>
          <w:sz w:val="22"/>
          <w:szCs w:val="22"/>
          <w:color w:val="auto"/>
        </w:rPr>
        <w:t>-- means each of the accounts in the name of the Company, as listed in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Appendix to this Agreement, in each case such accounts being free and clear of any liens, security interests, charges, encumbrances, equities, and other adverse claims.</w:t>
      </w:r>
    </w:p>
    <w:p>
      <w:pPr>
        <w:spacing w:after="0" w:line="164" w:lineRule="exact"/>
        <w:rPr>
          <w:sz w:val="20"/>
          <w:szCs w:val="20"/>
          <w:color w:val="auto"/>
        </w:rPr>
      </w:pPr>
    </w:p>
    <w:p>
      <w:pPr>
        <w:jc w:val="both"/>
        <w:ind w:left="380" w:right="2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“Bank Account Excerpts” </w:t>
      </w:r>
      <w:r>
        <w:rPr>
          <w:rFonts w:ascii="Times New Roman" w:cs="Times New Roman" w:eastAsia="Times New Roman" w:hAnsi="Times New Roman"/>
          <w:sz w:val="22"/>
          <w:szCs w:val="22"/>
          <w:color w:val="auto"/>
        </w:rPr>
        <w:t>-- an electronic excerpt of each of the Bank Accounts as per Closing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Date including a transaction history for the last 20 Business Days, signed by the Management.</w:t>
      </w:r>
    </w:p>
    <w:p>
      <w:pPr>
        <w:spacing w:after="0" w:line="145" w:lineRule="exact"/>
        <w:rPr>
          <w:sz w:val="20"/>
          <w:szCs w:val="20"/>
          <w:color w:val="auto"/>
        </w:rPr>
      </w:pPr>
    </w:p>
    <w:p>
      <w:pPr>
        <w:jc w:val="both"/>
        <w:ind w:left="38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“Business Day” </w:t>
      </w:r>
      <w:r>
        <w:rPr>
          <w:rFonts w:ascii="Times New Roman" w:cs="Times New Roman" w:eastAsia="Times New Roman" w:hAnsi="Times New Roman"/>
          <w:sz w:val="22"/>
          <w:szCs w:val="22"/>
          <w:color w:val="auto"/>
        </w:rPr>
        <w:t>-- means a day (other than a Saturday or Sunday or a national holiday) on which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scheduled commercial banks are open for business in London, England and Zug, Switzerland.</w:t>
      </w:r>
    </w:p>
    <w:p>
      <w:pPr>
        <w:spacing w:after="0" w:line="1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“Buyer” </w:t>
      </w:r>
      <w:r>
        <w:rPr>
          <w:rFonts w:ascii="Times New Roman" w:cs="Times New Roman" w:eastAsia="Times New Roman" w:hAnsi="Times New Roman"/>
          <w:sz w:val="22"/>
          <w:szCs w:val="22"/>
          <w:color w:val="auto"/>
        </w:rPr>
        <w:t>-- as defined in the preamble of this Agreement.</w:t>
      </w:r>
    </w:p>
    <w:p>
      <w:pPr>
        <w:spacing w:after="0" w:line="20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“Closing” </w:t>
      </w:r>
      <w:r>
        <w:rPr>
          <w:rFonts w:ascii="Times New Roman" w:cs="Times New Roman" w:eastAsia="Times New Roman" w:hAnsi="Times New Roman"/>
          <w:sz w:val="22"/>
          <w:szCs w:val="22"/>
          <w:color w:val="auto"/>
        </w:rPr>
        <w:t>-- as defined in Section 4.1.</w:t>
      </w:r>
    </w:p>
    <w:p>
      <w:pPr>
        <w:spacing w:after="0" w:line="20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“Closing Date” </w:t>
      </w:r>
      <w:r>
        <w:rPr>
          <w:rFonts w:ascii="Times New Roman" w:cs="Times New Roman" w:eastAsia="Times New Roman" w:hAnsi="Times New Roman"/>
          <w:sz w:val="22"/>
          <w:szCs w:val="22"/>
          <w:color w:val="auto"/>
        </w:rPr>
        <w:t>-- as defined in Section 4.1.</w:t>
      </w:r>
    </w:p>
    <w:p>
      <w:pPr>
        <w:spacing w:after="0" w:line="20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“Company” </w:t>
      </w:r>
      <w:r>
        <w:rPr>
          <w:rFonts w:ascii="Times New Roman" w:cs="Times New Roman" w:eastAsia="Times New Roman" w:hAnsi="Times New Roman"/>
          <w:sz w:val="22"/>
          <w:szCs w:val="22"/>
          <w:color w:val="auto"/>
        </w:rPr>
        <w:t>-- as defined in the Recitals of this Agreement.</w:t>
      </w:r>
    </w:p>
    <w:p>
      <w:pPr>
        <w:spacing w:after="0" w:line="20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“Company Shares” </w:t>
      </w:r>
      <w:r>
        <w:rPr>
          <w:rFonts w:ascii="Times New Roman" w:cs="Times New Roman" w:eastAsia="Times New Roman" w:hAnsi="Times New Roman"/>
          <w:sz w:val="22"/>
          <w:szCs w:val="22"/>
          <w:color w:val="auto"/>
        </w:rPr>
        <w:t>-- as defined in the Recitals of this Agreement.</w:t>
      </w:r>
    </w:p>
    <w:p>
      <w:pPr>
        <w:spacing w:after="0" w:line="20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“Company Wallets” </w:t>
      </w:r>
      <w:r>
        <w:rPr>
          <w:rFonts w:ascii="Times New Roman" w:cs="Times New Roman" w:eastAsia="Times New Roman" w:hAnsi="Times New Roman"/>
          <w:sz w:val="22"/>
          <w:szCs w:val="22"/>
          <w:color w:val="auto"/>
        </w:rPr>
        <w:t>-- means each of the wallets listed in the Appendix to this Agreement.</w:t>
      </w:r>
    </w:p>
    <w:p>
      <w:pPr>
        <w:spacing w:after="0" w:line="206" w:lineRule="exact"/>
        <w:rPr>
          <w:sz w:val="20"/>
          <w:szCs w:val="20"/>
          <w:color w:val="auto"/>
        </w:rPr>
      </w:pPr>
    </w:p>
    <w:p>
      <w:pPr>
        <w:jc w:val="both"/>
        <w:ind w:left="380"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 xml:space="preserve">“Contract” </w:t>
      </w:r>
      <w:r>
        <w:rPr>
          <w:rFonts w:ascii="Times New Roman" w:cs="Times New Roman" w:eastAsia="Times New Roman" w:hAnsi="Times New Roman"/>
          <w:sz w:val="22"/>
          <w:szCs w:val="22"/>
          <w:color w:val="auto"/>
        </w:rPr>
        <w:t>-- any legally binding written or oral arrangement, including any contract, agreement,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lease, sublease, security agreement, deed, undertaking, joint venture, understanding, concession, purchase or sale order, license, permits, instrument, indenture, note, bond, loan, instrument, commitment, conditional sales contract, or mortgage (including any amendment, extension, renewal, guarantee or other supplement with respect thereto) or obligation to which the Party in question is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871855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40" w:right="719" w:bottom="1440" w:gutter="0" w:footer="0" w:header="0"/>
        </w:sectPr>
      </w:pPr>
    </w:p>
    <w:bookmarkStart w:id="55" w:name="page56"/>
    <w:bookmarkEnd w:id="55"/>
    <w:p>
      <w:pPr>
        <w:spacing w:after="0" w:line="179" w:lineRule="exact"/>
        <w:rPr>
          <w:sz w:val="20"/>
          <w:szCs w:val="20"/>
          <w:color w:val="auto"/>
        </w:rPr>
      </w:pPr>
    </w:p>
    <w:p>
      <w:pPr>
        <w:jc w:val="both"/>
        <w:ind w:left="380"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“Daily VWAP” </w:t>
      </w:r>
      <w:r>
        <w:rPr>
          <w:rFonts w:ascii="Times New Roman" w:cs="Times New Roman" w:eastAsia="Times New Roman" w:hAnsi="Times New Roman"/>
          <w:sz w:val="22"/>
          <w:szCs w:val="22"/>
          <w:color w:val="auto"/>
        </w:rPr>
        <w:t>-- means for any VWAP Trading Day, the volume-weighted average share price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Shares as displayed under the heading “Bloomberg VWAP” on Bloomberg in respect of the period from the scheduled open of trading on the NASDAQ Stock Market for the RZLV Shares to the scheduled close of trading of the primary trading session on such VWAP Trading Day. The Daily VWAP will be determined without regard to after-hours trading or any other trading outside of the regular trading session trading hours</w:t>
      </w:r>
      <w:r>
        <w:rPr>
          <w:rFonts w:ascii="Times New Roman" w:cs="Times New Roman" w:eastAsia="Times New Roman" w:hAnsi="Times New Roman"/>
          <w:sz w:val="22"/>
          <w:szCs w:val="22"/>
          <w:b w:val="1"/>
          <w:bCs w:val="1"/>
          <w:color w:val="auto"/>
        </w:rPr>
        <w:t>;</w:t>
      </w:r>
    </w:p>
    <w:p>
      <w:pPr>
        <w:spacing w:after="0" w:line="1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“Damages” </w:t>
      </w:r>
      <w:r>
        <w:rPr>
          <w:rFonts w:ascii="Times New Roman" w:cs="Times New Roman" w:eastAsia="Times New Roman" w:hAnsi="Times New Roman"/>
          <w:sz w:val="22"/>
          <w:szCs w:val="22"/>
          <w:color w:val="auto"/>
        </w:rPr>
        <w:t>-- as defined in Section 10.2.</w:t>
      </w:r>
    </w:p>
    <w:p>
      <w:pPr>
        <w:spacing w:after="0" w:line="206" w:lineRule="exact"/>
        <w:rPr>
          <w:sz w:val="20"/>
          <w:szCs w:val="20"/>
          <w:color w:val="auto"/>
        </w:rPr>
      </w:pPr>
    </w:p>
    <w:p>
      <w:pPr>
        <w:jc w:val="both"/>
        <w:ind w:left="380"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“Encumbrance” </w:t>
      </w:r>
      <w:r>
        <w:rPr>
          <w:rFonts w:ascii="Times New Roman" w:cs="Times New Roman" w:eastAsia="Times New Roman" w:hAnsi="Times New Roman"/>
          <w:sz w:val="22"/>
          <w:szCs w:val="22"/>
          <w:color w:val="auto"/>
        </w:rPr>
        <w:t>-- any charge, claim, community property interest, condition, equitable interest,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lien, option, pledge, security interest, right of first refusal, or restriction of any kind, including any restriction on use, voting, transfer, receipt of income, or exercise of any other attribute of ownership.</w:t>
      </w:r>
    </w:p>
    <w:p>
      <w:pPr>
        <w:spacing w:after="0" w:line="164" w:lineRule="exact"/>
        <w:rPr>
          <w:sz w:val="20"/>
          <w:szCs w:val="20"/>
          <w:color w:val="auto"/>
        </w:rPr>
      </w:pPr>
    </w:p>
    <w:p>
      <w:pPr>
        <w:jc w:val="both"/>
        <w:ind w:left="380"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“Fairly Disclosed” </w:t>
      </w:r>
      <w:r>
        <w:rPr>
          <w:rFonts w:ascii="Times New Roman" w:cs="Times New Roman" w:eastAsia="Times New Roman" w:hAnsi="Times New Roman"/>
          <w:sz w:val="22"/>
          <w:szCs w:val="22"/>
          <w:color w:val="auto"/>
        </w:rPr>
        <w:t>-- shall mean a fair and not misleading disclosure of a fact or matter in this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Agreement, any Annex or Schedule hereto or in the VDR, as to enable the Purchaser upon first reading and without making any further inquiries or cross examinations of other documents to identify and accurately assess the fact or matter concerned.</w:t>
      </w:r>
    </w:p>
    <w:p>
      <w:pPr>
        <w:spacing w:after="0" w:line="17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“Fundamental Warranties” </w:t>
      </w:r>
      <w:r>
        <w:rPr>
          <w:rFonts w:ascii="Times New Roman" w:cs="Times New Roman" w:eastAsia="Times New Roman" w:hAnsi="Times New Roman"/>
          <w:sz w:val="21"/>
          <w:szCs w:val="21"/>
          <w:color w:val="auto"/>
        </w:rPr>
        <w:t>-- means the warranties provided in Sections 6.2, 6.3, 6.6 and 6.19(b).</w:t>
      </w:r>
    </w:p>
    <w:p>
      <w:pPr>
        <w:spacing w:after="0" w:line="218" w:lineRule="exact"/>
        <w:rPr>
          <w:sz w:val="20"/>
          <w:szCs w:val="20"/>
          <w:color w:val="auto"/>
        </w:rPr>
      </w:pPr>
    </w:p>
    <w:p>
      <w:pPr>
        <w:jc w:val="both"/>
        <w:ind w:left="38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“GAAP” </w:t>
      </w:r>
      <w:r>
        <w:rPr>
          <w:rFonts w:ascii="Times New Roman" w:cs="Times New Roman" w:eastAsia="Times New Roman" w:hAnsi="Times New Roman"/>
          <w:sz w:val="22"/>
          <w:szCs w:val="22"/>
          <w:color w:val="auto"/>
        </w:rPr>
        <w:t>-- generally accepted accounting standards in Switzerland pursuant to the Swiss Code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Obligations.</w:t>
      </w:r>
    </w:p>
    <w:p>
      <w:pPr>
        <w:spacing w:after="0" w:line="145" w:lineRule="exact"/>
        <w:rPr>
          <w:sz w:val="20"/>
          <w:szCs w:val="20"/>
          <w:color w:val="auto"/>
        </w:rPr>
      </w:pPr>
    </w:p>
    <w:p>
      <w:pPr>
        <w:jc w:val="both"/>
        <w:ind w:left="380"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“Governmental Authorization” </w:t>
      </w:r>
      <w:r>
        <w:rPr>
          <w:rFonts w:ascii="Times New Roman" w:cs="Times New Roman" w:eastAsia="Times New Roman" w:hAnsi="Times New Roman"/>
          <w:sz w:val="22"/>
          <w:szCs w:val="22"/>
          <w:color w:val="auto"/>
        </w:rPr>
        <w:t>-- any approval, consent, license, permit, waiver, or other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authorization issued, granted, given, or otherwise made available by or under the authority of any Governmental Body or pursuant to any Legal Requirement.</w:t>
      </w:r>
    </w:p>
    <w:p>
      <w:pPr>
        <w:spacing w:after="0" w:line="164" w:lineRule="exact"/>
        <w:rPr>
          <w:sz w:val="20"/>
          <w:szCs w:val="20"/>
          <w:color w:val="auto"/>
        </w:rPr>
      </w:pPr>
    </w:p>
    <w:p>
      <w:pPr>
        <w:jc w:val="both"/>
        <w:ind w:left="380"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 xml:space="preserve">“Governmental Body” </w:t>
      </w:r>
      <w:r>
        <w:rPr>
          <w:rFonts w:ascii="Times New Roman" w:cs="Times New Roman" w:eastAsia="Times New Roman" w:hAnsi="Times New Roman"/>
          <w:sz w:val="22"/>
          <w:szCs w:val="22"/>
          <w:color w:val="auto"/>
        </w:rPr>
        <w:t>-- any nation or government, any state, municipality or other political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subdivision thereof and any entity, body, agency, commission, regulator, arbitral body or court, whether domestic, foreign or multinational, exercising executive, legislative, judicial, regulatory, arbitral or administrative functions of or pertaining to government and any executive official thereof or any other responsible for the authorisation, regulation, licensing and/or supervision of any Person.</w:t>
      </w:r>
    </w:p>
    <w:p>
      <w:pPr>
        <w:spacing w:after="0" w:line="171" w:lineRule="exact"/>
        <w:rPr>
          <w:sz w:val="20"/>
          <w:szCs w:val="20"/>
          <w:color w:val="auto"/>
        </w:rPr>
      </w:pPr>
    </w:p>
    <w:p>
      <w:pPr>
        <w:jc w:val="both"/>
        <w:ind w:left="380"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“Green Trident” </w:t>
      </w:r>
      <w:r>
        <w:rPr>
          <w:rFonts w:ascii="Times New Roman" w:cs="Times New Roman" w:eastAsia="Times New Roman" w:hAnsi="Times New Roman"/>
          <w:sz w:val="22"/>
          <w:szCs w:val="22"/>
          <w:color w:val="auto"/>
        </w:rPr>
        <w:t>-- means Green Trident FZ-LLC, a limited liability company with registration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number VUPR1118 and with its registered office address at Compass building - Al Hulaila, AL Hulaila Industrial Zone-FZ, Ras Al Khaimah, United Arab Emirates.</w:t>
      </w:r>
    </w:p>
    <w:p>
      <w:pPr>
        <w:spacing w:after="0" w:line="1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“GT Service Agreement” </w:t>
      </w:r>
      <w:r>
        <w:rPr>
          <w:rFonts w:ascii="Times New Roman" w:cs="Times New Roman" w:eastAsia="Times New Roman" w:hAnsi="Times New Roman"/>
          <w:sz w:val="22"/>
          <w:szCs w:val="22"/>
          <w:color w:val="auto"/>
        </w:rPr>
        <w:t>-- as defined in Section 4.3(a)(vi)(4).</w:t>
      </w:r>
    </w:p>
    <w:p>
      <w:pPr>
        <w:spacing w:after="0" w:line="206" w:lineRule="exact"/>
        <w:rPr>
          <w:sz w:val="20"/>
          <w:szCs w:val="20"/>
          <w:color w:val="auto"/>
        </w:rPr>
      </w:pPr>
    </w:p>
    <w:p>
      <w:pPr>
        <w:jc w:val="both"/>
        <w:ind w:left="380"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“Initial VWAP" </w:t>
      </w:r>
      <w:r>
        <w:rPr>
          <w:rFonts w:ascii="Times New Roman" w:cs="Times New Roman" w:eastAsia="Times New Roman" w:hAnsi="Times New Roman"/>
          <w:sz w:val="22"/>
          <w:szCs w:val="22"/>
          <w:color w:val="auto"/>
        </w:rPr>
        <w:t>-- means the average of the Daily VWAPs for each VWAP Trading Day in the 5</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VWAP Trading Days ending on and including the VWAP Trading Day immediately prior to the date of this Agreement.</w:t>
      </w:r>
    </w:p>
    <w:p>
      <w:pPr>
        <w:spacing w:after="0" w:line="1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“Intellectual Property Assets” </w:t>
      </w:r>
      <w:r>
        <w:rPr>
          <w:rFonts w:ascii="Times New Roman" w:cs="Times New Roman" w:eastAsia="Times New Roman" w:hAnsi="Times New Roman"/>
          <w:sz w:val="22"/>
          <w:szCs w:val="22"/>
          <w:color w:val="auto"/>
        </w:rPr>
        <w:t>-- as defined in Section 6.23.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893445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40" w:right="719" w:bottom="1440" w:gutter="0" w:footer="0" w:header="0"/>
        </w:sectPr>
      </w:pPr>
    </w:p>
    <w:bookmarkStart w:id="56" w:name="page57"/>
    <w:bookmarkEnd w:id="56"/>
    <w:p>
      <w:pPr>
        <w:spacing w:after="0" w:line="179" w:lineRule="exact"/>
        <w:rPr>
          <w:sz w:val="20"/>
          <w:szCs w:val="20"/>
          <w:color w:val="auto"/>
        </w:rPr>
      </w:pPr>
    </w:p>
    <w:p>
      <w:pPr>
        <w:jc w:val="both"/>
        <w:ind w:left="38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“Knowledge of Buyer” </w:t>
      </w:r>
      <w:r>
        <w:rPr>
          <w:rFonts w:ascii="Times New Roman" w:cs="Times New Roman" w:eastAsia="Times New Roman" w:hAnsi="Times New Roman"/>
          <w:sz w:val="22"/>
          <w:szCs w:val="22"/>
          <w:color w:val="auto"/>
        </w:rPr>
        <w:t>-- the actual knowledge of any officer or director of the Buyer, subject to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duty of reasonable inquiry.</w:t>
      </w:r>
    </w:p>
    <w:p>
      <w:pPr>
        <w:spacing w:after="0" w:line="321" w:lineRule="exact"/>
        <w:rPr>
          <w:sz w:val="20"/>
          <w:szCs w:val="20"/>
          <w:color w:val="auto"/>
        </w:rPr>
      </w:pPr>
    </w:p>
    <w:p>
      <w:pPr>
        <w:jc w:val="both"/>
        <w:ind w:left="38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“Knowledge of the Seller” </w:t>
      </w:r>
      <w:r>
        <w:rPr>
          <w:rFonts w:ascii="Times New Roman" w:cs="Times New Roman" w:eastAsia="Times New Roman" w:hAnsi="Times New Roman"/>
          <w:sz w:val="22"/>
          <w:szCs w:val="22"/>
          <w:color w:val="auto"/>
        </w:rPr>
        <w:t>-- the actual knowledge of each of the Seller, subject to a duty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reasonable inquiry.</w:t>
      </w:r>
    </w:p>
    <w:p>
      <w:pPr>
        <w:spacing w:after="0" w:line="145" w:lineRule="exact"/>
        <w:rPr>
          <w:sz w:val="20"/>
          <w:szCs w:val="20"/>
          <w:color w:val="auto"/>
        </w:rPr>
      </w:pPr>
    </w:p>
    <w:p>
      <w:pPr>
        <w:jc w:val="both"/>
        <w:ind w:left="380"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“Legal Requirement” </w:t>
      </w:r>
      <w:r>
        <w:rPr>
          <w:rFonts w:ascii="Times New Roman" w:cs="Times New Roman" w:eastAsia="Times New Roman" w:hAnsi="Times New Roman"/>
          <w:sz w:val="22"/>
          <w:szCs w:val="22"/>
          <w:color w:val="auto"/>
        </w:rPr>
        <w:t>-- means the requirements of: (i) any federal, state, local, municipal, foreign,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international, multinational, or other administrative order, constitution, law, ordinance, principle of common law, regulation, statute, or treaty; (ii) Governmental Authorizations; and (iii) orders, decisions, directions, injunctions, judgments, awards and decrees of any Governmental Body.</w:t>
      </w:r>
    </w:p>
    <w:p>
      <w:pPr>
        <w:spacing w:after="0" w:line="172" w:lineRule="exact"/>
        <w:rPr>
          <w:sz w:val="20"/>
          <w:szCs w:val="20"/>
          <w:color w:val="auto"/>
        </w:rPr>
      </w:pPr>
    </w:p>
    <w:p>
      <w:pPr>
        <w:jc w:val="both"/>
        <w:ind w:left="380"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“Lock Up Agreement(s)” </w:t>
      </w:r>
      <w:r>
        <w:rPr>
          <w:rFonts w:ascii="Times New Roman" w:cs="Times New Roman" w:eastAsia="Times New Roman" w:hAnsi="Times New Roman"/>
          <w:sz w:val="22"/>
          <w:szCs w:val="22"/>
          <w:color w:val="auto"/>
        </w:rPr>
        <w:t>– means the lock up agreement between the Seller and the Buyer in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agreed form as set out in Appendix 4.3c and the lock up agreement between the Seller and Green Trident in the agreed form as set out in Appendix 4.3d.</w:t>
      </w:r>
    </w:p>
    <w:p>
      <w:pPr>
        <w:spacing w:after="0" w:line="1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“Management” </w:t>
      </w:r>
      <w:r>
        <w:rPr>
          <w:rFonts w:ascii="Times New Roman" w:cs="Times New Roman" w:eastAsia="Times New Roman" w:hAnsi="Times New Roman"/>
          <w:sz w:val="22"/>
          <w:szCs w:val="22"/>
          <w:color w:val="auto"/>
        </w:rPr>
        <w:t>-- means the managing director(s) of the Company.</w:t>
      </w:r>
    </w:p>
    <w:p>
      <w:pPr>
        <w:spacing w:after="0" w:line="206" w:lineRule="exact"/>
        <w:rPr>
          <w:sz w:val="20"/>
          <w:szCs w:val="20"/>
          <w:color w:val="auto"/>
        </w:rPr>
      </w:pPr>
    </w:p>
    <w:p>
      <w:pPr>
        <w:jc w:val="both"/>
        <w:ind w:left="380"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Material Claim</w:t>
      </w:r>
      <w:r>
        <w:rPr>
          <w:rFonts w:ascii="Times New Roman" w:cs="Times New Roman" w:eastAsia="Times New Roman" w:hAnsi="Times New Roman"/>
          <w:sz w:val="22"/>
          <w:szCs w:val="22"/>
          <w:color w:val="auto"/>
        </w:rPr>
        <w:t>” -- means any claim for losses arising out of a breach of the representations and warranties of the Seller set out in Section 6, but only to the extent that the amount of such claim exceeds USD 500,000.</w:t>
      </w:r>
    </w:p>
    <w:p>
      <w:pPr>
        <w:spacing w:after="0" w:line="1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“Material Adverse Effect” </w:t>
      </w:r>
      <w:r>
        <w:rPr>
          <w:rFonts w:ascii="Times New Roman" w:cs="Times New Roman" w:eastAsia="Times New Roman" w:hAnsi="Times New Roman"/>
          <w:sz w:val="22"/>
          <w:szCs w:val="22"/>
          <w:color w:val="auto"/>
        </w:rPr>
        <w:t>-- any event, occurrence, fact, condition, development or change that:</w:t>
      </w:r>
    </w:p>
    <w:p>
      <w:pPr>
        <w:spacing w:after="0" w:line="20" w:lineRule="exact"/>
        <w:rPr>
          <w:sz w:val="20"/>
          <w:szCs w:val="20"/>
          <w:color w:val="auto"/>
        </w:rPr>
      </w:pPr>
    </w:p>
    <w:p>
      <w:pPr>
        <w:jc w:val="both"/>
        <w:ind w:left="380" w:firstLine="5"/>
        <w:spacing w:after="0" w:line="232" w:lineRule="auto"/>
        <w:tabs>
          <w:tab w:leader="none" w:pos="64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had, individually or in the aggregate, an effect that is materially adverse to the business or assets of the Company, the value of the Company Shares or the results of operations, or condition (financial or otherwise) of the Company; or (ii) prevents or impairs the ability of any of the Seller to perform its or their obligations under this Agreement or to consummate the transactions contemplated hereby. For the avoidance of doubt, fluctuations in the value of the SQD Token, including a substantial or complete loss of value, shall not be deemed a Material Adverse Effect, except to the extent such fluctuations directly result from any action taken by the Seller, it being understood that any sale of SQD Tokens by the Seller shall not be deemed such action.</w:t>
      </w:r>
    </w:p>
    <w:p>
      <w:pPr>
        <w:spacing w:after="0" w:line="17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MICAR</w:t>
      </w:r>
      <w:r>
        <w:rPr>
          <w:rFonts w:ascii="Times New Roman" w:cs="Times New Roman" w:eastAsia="Times New Roman" w:hAnsi="Times New Roman"/>
          <w:sz w:val="22"/>
          <w:szCs w:val="22"/>
          <w:color w:val="auto"/>
        </w:rPr>
        <w:t>” -- as defined in Section 7.5.</w:t>
      </w:r>
    </w:p>
    <w:p>
      <w:pPr>
        <w:spacing w:after="0" w:line="206" w:lineRule="exact"/>
        <w:rPr>
          <w:sz w:val="20"/>
          <w:szCs w:val="20"/>
          <w:color w:val="auto"/>
        </w:rPr>
      </w:pPr>
    </w:p>
    <w:p>
      <w:pPr>
        <w:jc w:val="both"/>
        <w:ind w:left="380"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One Year VWAP</w:t>
      </w:r>
      <w:r>
        <w:rPr>
          <w:rFonts w:ascii="Times New Roman" w:cs="Times New Roman" w:eastAsia="Times New Roman" w:hAnsi="Times New Roman"/>
          <w:sz w:val="22"/>
          <w:szCs w:val="22"/>
          <w:color w:val="auto"/>
        </w:rPr>
        <w:t>” -- means the average of the Daily VWAPs for each VWAP Trading Day in the 5 VWAP Trading Days ending on and including the VWAP Trading Day immediately prior to the first anniversary of this Agreement.</w:t>
      </w:r>
    </w:p>
    <w:p>
      <w:pPr>
        <w:spacing w:after="0" w:line="164" w:lineRule="exact"/>
        <w:rPr>
          <w:sz w:val="20"/>
          <w:szCs w:val="20"/>
          <w:color w:val="auto"/>
        </w:rPr>
      </w:pPr>
    </w:p>
    <w:p>
      <w:pPr>
        <w:jc w:val="both"/>
        <w:ind w:left="380"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“Order” </w:t>
      </w:r>
      <w:r>
        <w:rPr>
          <w:rFonts w:ascii="Times New Roman" w:cs="Times New Roman" w:eastAsia="Times New Roman" w:hAnsi="Times New Roman"/>
          <w:sz w:val="22"/>
          <w:szCs w:val="22"/>
          <w:color w:val="auto"/>
        </w:rPr>
        <w:t>-- any award, decision, injunction, judgment, order, ruling, subpoena, or verdict entered,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issued, made, or rendered by any court, administrative agency, or other Governmental Body or by any arbitrator.</w:t>
      </w:r>
    </w:p>
    <w:p>
      <w:pPr>
        <w:spacing w:after="0" w:line="164" w:lineRule="exact"/>
        <w:rPr>
          <w:sz w:val="20"/>
          <w:szCs w:val="20"/>
          <w:color w:val="auto"/>
        </w:rPr>
      </w:pPr>
    </w:p>
    <w:p>
      <w:pPr>
        <w:jc w:val="both"/>
        <w:ind w:left="38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“Ordinary Course of Business” </w:t>
      </w:r>
      <w:r>
        <w:rPr>
          <w:rFonts w:ascii="Times New Roman" w:cs="Times New Roman" w:eastAsia="Times New Roman" w:hAnsi="Times New Roman"/>
          <w:sz w:val="22"/>
          <w:szCs w:val="22"/>
          <w:color w:val="auto"/>
        </w:rPr>
        <w:t>-- in the ordinary course of business of the Company,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applicable, consistent with past practice (including with respect to frequency and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855345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40" w:right="719" w:bottom="1440" w:gutter="0" w:footer="0" w:header="0"/>
        </w:sectPr>
      </w:pPr>
    </w:p>
    <w:bookmarkStart w:id="57" w:name="page58"/>
    <w:bookmarkEnd w:id="57"/>
    <w:p>
      <w:pPr>
        <w:spacing w:after="0" w:line="179" w:lineRule="exact"/>
        <w:rPr>
          <w:sz w:val="20"/>
          <w:szCs w:val="20"/>
          <w:color w:val="auto"/>
        </w:rPr>
      </w:pPr>
    </w:p>
    <w:p>
      <w:pPr>
        <w:jc w:val="both"/>
        <w:ind w:left="380"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“Organizational Documents” </w:t>
      </w:r>
      <w:r>
        <w:rPr>
          <w:rFonts w:ascii="Times New Roman" w:cs="Times New Roman" w:eastAsia="Times New Roman" w:hAnsi="Times New Roman"/>
          <w:sz w:val="22"/>
          <w:szCs w:val="22"/>
          <w:color w:val="auto"/>
        </w:rPr>
        <w:t>-- (a) the articles of association, the deed of incorporation,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organizational rules and/or the constitution of a corporation or limited liability company (as applicable); and (b) any amendment to any of the foregoing.</w:t>
      </w:r>
    </w:p>
    <w:p>
      <w:pPr>
        <w:spacing w:after="0" w:line="339" w:lineRule="exact"/>
        <w:rPr>
          <w:sz w:val="20"/>
          <w:szCs w:val="20"/>
          <w:color w:val="auto"/>
        </w:rPr>
      </w:pPr>
    </w:p>
    <w:p>
      <w:pPr>
        <w:jc w:val="both"/>
        <w:ind w:left="380"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“Organizational Rules” </w:t>
      </w:r>
      <w:r>
        <w:rPr>
          <w:rFonts w:ascii="Times New Roman" w:cs="Times New Roman" w:eastAsia="Times New Roman" w:hAnsi="Times New Roman"/>
          <w:sz w:val="22"/>
          <w:szCs w:val="22"/>
          <w:color w:val="auto"/>
        </w:rPr>
        <w:t>-- means the organization rules of the Company in the agreed form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attached in Annex 4.3f; and as adopted by the Company in accordance with clause 4.3(a)(v)(4), and as amended from time to time.</w:t>
      </w:r>
    </w:p>
    <w:p>
      <w:pPr>
        <w:spacing w:after="0" w:line="1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“Parties” </w:t>
      </w:r>
      <w:r>
        <w:rPr>
          <w:rFonts w:ascii="Times New Roman" w:cs="Times New Roman" w:eastAsia="Times New Roman" w:hAnsi="Times New Roman"/>
          <w:sz w:val="22"/>
          <w:szCs w:val="22"/>
          <w:color w:val="auto"/>
        </w:rPr>
        <w:t>-- each of the Buyer and the Seller.</w:t>
      </w:r>
    </w:p>
    <w:p>
      <w:pPr>
        <w:spacing w:after="0" w:line="20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“Person” </w:t>
      </w:r>
      <w:r>
        <w:rPr>
          <w:rFonts w:ascii="Times New Roman" w:cs="Times New Roman" w:eastAsia="Times New Roman" w:hAnsi="Times New Roman"/>
          <w:sz w:val="22"/>
          <w:szCs w:val="22"/>
          <w:color w:val="auto"/>
        </w:rPr>
        <w:t>-- any individual, corporation, limited liability company, partnership, trust or other</w:t>
      </w:r>
    </w:p>
    <w:p>
      <w:pPr>
        <w:spacing w:after="0" w:line="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entity.</w:t>
      </w:r>
    </w:p>
    <w:p>
      <w:pPr>
        <w:spacing w:after="0" w:line="176" w:lineRule="exact"/>
        <w:rPr>
          <w:sz w:val="20"/>
          <w:szCs w:val="20"/>
          <w:color w:val="auto"/>
        </w:rPr>
      </w:pPr>
    </w:p>
    <w:p>
      <w:pPr>
        <w:jc w:val="both"/>
        <w:ind w:left="380"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“Proceeding”</w:t>
      </w:r>
      <w:r>
        <w:rPr>
          <w:rFonts w:ascii="Times New Roman" w:cs="Times New Roman" w:eastAsia="Times New Roman" w:hAnsi="Times New Roman"/>
          <w:sz w:val="22"/>
          <w:szCs w:val="22"/>
          <w:color w:val="auto"/>
        </w:rPr>
        <w:t>-- any action, arbitration, audit, hearing, investigation (whether by a regulator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otherwise), enforcement action, litigation, or suit (whether civil, criminal, administrative, investigative, or informal) commenced, brought, conducted, or heard by or before, or otherwise involving, any Governmental Body or arbitrator.</w:t>
      </w:r>
    </w:p>
    <w:p>
      <w:pPr>
        <w:spacing w:after="0" w:line="172" w:lineRule="exact"/>
        <w:rPr>
          <w:sz w:val="20"/>
          <w:szCs w:val="20"/>
          <w:color w:val="auto"/>
        </w:rPr>
      </w:pPr>
    </w:p>
    <w:p>
      <w:pPr>
        <w:jc w:val="both"/>
        <w:ind w:left="380"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Quotaholders’ Meeting</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the meeting of the quotaholders of the Company or a written (circular)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resolution of the quotaholders.</w:t>
      </w:r>
    </w:p>
    <w:p>
      <w:pPr>
        <w:spacing w:after="0" w:line="145" w:lineRule="exact"/>
        <w:rPr>
          <w:sz w:val="20"/>
          <w:szCs w:val="20"/>
          <w:color w:val="auto"/>
        </w:rPr>
      </w:pPr>
    </w:p>
    <w:p>
      <w:pPr>
        <w:jc w:val="both"/>
        <w:ind w:left="38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“Regulatory and Compliance Protocols” </w:t>
      </w:r>
      <w:r>
        <w:rPr>
          <w:rFonts w:ascii="Times New Roman" w:cs="Times New Roman" w:eastAsia="Times New Roman" w:hAnsi="Times New Roman"/>
          <w:sz w:val="22"/>
          <w:szCs w:val="22"/>
          <w:color w:val="auto"/>
        </w:rPr>
        <w:t>-- means the regulatory and compliance protocols in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agreed form.</w:t>
      </w:r>
    </w:p>
    <w:p>
      <w:pPr>
        <w:spacing w:after="0" w:line="1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“Related Person” </w:t>
      </w:r>
      <w:r>
        <w:rPr>
          <w:rFonts w:ascii="Times New Roman" w:cs="Times New Roman" w:eastAsia="Times New Roman" w:hAnsi="Times New Roman"/>
          <w:sz w:val="22"/>
          <w:szCs w:val="22"/>
          <w:color w:val="auto"/>
        </w:rPr>
        <w:t>-- with respect to a particular individual:</w:t>
      </w:r>
    </w:p>
    <w:p>
      <w:pPr>
        <w:spacing w:after="0" w:line="212" w:lineRule="exact"/>
        <w:rPr>
          <w:sz w:val="20"/>
          <w:szCs w:val="20"/>
          <w:color w:val="auto"/>
        </w:rPr>
      </w:pPr>
    </w:p>
    <w:p>
      <w:pPr>
        <w:ind w:left="2640" w:hanging="757"/>
        <w:spacing w:after="0"/>
        <w:tabs>
          <w:tab w:leader="none" w:pos="264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each other member of such individual’s Family;</w:t>
      </w:r>
    </w:p>
    <w:p>
      <w:pPr>
        <w:spacing w:after="0" w:line="206" w:lineRule="exact"/>
        <w:rPr>
          <w:rFonts w:ascii="Times New Roman" w:cs="Times New Roman" w:eastAsia="Times New Roman" w:hAnsi="Times New Roman"/>
          <w:sz w:val="22"/>
          <w:szCs w:val="22"/>
          <w:b w:val="1"/>
          <w:bCs w:val="1"/>
          <w:color w:val="auto"/>
        </w:rPr>
      </w:pPr>
    </w:p>
    <w:p>
      <w:pPr>
        <w:ind w:left="380" w:right="40" w:firstLine="1503"/>
        <w:spacing w:after="0" w:line="258" w:lineRule="auto"/>
        <w:tabs>
          <w:tab w:leader="none" w:pos="2425"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Person that is directly or indirectly controlled by such individual or one or more members of such individual’s Family;</w:t>
      </w:r>
    </w:p>
    <w:p>
      <w:pPr>
        <w:spacing w:after="0" w:line="158" w:lineRule="exact"/>
        <w:rPr>
          <w:rFonts w:ascii="Times New Roman" w:cs="Times New Roman" w:eastAsia="Times New Roman" w:hAnsi="Times New Roman"/>
          <w:sz w:val="22"/>
          <w:szCs w:val="22"/>
          <w:b w:val="1"/>
          <w:bCs w:val="1"/>
          <w:color w:val="auto"/>
        </w:rPr>
      </w:pPr>
    </w:p>
    <w:p>
      <w:pPr>
        <w:ind w:left="380" w:right="220" w:firstLine="1503"/>
        <w:spacing w:after="0" w:line="258" w:lineRule="auto"/>
        <w:tabs>
          <w:tab w:leader="none" w:pos="2425"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Person in which such individual or members of such individual’s Family hold (individually or in the aggregate) a Material Interest; and</w:t>
      </w:r>
    </w:p>
    <w:p>
      <w:pPr>
        <w:spacing w:after="0" w:line="158" w:lineRule="exact"/>
        <w:rPr>
          <w:rFonts w:ascii="Times New Roman" w:cs="Times New Roman" w:eastAsia="Times New Roman" w:hAnsi="Times New Roman"/>
          <w:sz w:val="22"/>
          <w:szCs w:val="22"/>
          <w:b w:val="1"/>
          <w:bCs w:val="1"/>
          <w:color w:val="auto"/>
        </w:rPr>
      </w:pPr>
    </w:p>
    <w:p>
      <w:pPr>
        <w:ind w:left="380" w:right="200" w:firstLine="1503"/>
        <w:spacing w:after="0" w:line="258" w:lineRule="auto"/>
        <w:tabs>
          <w:tab w:leader="none" w:pos="2425"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Person with respect to which such individual or one or more members of such individual’s Family serves as a director or officer (or in a similar capacity).</w:t>
      </w:r>
    </w:p>
    <w:p>
      <w:pPr>
        <w:spacing w:after="0" w:line="1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With respect to a specified Person other than an individual:</w:t>
      </w:r>
    </w:p>
    <w:p>
      <w:pPr>
        <w:spacing w:after="0" w:line="206" w:lineRule="exact"/>
        <w:rPr>
          <w:sz w:val="20"/>
          <w:szCs w:val="20"/>
          <w:color w:val="auto"/>
        </w:rPr>
      </w:pPr>
    </w:p>
    <w:p>
      <w:pPr>
        <w:ind w:left="380" w:right="60" w:firstLine="1503"/>
        <w:spacing w:after="0" w:line="258" w:lineRule="auto"/>
        <w:tabs>
          <w:tab w:leader="none" w:pos="2425"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Person that directly or indirectly controls, is directly or indirectly controlled by, or is directly or indirectly under common control with such specified Person;</w:t>
      </w:r>
    </w:p>
    <w:p>
      <w:pPr>
        <w:spacing w:after="0" w:line="158" w:lineRule="exact"/>
        <w:rPr>
          <w:rFonts w:ascii="Times New Roman" w:cs="Times New Roman" w:eastAsia="Times New Roman" w:hAnsi="Times New Roman"/>
          <w:sz w:val="22"/>
          <w:szCs w:val="22"/>
          <w:b w:val="1"/>
          <w:bCs w:val="1"/>
          <w:color w:val="auto"/>
        </w:rPr>
      </w:pPr>
    </w:p>
    <w:p>
      <w:pPr>
        <w:ind w:left="2640" w:hanging="757"/>
        <w:spacing w:after="0"/>
        <w:tabs>
          <w:tab w:leader="none" w:pos="264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Person that holds a Material Interest in such specified Person;</w:t>
      </w:r>
    </w:p>
    <w:p>
      <w:pPr>
        <w:spacing w:after="0" w:line="206" w:lineRule="exact"/>
        <w:rPr>
          <w:rFonts w:ascii="Times New Roman" w:cs="Times New Roman" w:eastAsia="Times New Roman" w:hAnsi="Times New Roman"/>
          <w:sz w:val="22"/>
          <w:szCs w:val="22"/>
          <w:b w:val="1"/>
          <w:bCs w:val="1"/>
          <w:color w:val="auto"/>
        </w:rPr>
      </w:pPr>
    </w:p>
    <w:p>
      <w:pPr>
        <w:ind w:left="2440" w:hanging="557"/>
        <w:spacing w:after="0"/>
        <w:tabs>
          <w:tab w:leader="none" w:pos="244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each Person that serves as a director or officer of such specified Person (or in a</w:t>
      </w:r>
    </w:p>
    <w:p>
      <w:pPr>
        <w:spacing w:after="0" w:line="14" w:lineRule="exact"/>
        <w:rPr>
          <w:rFonts w:ascii="Times New Roman" w:cs="Times New Roman" w:eastAsia="Times New Roman" w:hAnsi="Times New Roman"/>
          <w:sz w:val="22"/>
          <w:szCs w:val="22"/>
          <w:b w:val="1"/>
          <w:bCs w:val="1"/>
          <w:color w:val="auto"/>
        </w:rPr>
      </w:pPr>
    </w:p>
    <w:p>
      <w:pPr>
        <w:ind w:left="3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similar capacity);</w:t>
      </w:r>
    </w:p>
    <w:p>
      <w:pPr>
        <w:spacing w:after="0" w:line="182" w:lineRule="exact"/>
        <w:rPr>
          <w:rFonts w:ascii="Times New Roman" w:cs="Times New Roman" w:eastAsia="Times New Roman" w:hAnsi="Times New Roman"/>
          <w:sz w:val="22"/>
          <w:szCs w:val="22"/>
          <w:b w:val="1"/>
          <w:bCs w:val="1"/>
          <w:color w:val="auto"/>
        </w:rPr>
      </w:pPr>
    </w:p>
    <w:p>
      <w:pPr>
        <w:ind w:left="2640" w:hanging="757"/>
        <w:spacing w:after="0"/>
        <w:tabs>
          <w:tab w:leader="none" w:pos="264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Person in which such specified Person holds a Material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889635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40" w:right="719" w:bottom="1440" w:gutter="0" w:footer="0" w:header="0"/>
        </w:sectPr>
      </w:pPr>
    </w:p>
    <w:bookmarkStart w:id="58" w:name="page59"/>
    <w:bookmarkEnd w:id="58"/>
    <w:p>
      <w:pPr>
        <w:spacing w:after="0" w:line="185" w:lineRule="exact"/>
        <w:rPr>
          <w:sz w:val="20"/>
          <w:szCs w:val="20"/>
          <w:color w:val="auto"/>
        </w:rPr>
      </w:pPr>
    </w:p>
    <w:p>
      <w:pPr>
        <w:ind w:left="380" w:right="200" w:firstLine="1503"/>
        <w:spacing w:after="0" w:line="258" w:lineRule="auto"/>
        <w:tabs>
          <w:tab w:leader="none" w:pos="2424"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Person with respect to which such specified Person serves as a general partner or a trustee (or in a similar capacity); and</w:t>
      </w:r>
    </w:p>
    <w:p>
      <w:pPr>
        <w:spacing w:after="0" w:line="158" w:lineRule="exact"/>
        <w:rPr>
          <w:rFonts w:ascii="Times New Roman" w:cs="Times New Roman" w:eastAsia="Times New Roman" w:hAnsi="Times New Roman"/>
          <w:sz w:val="22"/>
          <w:szCs w:val="22"/>
          <w:b w:val="1"/>
          <w:bCs w:val="1"/>
          <w:color w:val="auto"/>
        </w:rPr>
      </w:pPr>
    </w:p>
    <w:p>
      <w:pPr>
        <w:ind w:left="2640" w:hanging="757"/>
        <w:spacing w:after="0"/>
        <w:tabs>
          <w:tab w:leader="none" w:pos="264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Related Person of any individual described in clause (b) or (c).</w:t>
      </w:r>
    </w:p>
    <w:p>
      <w:pPr>
        <w:spacing w:after="0" w:line="37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 purposes of this definition, (a) the “</w:t>
      </w:r>
      <w:r>
        <w:rPr>
          <w:rFonts w:ascii="Times New Roman" w:cs="Times New Roman" w:eastAsia="Times New Roman" w:hAnsi="Times New Roman"/>
          <w:sz w:val="22"/>
          <w:szCs w:val="22"/>
          <w:b w:val="1"/>
          <w:bCs w:val="1"/>
          <w:color w:val="auto"/>
        </w:rPr>
        <w:t>Family</w:t>
      </w:r>
      <w:r>
        <w:rPr>
          <w:rFonts w:ascii="Times New Roman" w:cs="Times New Roman" w:eastAsia="Times New Roman" w:hAnsi="Times New Roman"/>
          <w:sz w:val="22"/>
          <w:szCs w:val="22"/>
          <w:color w:val="auto"/>
        </w:rPr>
        <w:t>” of an individual includes (i) the individual,</w:t>
      </w:r>
    </w:p>
    <w:p>
      <w:pPr>
        <w:spacing w:after="0" w:line="18" w:lineRule="exact"/>
        <w:rPr>
          <w:sz w:val="20"/>
          <w:szCs w:val="20"/>
          <w:color w:val="auto"/>
        </w:rPr>
      </w:pPr>
    </w:p>
    <w:p>
      <w:pPr>
        <w:jc w:val="both"/>
        <w:ind w:left="380" w:firstLine="5"/>
        <w:spacing w:after="0" w:line="232" w:lineRule="auto"/>
        <w:tabs>
          <w:tab w:leader="none" w:pos="70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individual’s spouse, (iii) any other natural person who is related to the individual or the individual’s spouse within the second degree, and (iv) any other natural person who resides with such individual, and (b) “</w:t>
      </w:r>
      <w:r>
        <w:rPr>
          <w:rFonts w:ascii="Times New Roman" w:cs="Times New Roman" w:eastAsia="Times New Roman" w:hAnsi="Times New Roman"/>
          <w:sz w:val="22"/>
          <w:szCs w:val="22"/>
          <w:b w:val="1"/>
          <w:bCs w:val="1"/>
          <w:color w:val="auto"/>
        </w:rPr>
        <w:t>Material Interest</w:t>
      </w:r>
      <w:r>
        <w:rPr>
          <w:rFonts w:ascii="Times New Roman" w:cs="Times New Roman" w:eastAsia="Times New Roman" w:hAnsi="Times New Roman"/>
          <w:sz w:val="22"/>
          <w:szCs w:val="22"/>
          <w:color w:val="auto"/>
        </w:rPr>
        <w:t>” means direct or indirect beneficial ownership (as defined in Rule 13d-3 under the Securities Exchange Act of 1934) of voting securities or other voting interests representing at least 51% of the outstanding voting power of a Person or equity securities or other equity interests representing at least 51% of the outstanding equity securities or equity interests in a Person.</w:t>
      </w:r>
    </w:p>
    <w:p>
      <w:pPr>
        <w:spacing w:after="0" w:line="177" w:lineRule="exact"/>
        <w:rPr>
          <w:sz w:val="20"/>
          <w:szCs w:val="20"/>
          <w:color w:val="auto"/>
        </w:rPr>
      </w:pPr>
    </w:p>
    <w:p>
      <w:pPr>
        <w:jc w:val="both"/>
        <w:ind w:left="380"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“Representative” </w:t>
      </w:r>
      <w:r>
        <w:rPr>
          <w:rFonts w:ascii="Times New Roman" w:cs="Times New Roman" w:eastAsia="Times New Roman" w:hAnsi="Times New Roman"/>
          <w:sz w:val="22"/>
          <w:szCs w:val="22"/>
          <w:color w:val="auto"/>
        </w:rPr>
        <w:t>-- with respect to a particular Person, any director, officer, employee, agent,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consultant, advisor, or other representative of such Person, including legal counsel, accountants, and financial advisors.</w:t>
      </w:r>
    </w:p>
    <w:p>
      <w:pPr>
        <w:spacing w:after="0" w:line="1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"RZLV Shares" </w:t>
      </w:r>
      <w:r>
        <w:rPr>
          <w:rFonts w:ascii="Times New Roman" w:cs="Times New Roman" w:eastAsia="Times New Roman" w:hAnsi="Times New Roman"/>
          <w:sz w:val="22"/>
          <w:szCs w:val="22"/>
          <w:color w:val="auto"/>
        </w:rPr>
        <w:t>-- ordinary shares of £0.0001 each in the share capital of Rezolve AI PLC;</w:t>
      </w:r>
    </w:p>
    <w:p>
      <w:pPr>
        <w:spacing w:after="0" w:line="206" w:lineRule="exact"/>
        <w:rPr>
          <w:sz w:val="20"/>
          <w:szCs w:val="20"/>
          <w:color w:val="auto"/>
        </w:rPr>
      </w:pPr>
    </w:p>
    <w:p>
      <w:pPr>
        <w:jc w:val="both"/>
        <w:ind w:left="38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“Securities Act” </w:t>
      </w:r>
      <w:r>
        <w:rPr>
          <w:rFonts w:ascii="Times New Roman" w:cs="Times New Roman" w:eastAsia="Times New Roman" w:hAnsi="Times New Roman"/>
          <w:sz w:val="22"/>
          <w:szCs w:val="22"/>
          <w:color w:val="auto"/>
        </w:rPr>
        <w:t>-- the Securities Act of 1933 or any successor law, and regulations and rules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issued pursuant to that Act or any successor law.</w:t>
      </w:r>
    </w:p>
    <w:p>
      <w:pPr>
        <w:spacing w:after="0" w:line="1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“Seller” </w:t>
      </w:r>
      <w:r>
        <w:rPr>
          <w:rFonts w:ascii="Times New Roman" w:cs="Times New Roman" w:eastAsia="Times New Roman" w:hAnsi="Times New Roman"/>
          <w:sz w:val="22"/>
          <w:szCs w:val="22"/>
          <w:color w:val="auto"/>
        </w:rPr>
        <w:t>-- as defined in the first paragraph of this Agreement.</w:t>
      </w:r>
    </w:p>
    <w:p>
      <w:pPr>
        <w:spacing w:after="0" w:line="206" w:lineRule="exact"/>
        <w:rPr>
          <w:sz w:val="20"/>
          <w:szCs w:val="20"/>
          <w:color w:val="auto"/>
        </w:rPr>
      </w:pPr>
    </w:p>
    <w:p>
      <w:pPr>
        <w:jc w:val="both"/>
        <w:ind w:left="38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“Seller's Bank Account” </w:t>
      </w:r>
      <w:r>
        <w:rPr>
          <w:rFonts w:ascii="Times New Roman" w:cs="Times New Roman" w:eastAsia="Times New Roman" w:hAnsi="Times New Roman"/>
          <w:sz w:val="22"/>
          <w:szCs w:val="22"/>
          <w:color w:val="auto"/>
        </w:rPr>
        <w:t>-- means the bank account of the Marcel Fohrmann, maintained with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Zuger Kantonalbank, with IBAN CH91 0078 7785 9545 8369 0 and BIC KBZGCH22XXX.</w:t>
      </w:r>
    </w:p>
    <w:p>
      <w:pPr>
        <w:spacing w:after="0" w:line="145" w:lineRule="exact"/>
        <w:rPr>
          <w:sz w:val="20"/>
          <w:szCs w:val="20"/>
          <w:color w:val="auto"/>
        </w:rPr>
      </w:pPr>
    </w:p>
    <w:p>
      <w:pPr>
        <w:jc w:val="both"/>
        <w:ind w:left="380"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"SQD Token" </w:t>
      </w:r>
      <w:r>
        <w:rPr>
          <w:rFonts w:ascii="Times New Roman" w:cs="Times New Roman" w:eastAsia="Times New Roman" w:hAnsi="Times New Roman"/>
          <w:sz w:val="22"/>
          <w:szCs w:val="22"/>
          <w:color w:val="auto"/>
        </w:rPr>
        <w:t>-- means the native crypto-asset of the Subsquid Network deployed on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Ethereum network under the contract 0x1337420dED5ADb9980CFc35f8f2B054ea86f8aB1 and bridged to Arbitrum One.</w:t>
      </w:r>
    </w:p>
    <w:p>
      <w:pPr>
        <w:spacing w:after="0" w:line="164" w:lineRule="exact"/>
        <w:rPr>
          <w:sz w:val="20"/>
          <w:szCs w:val="20"/>
          <w:color w:val="auto"/>
        </w:rPr>
      </w:pPr>
    </w:p>
    <w:p>
      <w:pPr>
        <w:jc w:val="both"/>
        <w:ind w:left="38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"SQD White Paper" </w:t>
      </w:r>
      <w:r>
        <w:rPr>
          <w:rFonts w:ascii="Times New Roman" w:cs="Times New Roman" w:eastAsia="Times New Roman" w:hAnsi="Times New Roman"/>
          <w:sz w:val="22"/>
          <w:szCs w:val="22"/>
          <w:color w:val="auto"/>
        </w:rPr>
        <w:t>-- means the SQD Token White Paper located at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https://cdn.sqd.ai/sqd.ai_mica.pdf.</w:t>
      </w:r>
    </w:p>
    <w:p>
      <w:pPr>
        <w:spacing w:after="0" w:line="145" w:lineRule="exact"/>
        <w:rPr>
          <w:sz w:val="20"/>
          <w:szCs w:val="20"/>
          <w:color w:val="auto"/>
        </w:rPr>
      </w:pPr>
    </w:p>
    <w:p>
      <w:pPr>
        <w:jc w:val="both"/>
        <w:ind w:left="380"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“Subsidiary” </w:t>
      </w:r>
      <w:r>
        <w:rPr>
          <w:rFonts w:ascii="Times New Roman" w:cs="Times New Roman" w:eastAsia="Times New Roman" w:hAnsi="Times New Roman"/>
          <w:sz w:val="22"/>
          <w:szCs w:val="22"/>
          <w:color w:val="auto"/>
        </w:rPr>
        <w:t>-- with respect to any Person (the “</w:t>
      </w:r>
      <w:r>
        <w:rPr>
          <w:rFonts w:ascii="Times New Roman" w:cs="Times New Roman" w:eastAsia="Times New Roman" w:hAnsi="Times New Roman"/>
          <w:sz w:val="22"/>
          <w:szCs w:val="22"/>
          <w:b w:val="1"/>
          <w:bCs w:val="1"/>
          <w:color w:val="auto"/>
        </w:rPr>
        <w:t>Owner</w:t>
      </w:r>
      <w:r>
        <w:rPr>
          <w:rFonts w:ascii="Times New Roman" w:cs="Times New Roman" w:eastAsia="Times New Roman" w:hAnsi="Times New Roman"/>
          <w:sz w:val="22"/>
          <w:szCs w:val="22"/>
          <w:color w:val="auto"/>
        </w:rPr>
        <w:t>”), any corporation or other Person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which securities or other interests having the power to elect a majority of that corporation’s or other Person’s board of directors or similar governing body, or otherwise having the power to direct the business and policies of that corporation or other Person (other than securities or other interests having such power only upon the happening of a contingency that has not occurred) are held by the Owner or one or more of its Subsidiaries.</w:t>
      </w:r>
    </w:p>
    <w:p>
      <w:pPr>
        <w:spacing w:after="0" w:line="175" w:lineRule="exact"/>
        <w:rPr>
          <w:sz w:val="20"/>
          <w:szCs w:val="20"/>
          <w:color w:val="auto"/>
        </w:rPr>
      </w:pPr>
    </w:p>
    <w:p>
      <w:pPr>
        <w:jc w:val="both"/>
        <w:ind w:left="38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"Subsquid Network" </w:t>
      </w:r>
      <w:r>
        <w:rPr>
          <w:rFonts w:ascii="Times New Roman" w:cs="Times New Roman" w:eastAsia="Times New Roman" w:hAnsi="Times New Roman"/>
          <w:sz w:val="22"/>
          <w:szCs w:val="22"/>
          <w:color w:val="auto"/>
        </w:rPr>
        <w:t>-- means the distributed query engine and decentralized data lake developed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by the Company, designed to make blockchain data accessible and usable at any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855345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40" w:right="719" w:bottom="1440" w:gutter="0" w:footer="0" w:header="0"/>
        </w:sectPr>
      </w:pPr>
    </w:p>
    <w:bookmarkStart w:id="59" w:name="page60"/>
    <w:bookmarkEnd w:id="59"/>
    <w:p>
      <w:pPr>
        <w:spacing w:after="0" w:line="179" w:lineRule="exact"/>
        <w:rPr>
          <w:sz w:val="20"/>
          <w:szCs w:val="20"/>
          <w:color w:val="auto"/>
        </w:rPr>
      </w:pPr>
    </w:p>
    <w:p>
      <w:pPr>
        <w:jc w:val="both"/>
        <w:ind w:left="38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“Swiss Code of Obligations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means the Swiss Code of Obligations as of March 30, 1911,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amended from time to time.</w:t>
      </w:r>
    </w:p>
    <w:p>
      <w:pPr>
        <w:spacing w:after="0" w:line="145" w:lineRule="exact"/>
        <w:rPr>
          <w:sz w:val="20"/>
          <w:szCs w:val="20"/>
          <w:color w:val="auto"/>
        </w:rPr>
      </w:pPr>
    </w:p>
    <w:p>
      <w:pPr>
        <w:jc w:val="both"/>
        <w:ind w:left="380"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“Tax” </w:t>
      </w:r>
      <w:r>
        <w:rPr>
          <w:rFonts w:ascii="Times New Roman" w:cs="Times New Roman" w:eastAsia="Times New Roman" w:hAnsi="Times New Roman"/>
          <w:sz w:val="22"/>
          <w:szCs w:val="22"/>
          <w:color w:val="auto"/>
        </w:rPr>
        <w:t>-- any tax (including any income tax, capital gains tax, value-added tax, sales tax, property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tax, gift tax, or estate tax), levy, assessment, tariff, duty (including any customs duty), deficiency, or other fee, and any related charge or amount (including any fine, penalty, interest, or addition to tax), imposed, assessed, or collected by or under the authority of any Governmental Body or payable pursuant to any tax-sharing agreement or any other Contract relating to the sharing or payment of any such tax, levy, assessment, tariff, duty, deficiency, or fee.</w:t>
      </w:r>
    </w:p>
    <w:p>
      <w:pPr>
        <w:spacing w:after="0" w:line="175" w:lineRule="exact"/>
        <w:rPr>
          <w:sz w:val="20"/>
          <w:szCs w:val="20"/>
          <w:color w:val="auto"/>
        </w:rPr>
      </w:pPr>
    </w:p>
    <w:p>
      <w:pPr>
        <w:jc w:val="both"/>
        <w:ind w:left="380"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 xml:space="preserve">“Tax Return” </w:t>
      </w:r>
      <w:r>
        <w:rPr>
          <w:rFonts w:ascii="Times New Roman" w:cs="Times New Roman" w:eastAsia="Times New Roman" w:hAnsi="Times New Roman"/>
          <w:sz w:val="22"/>
          <w:szCs w:val="22"/>
          <w:color w:val="auto"/>
        </w:rPr>
        <w:t>-- any return (including any information return), report, statement, schedule, notice,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form, or other document or information filed with or submitted to, or required to be filed with or submitted to, any Governmental Body in connection with the determination, assessment, collection, or payment of any Tax or in connection with the administration, implementation, or enforcement of or compliance with any Legal Requirement relating to any Tax.</w:t>
      </w:r>
    </w:p>
    <w:p>
      <w:pPr>
        <w:spacing w:after="0" w:line="171" w:lineRule="exact"/>
        <w:rPr>
          <w:sz w:val="20"/>
          <w:szCs w:val="20"/>
          <w:color w:val="auto"/>
        </w:rPr>
      </w:pPr>
    </w:p>
    <w:p>
      <w:pPr>
        <w:jc w:val="both"/>
        <w:ind w:left="380"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“Tech and Product Roadmap” </w:t>
      </w:r>
      <w:r>
        <w:rPr>
          <w:rFonts w:ascii="Times New Roman" w:cs="Times New Roman" w:eastAsia="Times New Roman" w:hAnsi="Times New Roman"/>
          <w:sz w:val="22"/>
          <w:szCs w:val="22"/>
          <w:color w:val="auto"/>
        </w:rPr>
        <w:t>-- means the tech and product roadmap for the Subsquid Network</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 the form agreed in accordance with Section 4.9 and as amended with the written consent of the Seller from time to time.</w:t>
      </w:r>
    </w:p>
    <w:p>
      <w:pPr>
        <w:spacing w:after="0" w:line="164" w:lineRule="exact"/>
        <w:rPr>
          <w:sz w:val="20"/>
          <w:szCs w:val="20"/>
          <w:color w:val="auto"/>
        </w:rPr>
      </w:pPr>
    </w:p>
    <w:p>
      <w:pPr>
        <w:jc w:val="both"/>
        <w:ind w:left="380"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Two Year VWAP</w:t>
      </w:r>
      <w:r>
        <w:rPr>
          <w:rFonts w:ascii="Times New Roman" w:cs="Times New Roman" w:eastAsia="Times New Roman" w:hAnsi="Times New Roman"/>
          <w:sz w:val="22"/>
          <w:szCs w:val="22"/>
          <w:color w:val="auto"/>
        </w:rPr>
        <w:t>" -- means the average of the Daily VWAPs for each VWAP Trading Day in the 5 VWAP Trading Days ending on and including the VWAP Trading Day immediately prior to the second anniversary of this Agreement.</w:t>
      </w:r>
    </w:p>
    <w:p>
      <w:pPr>
        <w:spacing w:after="0" w:line="164" w:lineRule="exact"/>
        <w:rPr>
          <w:sz w:val="20"/>
          <w:szCs w:val="20"/>
          <w:color w:val="auto"/>
        </w:rPr>
      </w:pPr>
    </w:p>
    <w:p>
      <w:pPr>
        <w:jc w:val="both"/>
        <w:ind w:left="380"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“VDR” </w:t>
      </w:r>
      <w:r>
        <w:rPr>
          <w:rFonts w:ascii="Times New Roman" w:cs="Times New Roman" w:eastAsia="Times New Roman" w:hAnsi="Times New Roman"/>
          <w:sz w:val="22"/>
          <w:szCs w:val="22"/>
          <w:color w:val="auto"/>
        </w:rPr>
        <w:t>-- means the virtual data room providing the documents and information provided to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Buyer during the due diligence up to and including October 7, 2025, which are, for evidentiary purposes, stored in electronic form on a data carrier as delivered by the Seller to the Buyer at Closing.</w:t>
      </w:r>
    </w:p>
    <w:p>
      <w:pPr>
        <w:spacing w:after="0" w:line="164" w:lineRule="exact"/>
        <w:rPr>
          <w:sz w:val="20"/>
          <w:szCs w:val="20"/>
          <w:color w:val="auto"/>
        </w:rPr>
      </w:pPr>
    </w:p>
    <w:p>
      <w:pPr>
        <w:jc w:val="both"/>
        <w:ind w:left="38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VWAP Trading Day</w:t>
      </w:r>
      <w:r>
        <w:rPr>
          <w:rFonts w:ascii="Times New Roman" w:cs="Times New Roman" w:eastAsia="Times New Roman" w:hAnsi="Times New Roman"/>
          <w:sz w:val="22"/>
          <w:szCs w:val="22"/>
          <w:color w:val="auto"/>
        </w:rPr>
        <w:t>” -- means a day during which trading in the RZLV Shares occurs on the NASDAQ Stock Market.</w:t>
      </w:r>
    </w:p>
    <w:p>
      <w:pPr>
        <w:spacing w:after="0" w:line="147" w:lineRule="exact"/>
        <w:rPr>
          <w:sz w:val="20"/>
          <w:szCs w:val="20"/>
          <w:color w:val="auto"/>
        </w:rPr>
      </w:pPr>
    </w:p>
    <w:p>
      <w:pPr>
        <w:ind w:left="1140" w:hanging="755"/>
        <w:spacing w:after="0"/>
        <w:tabs>
          <w:tab w:leader="none" w:pos="114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ale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ransfer</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22"/>
          <w:szCs w:val="22"/>
          <w:b w:val="1"/>
          <w:bCs w:val="1"/>
          <w:color w:val="auto"/>
        </w:rPr>
        <w:t>; C</w:t>
      </w:r>
      <w:r>
        <w:rPr>
          <w:rFonts w:ascii="Times New Roman" w:cs="Times New Roman" w:eastAsia="Times New Roman" w:hAnsi="Times New Roman"/>
          <w:sz w:val="14"/>
          <w:szCs w:val="14"/>
          <w:b w:val="1"/>
          <w:bCs w:val="1"/>
          <w:color w:val="auto"/>
        </w:rPr>
        <w:t>losing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38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2.1Company Shares</w:t>
      </w:r>
      <w:r>
        <w:rPr>
          <w:rFonts w:ascii="Times New Roman" w:cs="Times New Roman" w:eastAsia="Times New Roman" w:hAnsi="Times New Roman"/>
          <w:sz w:val="22"/>
          <w:szCs w:val="22"/>
          <w:color w:val="auto"/>
        </w:rPr>
        <w:t>. Subject to the terms and conditions of this Agreement (including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satisfaction of the Conditions Precedent set out in Section 3), the Seller will sell and, on the Closing Date, transfer and assign the Company Shares to the Buyer, and the Buyer will purchase and, on the Closing Date, accept the transfer and assignment of the Company Shares from Seller, together with all rights, title and interests therein, free and clear of any and all encumbrances.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873760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40" w:right="719" w:bottom="1440" w:gutter="0" w:footer="0" w:header="0"/>
        </w:sectPr>
      </w:pPr>
    </w:p>
    <w:bookmarkStart w:id="60" w:name="page61"/>
    <w:bookmarkEnd w:id="60"/>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b w:val="1"/>
          <w:bCs w:val="1"/>
          <w:color w:val="auto"/>
        </w:rPr>
        <w:t>2.2Consideration</w:t>
      </w:r>
      <w:r>
        <w:rPr>
          <w:rFonts w:ascii="Times New Roman" w:cs="Times New Roman" w:eastAsia="Times New Roman" w:hAnsi="Times New Roman"/>
          <w:sz w:val="21"/>
          <w:szCs w:val="21"/>
          <w:color w:val="auto"/>
        </w:rPr>
        <w:t>. In consideration for the sale of the Company Shares, the Buyer shall pay to the</w:t>
      </w:r>
    </w:p>
    <w:p>
      <w:pPr>
        <w:spacing w:after="0" w:line="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Seller:</w:t>
      </w:r>
    </w:p>
    <w:p>
      <w:pPr>
        <w:spacing w:after="0" w:line="182" w:lineRule="exact"/>
        <w:rPr>
          <w:sz w:val="20"/>
          <w:szCs w:val="20"/>
          <w:color w:val="auto"/>
        </w:rPr>
      </w:pPr>
    </w:p>
    <w:p>
      <w:pPr>
        <w:ind w:left="2440" w:hanging="557"/>
        <w:spacing w:after="0"/>
        <w:tabs>
          <w:tab w:leader="none" w:pos="244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 aggregate amount of USD 5,060,000 (five million sixty thousand US dollars),</w:t>
      </w:r>
    </w:p>
    <w:p>
      <w:pPr>
        <w:spacing w:after="0" w:line="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comprised of</w:t>
      </w:r>
    </w:p>
    <w:p>
      <w:pPr>
        <w:spacing w:after="0" w:line="178" w:lineRule="exact"/>
        <w:rPr>
          <w:sz w:val="20"/>
          <w:szCs w:val="20"/>
          <w:color w:val="auto"/>
        </w:rPr>
      </w:pPr>
    </w:p>
    <w:p>
      <w:pPr>
        <w:ind w:left="2740" w:hanging="347"/>
        <w:spacing w:after="0"/>
        <w:tabs>
          <w:tab w:leader="none" w:pos="2740" w:val="left"/>
        </w:tabs>
        <w:numPr>
          <w:ilvl w:val="3"/>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USD 3,560,000 in cash (the </w:t>
      </w:r>
      <w:r>
        <w:rPr>
          <w:rFonts w:ascii="Times New Roman" w:cs="Times New Roman" w:eastAsia="Times New Roman" w:hAnsi="Times New Roman"/>
          <w:sz w:val="22"/>
          <w:szCs w:val="22"/>
          <w:b w:val="1"/>
          <w:bCs w:val="1"/>
          <w:color w:val="auto"/>
        </w:rPr>
        <w:t>“Cash Consideration”</w:t>
      </w:r>
      <w:r>
        <w:rPr>
          <w:rFonts w:ascii="Times New Roman" w:cs="Times New Roman" w:eastAsia="Times New Roman" w:hAnsi="Times New Roman"/>
          <w:sz w:val="22"/>
          <w:szCs w:val="22"/>
          <w:color w:val="auto"/>
        </w:rPr>
        <w:t>); and</w:t>
      </w:r>
    </w:p>
    <w:p>
      <w:pPr>
        <w:spacing w:after="0" w:line="210" w:lineRule="exact"/>
        <w:rPr>
          <w:rFonts w:ascii="Times New Roman" w:cs="Times New Roman" w:eastAsia="Times New Roman" w:hAnsi="Times New Roman"/>
          <w:sz w:val="22"/>
          <w:szCs w:val="22"/>
          <w:b w:val="1"/>
          <w:bCs w:val="1"/>
          <w:color w:val="auto"/>
        </w:rPr>
      </w:pPr>
    </w:p>
    <w:p>
      <w:pPr>
        <w:ind w:left="2740" w:hanging="422"/>
        <w:spacing w:after="0"/>
        <w:tabs>
          <w:tab w:leader="none" w:pos="2740" w:val="left"/>
        </w:tabs>
        <w:numPr>
          <w:ilvl w:val="2"/>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USD 1,500,000 in RZLV Shares, calculated as set out in Section 4.4 (the</w:t>
      </w:r>
    </w:p>
    <w:p>
      <w:pPr>
        <w:spacing w:after="0" w:line="14" w:lineRule="exact"/>
        <w:rPr>
          <w:rFonts w:ascii="Times New Roman" w:cs="Times New Roman" w:eastAsia="Times New Roman" w:hAnsi="Times New Roman"/>
          <w:sz w:val="22"/>
          <w:szCs w:val="22"/>
          <w:b w:val="1"/>
          <w:bCs w:val="1"/>
          <w:color w:val="auto"/>
        </w:rPr>
      </w:pPr>
    </w:p>
    <w:p>
      <w:pPr>
        <w:ind w:left="3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“Equity Consideration”</w:t>
      </w:r>
      <w:r>
        <w:rPr>
          <w:rFonts w:ascii="Times New Roman" w:cs="Times New Roman" w:eastAsia="Times New Roman" w:hAnsi="Times New Roman"/>
          <w:sz w:val="22"/>
          <w:szCs w:val="22"/>
          <w:color w:val="auto"/>
        </w:rPr>
        <w:t>);</w:t>
      </w:r>
    </w:p>
    <w:p>
      <w:pPr>
        <w:spacing w:after="0" w:line="222" w:lineRule="exact"/>
        <w:rPr>
          <w:rFonts w:ascii="Times New Roman" w:cs="Times New Roman" w:eastAsia="Times New Roman" w:hAnsi="Times New Roman"/>
          <w:sz w:val="22"/>
          <w:szCs w:val="22"/>
          <w:b w:val="1"/>
          <w:bCs w:val="1"/>
          <w:color w:val="auto"/>
        </w:rPr>
      </w:pPr>
    </w:p>
    <w:p>
      <w:pPr>
        <w:ind w:left="380" w:right="1200" w:firstLine="1563"/>
        <w:spacing w:after="0" w:line="258" w:lineRule="auto"/>
        <w:tabs>
          <w:tab w:leader="none" w:pos="2447" w:val="left"/>
        </w:tabs>
        <w:numPr>
          <w:ilvl w:val="1"/>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USD 1,750,000in RZLV Shares, calculated as set out in Section 4 (the </w:t>
      </w:r>
      <w:r>
        <w:rPr>
          <w:rFonts w:ascii="Times New Roman" w:cs="Times New Roman" w:eastAsia="Times New Roman" w:hAnsi="Times New Roman"/>
          <w:sz w:val="22"/>
          <w:szCs w:val="22"/>
          <w:b w:val="1"/>
          <w:bCs w:val="1"/>
          <w:color w:val="auto"/>
        </w:rPr>
        <w:t>“First Year Consideration”</w:t>
      </w:r>
      <w:r>
        <w:rPr>
          <w:rFonts w:ascii="Times New Roman" w:cs="Times New Roman" w:eastAsia="Times New Roman" w:hAnsi="Times New Roman"/>
          <w:sz w:val="22"/>
          <w:szCs w:val="22"/>
          <w:color w:val="auto"/>
        </w:rPr>
        <w:t>); and</w:t>
      </w:r>
    </w:p>
    <w:p>
      <w:pPr>
        <w:spacing w:after="0" w:line="158" w:lineRule="exact"/>
        <w:rPr>
          <w:rFonts w:ascii="Times New Roman" w:cs="Times New Roman" w:eastAsia="Times New Roman" w:hAnsi="Times New Roman"/>
          <w:sz w:val="22"/>
          <w:szCs w:val="22"/>
          <w:b w:val="1"/>
          <w:bCs w:val="1"/>
          <w:color w:val="auto"/>
        </w:rPr>
      </w:pPr>
    </w:p>
    <w:p>
      <w:pPr>
        <w:ind w:left="380" w:right="1160" w:firstLine="1563"/>
        <w:spacing w:after="0" w:line="258" w:lineRule="auto"/>
        <w:tabs>
          <w:tab w:leader="none" w:pos="2447" w:val="left"/>
        </w:tabs>
        <w:numPr>
          <w:ilvl w:val="1"/>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USD 1,750,000 in RZLV Shares, calculated as set out in Section 4 (the </w:t>
      </w:r>
      <w:r>
        <w:rPr>
          <w:rFonts w:ascii="Times New Roman" w:cs="Times New Roman" w:eastAsia="Times New Roman" w:hAnsi="Times New Roman"/>
          <w:sz w:val="22"/>
          <w:szCs w:val="22"/>
          <w:b w:val="1"/>
          <w:bCs w:val="1"/>
          <w:color w:val="auto"/>
        </w:rPr>
        <w:t>“Second Year Consideration”</w:t>
      </w:r>
      <w:r>
        <w:rPr>
          <w:rFonts w:ascii="Times New Roman" w:cs="Times New Roman" w:eastAsia="Times New Roman" w:hAnsi="Times New Roman"/>
          <w:sz w:val="22"/>
          <w:szCs w:val="22"/>
          <w:color w:val="auto"/>
        </w:rPr>
        <w:t>).</w:t>
      </w:r>
    </w:p>
    <w:p>
      <w:pPr>
        <w:spacing w:after="0" w:line="154" w:lineRule="exact"/>
        <w:rPr>
          <w:rFonts w:ascii="Times New Roman" w:cs="Times New Roman" w:eastAsia="Times New Roman" w:hAnsi="Times New Roman"/>
          <w:sz w:val="22"/>
          <w:szCs w:val="22"/>
          <w:b w:val="1"/>
          <w:bCs w:val="1"/>
          <w:color w:val="auto"/>
        </w:rPr>
      </w:pPr>
    </w:p>
    <w:p>
      <w:pPr>
        <w:ind w:left="1140" w:hanging="755"/>
        <w:spacing w:after="0"/>
        <w:tabs>
          <w:tab w:leader="none" w:pos="114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onditions</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recedent</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left="380"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3.2Conditions Precedent</w:t>
      </w:r>
      <w:r>
        <w:rPr>
          <w:rFonts w:ascii="Times New Roman" w:cs="Times New Roman" w:eastAsia="Times New Roman" w:hAnsi="Times New Roman"/>
          <w:sz w:val="22"/>
          <w:szCs w:val="22"/>
          <w:color w:val="auto"/>
        </w:rPr>
        <w:t>. The obligation of Buyer to purchase the Company Shares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conditional upon fulfillment of each of the following conditions (“</w:t>
      </w:r>
      <w:r>
        <w:rPr>
          <w:rFonts w:ascii="Times New Roman" w:cs="Times New Roman" w:eastAsia="Times New Roman" w:hAnsi="Times New Roman"/>
          <w:sz w:val="22"/>
          <w:szCs w:val="22"/>
          <w:b w:val="1"/>
          <w:bCs w:val="1"/>
          <w:color w:val="auto"/>
        </w:rPr>
        <w:t>Conditions Precedent</w:t>
      </w:r>
      <w:r>
        <w:rPr>
          <w:rFonts w:ascii="Times New Roman" w:cs="Times New Roman" w:eastAsia="Times New Roman" w:hAnsi="Times New Roman"/>
          <w:sz w:val="22"/>
          <w:szCs w:val="22"/>
          <w:color w:val="auto"/>
        </w:rPr>
        <w:t>”), to the reasonable satisfaction of (or subject to the written waiver by) the Buyer, the Company shall have obtained and provided to the Buyer copies of all necessary corporate authorizations, consents and approvals of its Quotaholders’ Meeting and Management, and consents of government authorities, if any, for the execution and to enter into Transaction Documents and for the consummation of the transactions contemplated thereby.</w:t>
      </w:r>
    </w:p>
    <w:p>
      <w:pPr>
        <w:spacing w:after="0" w:line="176" w:lineRule="exact"/>
        <w:rPr>
          <w:sz w:val="20"/>
          <w:szCs w:val="20"/>
          <w:color w:val="auto"/>
        </w:rPr>
      </w:pPr>
    </w:p>
    <w:p>
      <w:pPr>
        <w:jc w:val="both"/>
        <w:ind w:left="38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3.3Long Stop Date</w:t>
      </w:r>
      <w:r>
        <w:rPr>
          <w:rFonts w:ascii="Times New Roman" w:cs="Times New Roman" w:eastAsia="Times New Roman" w:hAnsi="Times New Roman"/>
          <w:sz w:val="22"/>
          <w:szCs w:val="22"/>
          <w:color w:val="auto"/>
        </w:rPr>
        <w:t>. The Seller shall, in good faith, take all necessary or desirable steps to secure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satisfaction of the Conditions Precedent and undertake all actions as may be necessary or desirable to facilitate the consummation of the transactions contemplated under this Agreement promptly, and in any case, within 20 Business Days of the date of this Agreement (or such other time as the Buyer may agree in writing) (“</w:t>
      </w:r>
      <w:r>
        <w:rPr>
          <w:rFonts w:ascii="Times New Roman" w:cs="Times New Roman" w:eastAsia="Times New Roman" w:hAnsi="Times New Roman"/>
          <w:sz w:val="22"/>
          <w:szCs w:val="22"/>
          <w:b w:val="1"/>
          <w:bCs w:val="1"/>
          <w:color w:val="auto"/>
        </w:rPr>
        <w:t>Long Stop Date</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38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3.4Fulfilment of Conditions Precedent</w:t>
      </w:r>
      <w:r>
        <w:rPr>
          <w:rFonts w:ascii="Times New Roman" w:cs="Times New Roman" w:eastAsia="Times New Roman" w:hAnsi="Times New Roman"/>
          <w:sz w:val="22"/>
          <w:szCs w:val="22"/>
          <w:color w:val="auto"/>
        </w:rPr>
        <w:t>. On the date when the Conditions Precedent have been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fulfilled, or have been waived, in each case prior to the Long Stop Date, the Seller and the Company shall jointly furnish a written notice to the Buyer (“</w:t>
      </w:r>
      <w:r>
        <w:rPr>
          <w:rFonts w:ascii="Times New Roman" w:cs="Times New Roman" w:eastAsia="Times New Roman" w:hAnsi="Times New Roman"/>
          <w:sz w:val="22"/>
          <w:szCs w:val="22"/>
          <w:b w:val="1"/>
          <w:bCs w:val="1"/>
          <w:color w:val="auto"/>
        </w:rPr>
        <w:t>CP Confirmation Letter</w:t>
      </w:r>
      <w:r>
        <w:rPr>
          <w:rFonts w:ascii="Times New Roman" w:cs="Times New Roman" w:eastAsia="Times New Roman" w:hAnsi="Times New Roman"/>
          <w:sz w:val="22"/>
          <w:szCs w:val="22"/>
          <w:color w:val="auto"/>
        </w:rPr>
        <w:t>”) along with duly authenticated copies of all necessary documents evidencing such fulfilment or waiver.</w:t>
      </w:r>
    </w:p>
    <w:p>
      <w:pPr>
        <w:spacing w:after="0" w:line="172" w:lineRule="exact"/>
        <w:rPr>
          <w:sz w:val="20"/>
          <w:szCs w:val="20"/>
          <w:color w:val="auto"/>
        </w:rPr>
      </w:pPr>
    </w:p>
    <w:p>
      <w:pPr>
        <w:jc w:val="both"/>
        <w:ind w:left="38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3.5 </w:t>
      </w:r>
      <w:r>
        <w:rPr>
          <w:rFonts w:ascii="Times New Roman" w:cs="Times New Roman" w:eastAsia="Times New Roman" w:hAnsi="Times New Roman"/>
          <w:sz w:val="22"/>
          <w:szCs w:val="22"/>
          <w:color w:val="auto"/>
        </w:rPr>
        <w:t>Upon receipt of the CP Confirmation Letter, the Buyer shall: (i) inform the Seller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deficiencies therein within a period of 7 (seven) days and the Seller shall rectify the same to the satisfaction of the Buyer prior to the Long Stop Date; or (ii) if the Buyer is satisfied that the Conditions Precedent have been fulfilled (or waived), in each case prior to the Long Stop Date, inform the Seller and the Company of the same in writing (“</w:t>
      </w:r>
      <w:r>
        <w:rPr>
          <w:rFonts w:ascii="Times New Roman" w:cs="Times New Roman" w:eastAsia="Times New Roman" w:hAnsi="Times New Roman"/>
          <w:sz w:val="22"/>
          <w:szCs w:val="22"/>
          <w:b w:val="1"/>
          <w:bCs w:val="1"/>
          <w:color w:val="auto"/>
        </w:rPr>
        <w:t>CP Satisfaction Letter</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873760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40" w:right="719" w:bottom="1440" w:gutter="0" w:footer="0" w:header="0"/>
        </w:sectPr>
      </w:pPr>
    </w:p>
    <w:bookmarkStart w:id="61" w:name="page62"/>
    <w:bookmarkEnd w:id="61"/>
    <w:p>
      <w:pPr>
        <w:spacing w:after="0" w:line="181" w:lineRule="exact"/>
        <w:rPr>
          <w:sz w:val="20"/>
          <w:szCs w:val="20"/>
          <w:color w:val="auto"/>
        </w:rPr>
      </w:pPr>
    </w:p>
    <w:p>
      <w:pPr>
        <w:ind w:left="1140" w:hanging="755"/>
        <w:spacing w:after="0"/>
        <w:tabs>
          <w:tab w:leader="none" w:pos="114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losing</w:t>
      </w:r>
    </w:p>
    <w:p>
      <w:pPr>
        <w:spacing w:after="0" w:line="206" w:lineRule="exact"/>
        <w:rPr>
          <w:sz w:val="20"/>
          <w:szCs w:val="20"/>
          <w:color w:val="auto"/>
        </w:rPr>
      </w:pPr>
    </w:p>
    <w:p>
      <w:pPr>
        <w:jc w:val="both"/>
        <w:ind w:left="38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4.2Closing</w:t>
      </w:r>
      <w:r>
        <w:rPr>
          <w:rFonts w:ascii="Times New Roman" w:cs="Times New Roman" w:eastAsia="Times New Roman" w:hAnsi="Times New Roman"/>
          <w:sz w:val="22"/>
          <w:szCs w:val="22"/>
          <w:color w:val="auto"/>
        </w:rPr>
        <w:t>. The purchase and sale provided for in this Agreement will take place on the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(Tenth) Business Day after the issuance of CP Satisfaction Letter, or on such other date as may be agreed in writing between the Parties (“</w:t>
      </w:r>
      <w:r>
        <w:rPr>
          <w:rFonts w:ascii="Times New Roman" w:cs="Times New Roman" w:eastAsia="Times New Roman" w:hAnsi="Times New Roman"/>
          <w:sz w:val="22"/>
          <w:szCs w:val="22"/>
          <w:b w:val="1"/>
          <w:bCs w:val="1"/>
          <w:i w:val="1"/>
          <w:iCs w:val="1"/>
          <w:color w:val="auto"/>
        </w:rPr>
        <w:t>Closing</w:t>
      </w:r>
      <w:r>
        <w:rPr>
          <w:rFonts w:ascii="Times New Roman" w:cs="Times New Roman" w:eastAsia="Times New Roman" w:hAnsi="Times New Roman"/>
          <w:sz w:val="22"/>
          <w:szCs w:val="22"/>
          <w:color w:val="auto"/>
        </w:rPr>
        <w:t>”, and the date of Closing being the “</w:t>
      </w:r>
      <w:r>
        <w:rPr>
          <w:rFonts w:ascii="Times New Roman" w:cs="Times New Roman" w:eastAsia="Times New Roman" w:hAnsi="Times New Roman"/>
          <w:sz w:val="22"/>
          <w:szCs w:val="22"/>
          <w:b w:val="1"/>
          <w:bCs w:val="1"/>
          <w:i w:val="1"/>
          <w:iCs w:val="1"/>
          <w:color w:val="auto"/>
        </w:rPr>
        <w:t>Closing Date</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left="38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4.3Simultaneous actions</w:t>
      </w:r>
      <w:r>
        <w:rPr>
          <w:rFonts w:ascii="Times New Roman" w:cs="Times New Roman" w:eastAsia="Times New Roman" w:hAnsi="Times New Roman"/>
          <w:sz w:val="22"/>
          <w:szCs w:val="22"/>
          <w:color w:val="auto"/>
        </w:rPr>
        <w:t>. All actions contemplated by this Agreement to be consummated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Closing (including the Closing Obligations set out in Section 4.3) shall be effective simultaneously and Closing shall not be deemed to have been consummated unless all such actions are completed.</w:t>
      </w:r>
    </w:p>
    <w:p>
      <w:pPr>
        <w:spacing w:after="0" w:line="16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color w:val="auto"/>
        </w:rPr>
        <w:t>4.4Closing Obligations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At the Closing:</w:t>
      </w:r>
    </w:p>
    <w:p>
      <w:pPr>
        <w:spacing w:after="0" w:line="210" w:lineRule="exact"/>
        <w:rPr>
          <w:sz w:val="20"/>
          <w:szCs w:val="20"/>
          <w:color w:val="auto"/>
        </w:rPr>
      </w:pPr>
    </w:p>
    <w:p>
      <w:pPr>
        <w:ind w:left="3460" w:hanging="274"/>
        <w:spacing w:after="0"/>
        <w:tabs>
          <w:tab w:leader="none" w:pos="346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Seller shall deliver to the Buyer (1) an assignment declaration in</w:t>
      </w:r>
    </w:p>
    <w:p>
      <w:pPr>
        <w:spacing w:after="0" w:line="14" w:lineRule="exact"/>
        <w:rPr>
          <w:rFonts w:ascii="Times New Roman" w:cs="Times New Roman" w:eastAsia="Times New Roman" w:hAnsi="Times New Roman"/>
          <w:sz w:val="22"/>
          <w:szCs w:val="22"/>
          <w:b w:val="1"/>
          <w:bCs w:val="1"/>
          <w:color w:val="auto"/>
        </w:rPr>
      </w:pPr>
    </w:p>
    <w:p>
      <w:pPr>
        <w:ind w:left="9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agreed form for the transfer of the Company Shares (duly executed in favour</w:t>
      </w:r>
    </w:p>
    <w:p>
      <w:pPr>
        <w:spacing w:after="0" w:line="358" w:lineRule="exact"/>
        <w:rPr>
          <w:sz w:val="20"/>
          <w:szCs w:val="20"/>
          <w:color w:val="auto"/>
        </w:rPr>
      </w:pPr>
    </w:p>
    <w:p>
      <w:pPr>
        <w:jc w:val="both"/>
        <w:ind w:left="940"/>
        <w:spacing w:after="0" w:line="238" w:lineRule="auto"/>
        <w:rPr>
          <w:sz w:val="20"/>
          <w:szCs w:val="20"/>
          <w:color w:val="auto"/>
        </w:rPr>
      </w:pPr>
      <w:r>
        <w:rPr>
          <w:rFonts w:ascii="Times New Roman" w:cs="Times New Roman" w:eastAsia="Times New Roman" w:hAnsi="Times New Roman"/>
          <w:sz w:val="22"/>
          <w:szCs w:val="22"/>
          <w:color w:val="auto"/>
        </w:rPr>
        <w:t>of the Buyer), (2) a duly signed general release of any and all claims of the Seller against the Company in the agreed form, (3) the duly signed bring down certificate, (4) a duly signed quota register (</w:t>
      </w:r>
      <w:r>
        <w:rPr>
          <w:rFonts w:ascii="Times New Roman" w:cs="Times New Roman" w:eastAsia="Times New Roman" w:hAnsi="Times New Roman"/>
          <w:sz w:val="22"/>
          <w:szCs w:val="22"/>
          <w:i w:val="1"/>
          <w:iCs w:val="1"/>
          <w:color w:val="auto"/>
        </w:rPr>
        <w:t>Anteilbuch</w:t>
      </w:r>
      <w:r>
        <w:rPr>
          <w:rFonts w:ascii="Times New Roman" w:cs="Times New Roman" w:eastAsia="Times New Roman" w:hAnsi="Times New Roman"/>
          <w:sz w:val="22"/>
          <w:szCs w:val="22"/>
          <w:color w:val="auto"/>
        </w:rPr>
        <w:t>) and register of beneficial owners (</w:t>
      </w:r>
      <w:r>
        <w:rPr>
          <w:rFonts w:ascii="Times New Roman" w:cs="Times New Roman" w:eastAsia="Times New Roman" w:hAnsi="Times New Roman"/>
          <w:sz w:val="22"/>
          <w:szCs w:val="22"/>
          <w:i w:val="1"/>
          <w:iCs w:val="1"/>
          <w:color w:val="auto"/>
        </w:rPr>
        <w:t>Verzeichnis der wirtschaftlich berechtigten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Personen</w:t>
      </w:r>
      <w:r>
        <w:rPr>
          <w:rFonts w:ascii="Times New Roman" w:cs="Times New Roman" w:eastAsia="Times New Roman" w:hAnsi="Times New Roman"/>
          <w:sz w:val="22"/>
          <w:szCs w:val="22"/>
          <w:color w:val="auto"/>
        </w:rPr>
        <w:t>) of the Company evidencing the Buyer as the sole quotaholder of the Company, and (5)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Bank Account Excerpts, evidencing a cash balance as referenced in Section 6.6;</w:t>
      </w:r>
    </w:p>
    <w:p>
      <w:pPr>
        <w:spacing w:after="0" w:line="173" w:lineRule="exact"/>
        <w:rPr>
          <w:sz w:val="20"/>
          <w:szCs w:val="20"/>
          <w:color w:val="auto"/>
        </w:rPr>
      </w:pPr>
    </w:p>
    <w:p>
      <w:pPr>
        <w:jc w:val="both"/>
        <w:ind w:left="940" w:firstLine="2246"/>
        <w:spacing w:after="0" w:line="235" w:lineRule="auto"/>
        <w:rPr>
          <w:sz w:val="20"/>
          <w:szCs w:val="20"/>
          <w:color w:val="auto"/>
        </w:rPr>
      </w:pP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the Seller shall procure that the Company shall modify the access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controls and authorisation protocols applicable to the Company Wallets such that no transfer, transmission, exchange, sale, purchase, pledge, encumbrance, or other disposition of digital tokens, virtual currencies, cryptocurrencies, or other blockchain-based digital assets (including, without limitation, SQD Tokens), or any other action that would result in a change to the balance or status of any digital tokens, virtual currencies, cryptocurrencies, or other blockchain-based digital assets (including, without limitation, SQD Tokens), held in any Company Wallet may be executed or initiated using any Company Wallet without the prior written authorisation of the Chief Financial Officer of the Buyer from time to time (being Richard Burchill as at the date of this Agreement);</w:t>
      </w:r>
    </w:p>
    <w:p>
      <w:pPr>
        <w:spacing w:after="0" w:line="174" w:lineRule="exact"/>
        <w:rPr>
          <w:sz w:val="20"/>
          <w:szCs w:val="20"/>
          <w:color w:val="auto"/>
        </w:rPr>
      </w:pPr>
    </w:p>
    <w:p>
      <w:pPr>
        <w:jc w:val="both"/>
        <w:ind w:left="940" w:firstLine="2246"/>
        <w:spacing w:after="0" w:line="238"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the Buyer shall pay in US Dollars (USD) in cleared funds and by way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electronic funds transfer an aggregate amount equal to the Cash Consideration to the Seller by making a payment to the Seller's Bank Account, and such payment by the Buyer of such amount shall constitute a good and sufficient discharge for the Buyer of its obligations to pay such amounts and the Buyer shall not be concerned to see to the application of the monies so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873760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40" w:right="719" w:bottom="1440" w:gutter="0" w:footer="0" w:header="0"/>
        </w:sectPr>
      </w:pPr>
    </w:p>
    <w:bookmarkStart w:id="62" w:name="page63"/>
    <w:bookmarkEnd w:id="62"/>
    <w:p>
      <w:pPr>
        <w:spacing w:after="0" w:line="181" w:lineRule="exact"/>
        <w:rPr>
          <w:sz w:val="20"/>
          <w:szCs w:val="20"/>
          <w:color w:val="auto"/>
        </w:rPr>
      </w:pPr>
    </w:p>
    <w:p>
      <w:pPr>
        <w:jc w:val="both"/>
        <w:ind w:left="940" w:firstLine="2246"/>
        <w:spacing w:after="0" w:line="246" w:lineRule="auto"/>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the Seller shall have caused the Company to have convened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Quotaholders’ Meeting of the Company at which the following resolutions shall have been adopted (subject to Closing taking place) and deliver a copy of such minutes to the Buyer:</w:t>
      </w:r>
    </w:p>
    <w:p>
      <w:pPr>
        <w:spacing w:after="0" w:line="171" w:lineRule="exact"/>
        <w:rPr>
          <w:sz w:val="20"/>
          <w:szCs w:val="20"/>
          <w:color w:val="auto"/>
        </w:rPr>
      </w:pPr>
    </w:p>
    <w:p>
      <w:pPr>
        <w:ind w:left="4120" w:hanging="739"/>
        <w:spacing w:after="0"/>
        <w:tabs>
          <w:tab w:leader="none" w:pos="4120" w:val="left"/>
        </w:tabs>
        <w:numPr>
          <w:ilvl w:val="1"/>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approval of the transfer of the Company Shares to the Buyer;</w:t>
      </w:r>
    </w:p>
    <w:p>
      <w:pPr>
        <w:spacing w:after="0" w:line="206" w:lineRule="exact"/>
        <w:rPr>
          <w:rFonts w:ascii="Times New Roman" w:cs="Times New Roman" w:eastAsia="Times New Roman" w:hAnsi="Times New Roman"/>
          <w:sz w:val="22"/>
          <w:szCs w:val="22"/>
          <w:b w:val="1"/>
          <w:bCs w:val="1"/>
          <w:color w:val="auto"/>
        </w:rPr>
      </w:pPr>
    </w:p>
    <w:p>
      <w:pPr>
        <w:ind w:left="4080" w:hanging="699"/>
        <w:spacing w:after="0" w:line="258" w:lineRule="auto"/>
        <w:tabs>
          <w:tab w:leader="none" w:pos="4080" w:val="left"/>
        </w:tabs>
        <w:numPr>
          <w:ilvl w:val="1"/>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appointment of such person as is nominated by Buyer, as second managing director of the Company;</w:t>
      </w:r>
    </w:p>
    <w:p>
      <w:pPr>
        <w:spacing w:after="0" w:line="158" w:lineRule="exact"/>
        <w:rPr>
          <w:rFonts w:ascii="Times New Roman" w:cs="Times New Roman" w:eastAsia="Times New Roman" w:hAnsi="Times New Roman"/>
          <w:sz w:val="22"/>
          <w:szCs w:val="22"/>
          <w:b w:val="1"/>
          <w:bCs w:val="1"/>
          <w:color w:val="auto"/>
        </w:rPr>
      </w:pPr>
    </w:p>
    <w:p>
      <w:pPr>
        <w:jc w:val="both"/>
        <w:ind w:left="4080" w:hanging="699"/>
        <w:spacing w:after="0" w:line="244" w:lineRule="auto"/>
        <w:tabs>
          <w:tab w:leader="none" w:pos="4080" w:val="left"/>
        </w:tabs>
        <w:numPr>
          <w:ilvl w:val="1"/>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constitution of the Management, granting of signature rights to any newly appointed managing director as are nominated by Buyer as signatories of the Company; and</w:t>
      </w:r>
    </w:p>
    <w:p>
      <w:pPr>
        <w:spacing w:after="0" w:line="173" w:lineRule="exact"/>
        <w:rPr>
          <w:rFonts w:ascii="Times New Roman" w:cs="Times New Roman" w:eastAsia="Times New Roman" w:hAnsi="Times New Roman"/>
          <w:sz w:val="22"/>
          <w:szCs w:val="22"/>
          <w:b w:val="1"/>
          <w:bCs w:val="1"/>
          <w:color w:val="auto"/>
        </w:rPr>
      </w:pPr>
    </w:p>
    <w:p>
      <w:pPr>
        <w:ind w:left="4080" w:right="240" w:hanging="699"/>
        <w:spacing w:after="0" w:line="282" w:lineRule="auto"/>
        <w:tabs>
          <w:tab w:leader="none" w:pos="4080" w:val="left"/>
        </w:tabs>
        <w:numPr>
          <w:ilvl w:val="1"/>
          <w:numId w:val="7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approval of the employment agreement between the Seller and the Company in the agreed form as attached in Annex 4.3a;</w:t>
      </w:r>
    </w:p>
    <w:p>
      <w:pPr>
        <w:spacing w:after="0" w:line="134" w:lineRule="exact"/>
        <w:rPr>
          <w:rFonts w:ascii="Times New Roman" w:cs="Times New Roman" w:eastAsia="Times New Roman" w:hAnsi="Times New Roman"/>
          <w:sz w:val="21"/>
          <w:szCs w:val="21"/>
          <w:b w:val="1"/>
          <w:bCs w:val="1"/>
          <w:color w:val="auto"/>
        </w:rPr>
      </w:pPr>
    </w:p>
    <w:p>
      <w:pPr>
        <w:jc w:val="both"/>
        <w:ind w:left="940" w:firstLine="2246"/>
        <w:spacing w:after="0" w:line="244" w:lineRule="auto"/>
        <w:tabs>
          <w:tab w:leader="none" w:pos="3459"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Seller shall have caused the Company to have convened a meeting of the Management at which following resolutions shall have been adopted (subject to Closing taking place):</w:t>
      </w:r>
    </w:p>
    <w:p>
      <w:pPr>
        <w:spacing w:after="0" w:line="173" w:lineRule="exact"/>
        <w:rPr>
          <w:rFonts w:ascii="Times New Roman" w:cs="Times New Roman" w:eastAsia="Times New Roman" w:hAnsi="Times New Roman"/>
          <w:sz w:val="22"/>
          <w:szCs w:val="22"/>
          <w:b w:val="1"/>
          <w:bCs w:val="1"/>
          <w:color w:val="auto"/>
        </w:rPr>
      </w:pPr>
    </w:p>
    <w:p>
      <w:pPr>
        <w:jc w:val="both"/>
        <w:ind w:left="4080" w:right="180" w:hanging="699"/>
        <w:spacing w:after="0" w:line="244" w:lineRule="auto"/>
        <w:tabs>
          <w:tab w:leader="none" w:pos="4080" w:val="left"/>
        </w:tabs>
        <w:numPr>
          <w:ilvl w:val="1"/>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registration of the transfer of the Company Shares to the Buyer in the quota register and the register of beneficial owners of the Company;</w:t>
      </w:r>
    </w:p>
    <w:p>
      <w:pPr>
        <w:spacing w:after="0" w:line="173" w:lineRule="exact"/>
        <w:rPr>
          <w:rFonts w:ascii="Times New Roman" w:cs="Times New Roman" w:eastAsia="Times New Roman" w:hAnsi="Times New Roman"/>
          <w:sz w:val="22"/>
          <w:szCs w:val="22"/>
          <w:b w:val="1"/>
          <w:bCs w:val="1"/>
          <w:color w:val="auto"/>
        </w:rPr>
      </w:pPr>
    </w:p>
    <w:p>
      <w:pPr>
        <w:ind w:left="4080" w:hanging="699"/>
        <w:spacing w:after="0"/>
        <w:tabs>
          <w:tab w:leader="none" w:pos="4080" w:val="left"/>
        </w:tabs>
        <w:numPr>
          <w:ilvl w:val="1"/>
          <w:numId w:val="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approval of a change or amendment in the authorized signatories:</w:t>
      </w:r>
    </w:p>
    <w:p>
      <w:pPr>
        <w:spacing w:after="0" w:line="25" w:lineRule="exact"/>
        <w:rPr>
          <w:rFonts w:ascii="Times New Roman" w:cs="Times New Roman" w:eastAsia="Times New Roman" w:hAnsi="Times New Roman"/>
          <w:sz w:val="21"/>
          <w:szCs w:val="21"/>
          <w:b w:val="1"/>
          <w:bCs w:val="1"/>
          <w:color w:val="auto"/>
        </w:rPr>
      </w:pPr>
    </w:p>
    <w:p>
      <w:pPr>
        <w:jc w:val="both"/>
        <w:ind w:left="4080" w:firstLine="8"/>
        <w:spacing w:after="0" w:line="235" w:lineRule="auto"/>
        <w:tabs>
          <w:tab w:leader="none" w:pos="4343" w:val="left"/>
        </w:tabs>
        <w:numPr>
          <w:ilvl w:val="2"/>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Bank Accounts and Company Wallets of the Company; and (ii) for all other transactional activities of the Company, in each case, as required by the Buyer;</w:t>
      </w:r>
    </w:p>
    <w:p>
      <w:pPr>
        <w:spacing w:after="0" w:line="177" w:lineRule="exact"/>
        <w:rPr>
          <w:rFonts w:ascii="Times New Roman" w:cs="Times New Roman" w:eastAsia="Times New Roman" w:hAnsi="Times New Roman"/>
          <w:sz w:val="22"/>
          <w:szCs w:val="22"/>
          <w:color w:val="auto"/>
        </w:rPr>
      </w:pPr>
    </w:p>
    <w:p>
      <w:pPr>
        <w:jc w:val="both"/>
        <w:ind w:left="4080" w:hanging="699"/>
        <w:spacing w:after="0" w:line="239" w:lineRule="auto"/>
        <w:tabs>
          <w:tab w:leader="none" w:pos="4080" w:val="left"/>
        </w:tabs>
        <w:numPr>
          <w:ilvl w:val="1"/>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granting of signature rights to any newly appointed officer or signatories and approval of the appointment of such persons as are nominated by Buyer, as officers or signatories of the Company;</w:t>
      </w:r>
    </w:p>
    <w:p>
      <w:pPr>
        <w:spacing w:after="0" w:line="180" w:lineRule="exact"/>
        <w:rPr>
          <w:rFonts w:ascii="Times New Roman" w:cs="Times New Roman" w:eastAsia="Times New Roman" w:hAnsi="Times New Roman"/>
          <w:sz w:val="22"/>
          <w:szCs w:val="22"/>
          <w:b w:val="1"/>
          <w:bCs w:val="1"/>
          <w:color w:val="auto"/>
        </w:rPr>
      </w:pPr>
    </w:p>
    <w:p>
      <w:pPr>
        <w:ind w:left="4120" w:hanging="739"/>
        <w:spacing w:after="0"/>
        <w:tabs>
          <w:tab w:leader="none" w:pos="4120" w:val="left"/>
        </w:tabs>
        <w:numPr>
          <w:ilvl w:val="1"/>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implementing of organizational rules in the agreed form as</w:t>
      </w:r>
    </w:p>
    <w:p>
      <w:pPr>
        <w:spacing w:after="0" w:line="14" w:lineRule="exact"/>
        <w:rPr>
          <w:rFonts w:ascii="Times New Roman" w:cs="Times New Roman" w:eastAsia="Times New Roman" w:hAnsi="Times New Roman"/>
          <w:sz w:val="22"/>
          <w:szCs w:val="22"/>
          <w:b w:val="1"/>
          <w:bCs w:val="1"/>
          <w:color w:val="auto"/>
        </w:rPr>
      </w:pPr>
    </w:p>
    <w:p>
      <w:pPr>
        <w:ind w:left="3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attached in Annex 4.3f;</w:t>
      </w:r>
    </w:p>
    <w:p>
      <w:pPr>
        <w:spacing w:after="0" w:line="182" w:lineRule="exact"/>
        <w:rPr>
          <w:rFonts w:ascii="Times New Roman" w:cs="Times New Roman" w:eastAsia="Times New Roman" w:hAnsi="Times New Roman"/>
          <w:sz w:val="22"/>
          <w:szCs w:val="22"/>
          <w:b w:val="1"/>
          <w:bCs w:val="1"/>
          <w:color w:val="auto"/>
        </w:rPr>
      </w:pPr>
    </w:p>
    <w:p>
      <w:pPr>
        <w:ind w:left="4120" w:hanging="739"/>
        <w:spacing w:after="0"/>
        <w:tabs>
          <w:tab w:leader="none" w:pos="4120" w:val="left"/>
        </w:tabs>
        <w:numPr>
          <w:ilvl w:val="1"/>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approval of a change to the registered office of the Company</w:t>
      </w:r>
    </w:p>
    <w:p>
      <w:pPr>
        <w:spacing w:after="0" w:line="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to such address nominated by the Buyer;</w:t>
      </w:r>
    </w:p>
    <w:p>
      <w:pPr>
        <w:spacing w:after="0" w:line="182" w:lineRule="exact"/>
        <w:rPr>
          <w:sz w:val="20"/>
          <w:szCs w:val="20"/>
          <w:color w:val="auto"/>
        </w:rPr>
      </w:pPr>
    </w:p>
    <w:p>
      <w:pPr>
        <w:ind w:left="4120" w:hanging="739"/>
        <w:spacing w:after="0"/>
        <w:tabs>
          <w:tab w:leader="none" w:pos="412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approval of the GT Service Agreement; and</w:t>
      </w:r>
    </w:p>
    <w:p>
      <w:pPr>
        <w:spacing w:after="0" w:line="206" w:lineRule="exact"/>
        <w:rPr>
          <w:rFonts w:ascii="Times New Roman" w:cs="Times New Roman" w:eastAsia="Times New Roman" w:hAnsi="Times New Roman"/>
          <w:sz w:val="22"/>
          <w:szCs w:val="22"/>
          <w:b w:val="1"/>
          <w:bCs w:val="1"/>
          <w:color w:val="auto"/>
        </w:rPr>
      </w:pPr>
    </w:p>
    <w:p>
      <w:pPr>
        <w:ind w:left="4120" w:hanging="739"/>
        <w:spacing w:after="0"/>
        <w:tabs>
          <w:tab w:leader="none" w:pos="412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approval and adoption of the Regulatory and Compliance</w:t>
      </w:r>
    </w:p>
    <w:p>
      <w:pPr>
        <w:spacing w:after="0" w:line="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Protocols;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1011555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40" w:right="719" w:bottom="1440" w:gutter="0" w:footer="0" w:header="0"/>
        </w:sectPr>
      </w:pPr>
    </w:p>
    <w:bookmarkStart w:id="63" w:name="page64"/>
    <w:bookmarkEnd w:id="63"/>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(vi)</w:t>
      </w:r>
      <w:r>
        <w:rPr>
          <w:rFonts w:ascii="Times New Roman" w:cs="Times New Roman" w:eastAsia="Times New Roman" w:hAnsi="Times New Roman"/>
          <w:sz w:val="22"/>
          <w:szCs w:val="22"/>
          <w:color w:val="auto"/>
        </w:rPr>
        <w:t>the Seller shall deliver to the Buyer:</w:t>
      </w:r>
    </w:p>
    <w:p>
      <w:pPr>
        <w:spacing w:after="0" w:line="210" w:lineRule="exact"/>
        <w:rPr>
          <w:sz w:val="20"/>
          <w:szCs w:val="20"/>
          <w:color w:val="auto"/>
        </w:rPr>
      </w:pPr>
    </w:p>
    <w:p>
      <w:pPr>
        <w:ind w:left="380" w:right="460" w:firstLine="3001"/>
        <w:spacing w:after="0" w:line="258" w:lineRule="auto"/>
        <w:tabs>
          <w:tab w:leader="none" w:pos="4124" w:val="left"/>
        </w:tabs>
        <w:numPr>
          <w:ilvl w:val="1"/>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 up-to-date shareholder register of the Company showing the Buyer as the owner of the Company Shares;</w:t>
      </w:r>
    </w:p>
    <w:p>
      <w:pPr>
        <w:spacing w:after="0" w:line="158" w:lineRule="exact"/>
        <w:rPr>
          <w:rFonts w:ascii="Times New Roman" w:cs="Times New Roman" w:eastAsia="Times New Roman" w:hAnsi="Times New Roman"/>
          <w:sz w:val="22"/>
          <w:szCs w:val="22"/>
          <w:b w:val="1"/>
          <w:bCs w:val="1"/>
          <w:color w:val="auto"/>
        </w:rPr>
      </w:pPr>
    </w:p>
    <w:p>
      <w:pPr>
        <w:ind w:left="4080" w:hanging="699"/>
        <w:spacing w:after="0" w:line="258" w:lineRule="auto"/>
        <w:tabs>
          <w:tab w:leader="none" w:pos="4080" w:val="left"/>
        </w:tabs>
        <w:numPr>
          <w:ilvl w:val="1"/>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 up-to-date register of beneficial owners showing the Buyer as the beneficial owner of the Company Shares;</w:t>
      </w:r>
    </w:p>
    <w:p>
      <w:pPr>
        <w:spacing w:after="0" w:line="158" w:lineRule="exact"/>
        <w:rPr>
          <w:rFonts w:ascii="Times New Roman" w:cs="Times New Roman" w:eastAsia="Times New Roman" w:hAnsi="Times New Roman"/>
          <w:sz w:val="22"/>
          <w:szCs w:val="22"/>
          <w:b w:val="1"/>
          <w:bCs w:val="1"/>
          <w:color w:val="auto"/>
        </w:rPr>
      </w:pPr>
    </w:p>
    <w:p>
      <w:pPr>
        <w:jc w:val="both"/>
        <w:ind w:left="4080" w:hanging="699"/>
        <w:spacing w:after="0" w:line="244" w:lineRule="auto"/>
        <w:tabs>
          <w:tab w:leader="none" w:pos="4080" w:val="left"/>
        </w:tabs>
        <w:numPr>
          <w:ilvl w:val="1"/>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 employment agreement between the Seller and the Company in the agreed form as attached in Annex 4.3a, duly signed and stamped by the Seller and the Company;</w:t>
      </w:r>
    </w:p>
    <w:p>
      <w:pPr>
        <w:spacing w:after="0" w:line="173" w:lineRule="exact"/>
        <w:rPr>
          <w:rFonts w:ascii="Times New Roman" w:cs="Times New Roman" w:eastAsia="Times New Roman" w:hAnsi="Times New Roman"/>
          <w:sz w:val="22"/>
          <w:szCs w:val="22"/>
          <w:b w:val="1"/>
          <w:bCs w:val="1"/>
          <w:color w:val="auto"/>
        </w:rPr>
      </w:pPr>
    </w:p>
    <w:p>
      <w:pPr>
        <w:jc w:val="both"/>
        <w:ind w:left="4080" w:hanging="699"/>
        <w:spacing w:after="0" w:line="239" w:lineRule="auto"/>
        <w:tabs>
          <w:tab w:leader="none" w:pos="4080" w:val="left"/>
        </w:tabs>
        <w:numPr>
          <w:ilvl w:val="1"/>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service agreement between Green Trident and the Company in the agreed form as attached in Annex 4.3b (the "</w:t>
      </w:r>
      <w:r>
        <w:rPr>
          <w:rFonts w:ascii="Times New Roman" w:cs="Times New Roman" w:eastAsia="Times New Roman" w:hAnsi="Times New Roman"/>
          <w:sz w:val="22"/>
          <w:szCs w:val="22"/>
          <w:b w:val="1"/>
          <w:bCs w:val="1"/>
          <w:color w:val="auto"/>
        </w:rPr>
        <w:t>GT Service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duly signed and stamped by Green Trident,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Dimitrii Zhelezov and the Company;</w:t>
      </w:r>
    </w:p>
    <w:p>
      <w:pPr>
        <w:spacing w:after="0" w:line="180" w:lineRule="exact"/>
        <w:rPr>
          <w:rFonts w:ascii="Times New Roman" w:cs="Times New Roman" w:eastAsia="Times New Roman" w:hAnsi="Times New Roman"/>
          <w:sz w:val="22"/>
          <w:szCs w:val="22"/>
          <w:b w:val="1"/>
          <w:bCs w:val="1"/>
          <w:color w:val="auto"/>
        </w:rPr>
      </w:pPr>
    </w:p>
    <w:p>
      <w:pPr>
        <w:jc w:val="both"/>
        <w:ind w:left="4080" w:hanging="699"/>
        <w:spacing w:after="0" w:line="244" w:lineRule="auto"/>
        <w:tabs>
          <w:tab w:leader="none" w:pos="4080" w:val="left"/>
        </w:tabs>
        <w:numPr>
          <w:ilvl w:val="1"/>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Lock Up Agreement between the Buyer and the Seller, in the agreed form as attached in Annex 4.3c, duly signed and stamped by the Seller;</w:t>
      </w:r>
    </w:p>
    <w:p>
      <w:pPr>
        <w:spacing w:after="0" w:line="173" w:lineRule="exact"/>
        <w:rPr>
          <w:rFonts w:ascii="Times New Roman" w:cs="Times New Roman" w:eastAsia="Times New Roman" w:hAnsi="Times New Roman"/>
          <w:sz w:val="22"/>
          <w:szCs w:val="22"/>
          <w:b w:val="1"/>
          <w:bCs w:val="1"/>
          <w:color w:val="auto"/>
        </w:rPr>
      </w:pPr>
    </w:p>
    <w:p>
      <w:pPr>
        <w:jc w:val="both"/>
        <w:ind w:left="4080" w:hanging="699"/>
        <w:spacing w:after="0" w:line="261" w:lineRule="auto"/>
        <w:tabs>
          <w:tab w:leader="none" w:pos="4080" w:val="left"/>
        </w:tabs>
        <w:numPr>
          <w:ilvl w:val="1"/>
          <w:numId w:val="7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 Lock Up Agreement between the Buyer, Green Trident and Dmitrii Zhelezov, in the agreed form as attached in Annex 4.3d, duly signed and stamped by Green Trident and Dmitrii Zhelezov;</w:t>
      </w:r>
    </w:p>
    <w:p>
      <w:pPr>
        <w:spacing w:after="0" w:line="157" w:lineRule="exact"/>
        <w:rPr>
          <w:rFonts w:ascii="Times New Roman" w:cs="Times New Roman" w:eastAsia="Times New Roman" w:hAnsi="Times New Roman"/>
          <w:sz w:val="21"/>
          <w:szCs w:val="21"/>
          <w:b w:val="1"/>
          <w:bCs w:val="1"/>
          <w:color w:val="auto"/>
        </w:rPr>
      </w:pPr>
    </w:p>
    <w:p>
      <w:pPr>
        <w:ind w:left="4080" w:hanging="699"/>
        <w:spacing w:after="0" w:line="258" w:lineRule="auto"/>
        <w:tabs>
          <w:tab w:leader="none" w:pos="4080" w:val="left"/>
        </w:tabs>
        <w:numPr>
          <w:ilvl w:val="1"/>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warrant instrument in the agreed form as attached in Annex 4.3e, duly signed and stamped by Green Trident; and</w:t>
      </w:r>
    </w:p>
    <w:p>
      <w:pPr>
        <w:spacing w:after="0" w:line="158" w:lineRule="exact"/>
        <w:rPr>
          <w:rFonts w:ascii="Times New Roman" w:cs="Times New Roman" w:eastAsia="Times New Roman" w:hAnsi="Times New Roman"/>
          <w:sz w:val="22"/>
          <w:szCs w:val="22"/>
          <w:b w:val="1"/>
          <w:bCs w:val="1"/>
          <w:color w:val="auto"/>
        </w:rPr>
      </w:pPr>
    </w:p>
    <w:p>
      <w:pPr>
        <w:ind w:left="4120" w:hanging="739"/>
        <w:spacing w:after="0"/>
        <w:tabs>
          <w:tab w:leader="none" w:pos="4120" w:val="left"/>
        </w:tabs>
        <w:numPr>
          <w:ilvl w:val="1"/>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copy of the VDR stored in electronic form on a data carrier;</w:t>
      </w:r>
    </w:p>
    <w:p>
      <w:pPr>
        <w:spacing w:after="0" w:line="206" w:lineRule="exact"/>
        <w:rPr>
          <w:rFonts w:ascii="Times New Roman" w:cs="Times New Roman" w:eastAsia="Times New Roman" w:hAnsi="Times New Roman"/>
          <w:sz w:val="22"/>
          <w:szCs w:val="22"/>
          <w:b w:val="1"/>
          <w:bCs w:val="1"/>
          <w:color w:val="auto"/>
        </w:rPr>
      </w:pPr>
    </w:p>
    <w:p>
      <w:pPr>
        <w:ind w:left="3940" w:hanging="754"/>
        <w:spacing w:after="0"/>
        <w:tabs>
          <w:tab w:leader="none" w:pos="394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Buyer shall deliver to the Seller:</w:t>
      </w:r>
    </w:p>
    <w:p>
      <w:pPr>
        <w:spacing w:after="0" w:line="381" w:lineRule="exact"/>
        <w:rPr>
          <w:rFonts w:ascii="Times New Roman" w:cs="Times New Roman" w:eastAsia="Times New Roman" w:hAnsi="Times New Roman"/>
          <w:sz w:val="22"/>
          <w:szCs w:val="22"/>
          <w:b w:val="1"/>
          <w:bCs w:val="1"/>
          <w:color w:val="auto"/>
        </w:rPr>
      </w:pPr>
    </w:p>
    <w:p>
      <w:pPr>
        <w:jc w:val="both"/>
        <w:ind w:left="4080" w:hanging="699"/>
        <w:spacing w:after="0" w:line="244" w:lineRule="auto"/>
        <w:tabs>
          <w:tab w:leader="none" w:pos="4080" w:val="left"/>
        </w:tabs>
        <w:numPr>
          <w:ilvl w:val="1"/>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Lock Up Agreement between the Buyer and the Seller, in the agreed form as attached in Annex 4.3c, duly signed and stamped by the Buyer;</w:t>
      </w:r>
    </w:p>
    <w:p>
      <w:pPr>
        <w:spacing w:after="0" w:line="173" w:lineRule="exact"/>
        <w:rPr>
          <w:rFonts w:ascii="Times New Roman" w:cs="Times New Roman" w:eastAsia="Times New Roman" w:hAnsi="Times New Roman"/>
          <w:sz w:val="22"/>
          <w:szCs w:val="22"/>
          <w:b w:val="1"/>
          <w:bCs w:val="1"/>
          <w:color w:val="auto"/>
        </w:rPr>
      </w:pPr>
    </w:p>
    <w:p>
      <w:pPr>
        <w:jc w:val="both"/>
        <w:ind w:left="4080" w:hanging="699"/>
        <w:spacing w:after="0" w:line="244" w:lineRule="auto"/>
        <w:tabs>
          <w:tab w:leader="none" w:pos="4080" w:val="left"/>
        </w:tabs>
        <w:numPr>
          <w:ilvl w:val="1"/>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Lock Up Agreement between the Buyer, Green Trident and Dmitrii Zhelezov, in the agreed form as attached in Annex 4.3d, duly signed and stamped by the Buyer; and</w:t>
      </w:r>
    </w:p>
    <w:p>
      <w:pPr>
        <w:spacing w:after="0" w:line="173" w:lineRule="exact"/>
        <w:rPr>
          <w:rFonts w:ascii="Times New Roman" w:cs="Times New Roman" w:eastAsia="Times New Roman" w:hAnsi="Times New Roman"/>
          <w:sz w:val="22"/>
          <w:szCs w:val="22"/>
          <w:b w:val="1"/>
          <w:bCs w:val="1"/>
          <w:color w:val="auto"/>
        </w:rPr>
      </w:pPr>
    </w:p>
    <w:p>
      <w:pPr>
        <w:ind w:left="4080" w:right="360" w:hanging="699"/>
        <w:spacing w:after="0" w:line="258" w:lineRule="auto"/>
        <w:tabs>
          <w:tab w:leader="none" w:pos="4080" w:val="left"/>
        </w:tabs>
        <w:numPr>
          <w:ilvl w:val="1"/>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warrant instrument in the agreed form as attached in Annex 4.3e, duly signed and stamped by the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859790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04" w:right="719" w:bottom="1440" w:gutter="0" w:footer="0" w:header="0"/>
        </w:sectPr>
      </w:pPr>
    </w:p>
    <w:bookmarkStart w:id="64" w:name="page65"/>
    <w:bookmarkEnd w:id="64"/>
    <w:p>
      <w:pPr>
        <w:spacing w:after="0" w:line="181" w:lineRule="exact"/>
        <w:rPr>
          <w:sz w:val="20"/>
          <w:szCs w:val="20"/>
          <w:color w:val="auto"/>
        </w:rPr>
      </w:pPr>
    </w:p>
    <w:p>
      <w:pPr>
        <w:jc w:val="both"/>
        <w:ind w:left="380" w:right="200"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4.4</w:t>
      </w:r>
      <w:r>
        <w:rPr>
          <w:rFonts w:ascii="Times New Roman" w:cs="Times New Roman" w:eastAsia="Times New Roman" w:hAnsi="Times New Roman"/>
          <w:sz w:val="22"/>
          <w:szCs w:val="22"/>
          <w:color w:val="auto"/>
        </w:rPr>
        <w:t>As soon as reasonably practicable following Closing (but in any event by not later than 20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Days following the Closing Date), the Buyer will deliver to the benefit of the Seller (subject to the terms of the Lock Up Agreement entered into between the Buyer and the Seller) such number of fully paid, non-assessable, freely transferable RZLV Shares equal to USD 1,500,000 calculated by reference to the Initial VWAP (the "</w:t>
      </w:r>
      <w:r>
        <w:rPr>
          <w:rFonts w:ascii="Times New Roman" w:cs="Times New Roman" w:eastAsia="Times New Roman" w:hAnsi="Times New Roman"/>
          <w:sz w:val="22"/>
          <w:szCs w:val="22"/>
          <w:b w:val="1"/>
          <w:bCs w:val="1"/>
          <w:color w:val="auto"/>
        </w:rPr>
        <w:t>Equity Consideration Shares</w:t>
      </w:r>
      <w:r>
        <w:rPr>
          <w:rFonts w:ascii="Times New Roman" w:cs="Times New Roman" w:eastAsia="Times New Roman" w:hAnsi="Times New Roman"/>
          <w:sz w:val="22"/>
          <w:szCs w:val="22"/>
          <w:color w:val="auto"/>
        </w:rPr>
        <w:t>"), by allotting such shares directly to GTU Ops Inc to be held in depositary receipt form for the benefit of the Seller and the Seller's name is to be entered on the register of depositary receipts (as held by Computershare Trust Company N.A) as the beneficial holder of the Equity Consideration Shares to which the Seller is entitled (with such entitlement to be represented by the issue of depositary receipt certificates by Computershare), and the allotment of the Equity Consideration Shares in the manner described in this Section 4.4 shall be in full satisfaction by the Buyer of the Equity Consideration. Any transfer taxes, stamp duties or issuance/registration fees arising from the issuance of the Equity Consideration Shares shall be borne by the Buyer. In addition, the Buyer shall bear all costs and expenses associated with the issue of the Equity Consideration Shares into the custody of GTU Ops Inc. and related issue of the depositary receipts.</w:t>
      </w:r>
    </w:p>
    <w:p>
      <w:pPr>
        <w:spacing w:after="0" w:line="180" w:lineRule="exact"/>
        <w:rPr>
          <w:sz w:val="20"/>
          <w:szCs w:val="20"/>
          <w:color w:val="auto"/>
        </w:rPr>
      </w:pPr>
    </w:p>
    <w:p>
      <w:pPr>
        <w:jc w:val="both"/>
        <w:ind w:left="380" w:right="20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4.5</w:t>
      </w:r>
      <w:r>
        <w:rPr>
          <w:rFonts w:ascii="Times New Roman" w:cs="Times New Roman" w:eastAsia="Times New Roman" w:hAnsi="Times New Roman"/>
          <w:sz w:val="22"/>
          <w:szCs w:val="22"/>
          <w:color w:val="auto"/>
        </w:rPr>
        <w:t>The Seller shall ensure that the Company and its directors shall undertake all actions necessary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passing of all resolutions and the filing of all relevant forms with the Registrar of Companies) to authorize appointment of the persons nominated by the Buyer pursuant to Section 4.3(a)(v)(3) as managing director(s) on the Management.</w:t>
      </w:r>
    </w:p>
    <w:p>
      <w:pPr>
        <w:spacing w:after="0" w:line="17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color w:val="auto"/>
        </w:rPr>
        <w:t>4.6</w:t>
      </w:r>
      <w:r>
        <w:rPr>
          <w:rFonts w:ascii="Times New Roman" w:cs="Times New Roman" w:eastAsia="Times New Roman" w:hAnsi="Times New Roman"/>
          <w:sz w:val="22"/>
          <w:szCs w:val="22"/>
          <w:color w:val="auto"/>
        </w:rPr>
        <w:t>Subject to Section 4.7, as soon as reasonably practicable but in any event no later than 30</w:t>
      </w:r>
    </w:p>
    <w:p>
      <w:pPr>
        <w:spacing w:after="0" w:line="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Business Days following the first and the second anniversary of Closing, respectively:</w:t>
      </w:r>
    </w:p>
    <w:p>
      <w:pPr>
        <w:spacing w:after="0" w:line="182" w:lineRule="exact"/>
        <w:rPr>
          <w:sz w:val="20"/>
          <w:szCs w:val="20"/>
          <w:color w:val="auto"/>
        </w:rPr>
      </w:pPr>
    </w:p>
    <w:p>
      <w:pPr>
        <w:jc w:val="both"/>
        <w:ind w:left="380" w:right="200" w:firstLine="1503"/>
        <w:spacing w:after="0" w:line="239" w:lineRule="auto"/>
        <w:tabs>
          <w:tab w:leader="none" w:pos="2425"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first anniversary of Closing, the Buyer will deliver to the benefit of the Seller (subject to the terms of the Lock Up Agreement entered into between the Buyer and the Seller) such number of fully paid, non-assessable, freely transferable RZLV Shares equal to a net amount of USD 1,750,000 calculated by reference to the One Year VWAP (the "</w:t>
      </w:r>
      <w:r>
        <w:rPr>
          <w:rFonts w:ascii="Times New Roman" w:cs="Times New Roman" w:eastAsia="Times New Roman" w:hAnsi="Times New Roman"/>
          <w:sz w:val="22"/>
          <w:szCs w:val="22"/>
          <w:b w:val="1"/>
          <w:bCs w:val="1"/>
          <w:color w:val="auto"/>
        </w:rPr>
        <w:t>First Year Consideration Shares</w:t>
      </w:r>
      <w:r>
        <w:rPr>
          <w:rFonts w:ascii="Times New Roman" w:cs="Times New Roman" w:eastAsia="Times New Roman" w:hAnsi="Times New Roman"/>
          <w:sz w:val="22"/>
          <w:szCs w:val="22"/>
          <w:color w:val="auto"/>
        </w:rPr>
        <w:t>"); and</w:t>
      </w:r>
    </w:p>
    <w:p>
      <w:pPr>
        <w:spacing w:after="0" w:line="180" w:lineRule="exact"/>
        <w:rPr>
          <w:rFonts w:ascii="Times New Roman" w:cs="Times New Roman" w:eastAsia="Times New Roman" w:hAnsi="Times New Roman"/>
          <w:sz w:val="22"/>
          <w:szCs w:val="22"/>
          <w:b w:val="1"/>
          <w:bCs w:val="1"/>
          <w:color w:val="auto"/>
        </w:rPr>
      </w:pPr>
    </w:p>
    <w:p>
      <w:pPr>
        <w:jc w:val="both"/>
        <w:ind w:left="380" w:right="200" w:firstLine="1503"/>
        <w:spacing w:after="0" w:line="255" w:lineRule="auto"/>
        <w:tabs>
          <w:tab w:leader="none" w:pos="2425" w:val="left"/>
        </w:tabs>
        <w:numPr>
          <w:ilvl w:val="0"/>
          <w:numId w:val="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second anniversary of Closing, the Buyer will deliver to the benefit of the Seller (subject to the terms of the Lock Up Agreement entered into between the Buyer and the Seller) such number of fully paid, non-assessable, freely transferable RZLV Shares equal to a net amount of USD 1,750,000 calculated by reference to the Two Year VWAP (the "</w:t>
      </w:r>
      <w:r>
        <w:rPr>
          <w:rFonts w:ascii="Times New Roman" w:cs="Times New Roman" w:eastAsia="Times New Roman" w:hAnsi="Times New Roman"/>
          <w:sz w:val="21"/>
          <w:szCs w:val="21"/>
          <w:b w:val="1"/>
          <w:bCs w:val="1"/>
          <w:color w:val="auto"/>
        </w:rPr>
        <w:t>Second Year Consideration Shares</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ind w:left="1140"/>
        <w:spacing w:after="0" w:line="241" w:lineRule="auto"/>
        <w:rPr>
          <w:sz w:val="20"/>
          <w:szCs w:val="20"/>
          <w:color w:val="auto"/>
        </w:rPr>
      </w:pPr>
      <w:r>
        <w:rPr>
          <w:rFonts w:ascii="Times New Roman" w:cs="Times New Roman" w:eastAsia="Times New Roman" w:hAnsi="Times New Roman"/>
          <w:sz w:val="22"/>
          <w:szCs w:val="22"/>
          <w:color w:val="auto"/>
        </w:rPr>
        <w:t>in each case by allotting such shares directly to GTU Ops Inc to be held in depositary receipt form for the benefit of the Seller and the Seller's name is to be entered on the register</w:t>
      </w:r>
    </w:p>
    <w:p>
      <w:pPr>
        <w:spacing w:after="0" w:line="2" w:lineRule="exact"/>
        <w:rPr>
          <w:sz w:val="20"/>
          <w:szCs w:val="20"/>
          <w:color w:val="auto"/>
        </w:rPr>
      </w:pPr>
    </w:p>
    <w:p>
      <w:pPr>
        <w:jc w:val="both"/>
        <w:ind w:left="1140" w:right="200"/>
        <w:spacing w:after="0" w:line="232" w:lineRule="auto"/>
        <w:rPr>
          <w:sz w:val="20"/>
          <w:szCs w:val="20"/>
          <w:color w:val="auto"/>
        </w:rPr>
      </w:pPr>
      <w:r>
        <w:rPr>
          <w:rFonts w:ascii="Times New Roman" w:cs="Times New Roman" w:eastAsia="Times New Roman" w:hAnsi="Times New Roman"/>
          <w:sz w:val="22"/>
          <w:szCs w:val="22"/>
          <w:color w:val="auto"/>
        </w:rPr>
        <w:t>of depositary receipts (as held by Computershare Trust Company N.A) as the beneficial holder of the First Year Consideration Shares and/or Second Year Consideration Shares (as applicable) to which the Seller is entitled (with such entitlement to be represented by the issue of depositary receipt certificates by Computershare), and the allotment of the First Year Consideration Shares and the Second Year Equity Consideration Shares in the manner described in this Section 4.6 shall be in full satisfaction by the Buyer of the First Year Consideration and the Second Year Consideration. Any transfer taxes, stamp duties or issuance/registration fees arising from the issuance of the First Year Consideration Shares or the Second Year Consideration Shares shall be borne by the Buyer. In addition,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872490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40"/>
          </w:cols>
          <w:pgMar w:left="1440" w:top="1440" w:right="519" w:bottom="1440" w:gutter="0" w:footer="0" w:header="0"/>
        </w:sectPr>
      </w:pPr>
    </w:p>
    <w:bookmarkStart w:id="65" w:name="page66"/>
    <w:bookmarkEnd w:id="65"/>
    <w:p>
      <w:pPr>
        <w:ind w:left="1140"/>
        <w:spacing w:after="0" w:line="258" w:lineRule="auto"/>
        <w:rPr>
          <w:sz w:val="20"/>
          <w:szCs w:val="20"/>
          <w:color w:val="auto"/>
        </w:rPr>
      </w:pPr>
      <w:r>
        <w:rPr>
          <w:rFonts w:ascii="Times New Roman" w:cs="Times New Roman" w:eastAsia="Times New Roman" w:hAnsi="Times New Roman"/>
          <w:sz w:val="22"/>
          <w:szCs w:val="22"/>
          <w:color w:val="auto"/>
        </w:rPr>
        <w:t>Buyer shall bear all costs and expenses associated with the issue of the Equity Consideration Shares into the custody of GTU Ops Inc. and related issue of the depositary receipts.</w:t>
      </w:r>
    </w:p>
    <w:p>
      <w:pPr>
        <w:spacing w:after="0" w:line="154" w:lineRule="exact"/>
        <w:rPr>
          <w:sz w:val="20"/>
          <w:szCs w:val="20"/>
          <w:color w:val="auto"/>
        </w:rPr>
      </w:pPr>
    </w:p>
    <w:p>
      <w:pPr>
        <w:jc w:val="both"/>
        <w:ind w:left="38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4.7</w:t>
      </w:r>
      <w:r>
        <w:rPr>
          <w:rFonts w:ascii="Times New Roman" w:cs="Times New Roman" w:eastAsia="Times New Roman" w:hAnsi="Times New Roman"/>
          <w:sz w:val="22"/>
          <w:szCs w:val="22"/>
          <w:color w:val="auto"/>
        </w:rPr>
        <w:t>Notwithstanding Section 4.6, the obligation on the Buyer to issue the First Year Consideration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and the Second Year Consideration Shares shall only apply if at the time the relevant RZLV Shares are to be issued:</w:t>
      </w:r>
    </w:p>
    <w:p>
      <w:pPr>
        <w:spacing w:after="0" w:line="171" w:lineRule="exact"/>
        <w:rPr>
          <w:sz w:val="20"/>
          <w:szCs w:val="20"/>
          <w:color w:val="auto"/>
        </w:rPr>
      </w:pPr>
    </w:p>
    <w:p>
      <w:pPr>
        <w:jc w:val="both"/>
        <w:ind w:left="380" w:firstLine="1503"/>
        <w:spacing w:after="0" w:line="244" w:lineRule="auto"/>
        <w:tabs>
          <w:tab w:leader="none" w:pos="2425"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Seller has not resigned (or given notice to resign) from his employment with the Company or such employment has not been terminated (or is under notice of termination) in circumstances where the Seller is a Bad Leaver;</w:t>
      </w:r>
    </w:p>
    <w:p>
      <w:pPr>
        <w:spacing w:after="0" w:line="173" w:lineRule="exact"/>
        <w:rPr>
          <w:rFonts w:ascii="Times New Roman" w:cs="Times New Roman" w:eastAsia="Times New Roman" w:hAnsi="Times New Roman"/>
          <w:sz w:val="22"/>
          <w:szCs w:val="22"/>
          <w:b w:val="1"/>
          <w:bCs w:val="1"/>
          <w:color w:val="auto"/>
        </w:rPr>
      </w:pPr>
    </w:p>
    <w:p>
      <w:pPr>
        <w:jc w:val="both"/>
        <w:ind w:left="380" w:firstLine="1503"/>
        <w:spacing w:after="0" w:line="244" w:lineRule="auto"/>
        <w:tabs>
          <w:tab w:leader="none" w:pos="2425"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Seller has not committed a material breach of any non-compete obligations owed to the Company, the Buyer or its Subsidiaries whether under the Seller's terms of employment or otherwise;</w:t>
      </w:r>
    </w:p>
    <w:p>
      <w:pPr>
        <w:spacing w:after="0" w:line="173" w:lineRule="exact"/>
        <w:rPr>
          <w:rFonts w:ascii="Times New Roman" w:cs="Times New Roman" w:eastAsia="Times New Roman" w:hAnsi="Times New Roman"/>
          <w:sz w:val="22"/>
          <w:szCs w:val="22"/>
          <w:b w:val="1"/>
          <w:bCs w:val="1"/>
          <w:color w:val="auto"/>
        </w:rPr>
      </w:pPr>
    </w:p>
    <w:p>
      <w:pPr>
        <w:ind w:left="380" w:firstLine="1503"/>
        <w:spacing w:after="0" w:line="258" w:lineRule="auto"/>
        <w:tabs>
          <w:tab w:leader="none" w:pos="2425"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Material Claim has arisen or is otherwise outstanding in respect of the representations and warranties of the Seller as set out in Section 6; and</w:t>
      </w:r>
    </w:p>
    <w:p>
      <w:pPr>
        <w:spacing w:after="0" w:line="158" w:lineRule="exact"/>
        <w:rPr>
          <w:rFonts w:ascii="Times New Roman" w:cs="Times New Roman" w:eastAsia="Times New Roman" w:hAnsi="Times New Roman"/>
          <w:sz w:val="22"/>
          <w:szCs w:val="22"/>
          <w:b w:val="1"/>
          <w:bCs w:val="1"/>
          <w:color w:val="auto"/>
        </w:rPr>
      </w:pPr>
    </w:p>
    <w:p>
      <w:pPr>
        <w:ind w:left="380" w:firstLine="1503"/>
        <w:spacing w:after="0" w:line="258" w:lineRule="auto"/>
        <w:tabs>
          <w:tab w:leader="none" w:pos="2425"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there has been no breach of the organizational rules of the Company which has resulted in a Material Adverse Effect having occurred.</w:t>
      </w:r>
    </w:p>
    <w:p>
      <w:pPr>
        <w:spacing w:after="0" w:line="1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color w:val="auto"/>
        </w:rPr>
        <w:t>4.8</w:t>
      </w:r>
      <w:r>
        <w:rPr>
          <w:rFonts w:ascii="Times New Roman" w:cs="Times New Roman" w:eastAsia="Times New Roman" w:hAnsi="Times New Roman"/>
          <w:sz w:val="22"/>
          <w:szCs w:val="22"/>
          <w:color w:val="auto"/>
        </w:rPr>
        <w:t>In respect of the First Year Consideration Shares and the Second Year Consideration Shares:</w:t>
      </w:r>
    </w:p>
    <w:p>
      <w:pPr>
        <w:spacing w:after="0" w:line="210" w:lineRule="exact"/>
        <w:rPr>
          <w:sz w:val="20"/>
          <w:szCs w:val="20"/>
          <w:color w:val="auto"/>
        </w:rPr>
      </w:pPr>
    </w:p>
    <w:p>
      <w:pPr>
        <w:jc w:val="both"/>
        <w:ind w:left="380" w:firstLine="1503"/>
        <w:spacing w:after="0" w:line="244" w:lineRule="auto"/>
        <w:tabs>
          <w:tab w:leader="none" w:pos="2425"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First Year Consideration Shares and the Second Year Consideration Shares shall be delivered free and clear of, and without any deduction or withholding for, any Swiss taxes or social security contributions of any kind;</w:t>
      </w:r>
    </w:p>
    <w:p>
      <w:pPr>
        <w:spacing w:after="0" w:line="173" w:lineRule="exact"/>
        <w:rPr>
          <w:rFonts w:ascii="Times New Roman" w:cs="Times New Roman" w:eastAsia="Times New Roman" w:hAnsi="Times New Roman"/>
          <w:sz w:val="22"/>
          <w:szCs w:val="22"/>
          <w:b w:val="1"/>
          <w:bCs w:val="1"/>
          <w:color w:val="auto"/>
        </w:rPr>
      </w:pPr>
    </w:p>
    <w:p>
      <w:pPr>
        <w:ind w:left="380" w:firstLine="1503"/>
        <w:spacing w:after="0" w:line="258" w:lineRule="auto"/>
        <w:tabs>
          <w:tab w:leader="none" w:pos="2425"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Seller shall receive the full number of such shares as if no deduction or withholding were required;</w:t>
      </w:r>
    </w:p>
    <w:p>
      <w:pPr>
        <w:spacing w:after="0" w:line="158" w:lineRule="exact"/>
        <w:rPr>
          <w:rFonts w:ascii="Times New Roman" w:cs="Times New Roman" w:eastAsia="Times New Roman" w:hAnsi="Times New Roman"/>
          <w:sz w:val="22"/>
          <w:szCs w:val="22"/>
          <w:b w:val="1"/>
          <w:bCs w:val="1"/>
          <w:color w:val="auto"/>
        </w:rPr>
      </w:pPr>
    </w:p>
    <w:p>
      <w:pPr>
        <w:jc w:val="both"/>
        <w:ind w:left="380" w:firstLine="1503"/>
        <w:spacing w:after="0" w:line="244" w:lineRule="auto"/>
        <w:tabs>
          <w:tab w:leader="none" w:pos="2425"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bear and be solely responsible for all Swiss income taxes, withholding taxes, social security contributions, and similar charges arising in connection with the delivery of the First Year Consideration Shares and the Second Year Consideration Shares;</w:t>
      </w:r>
    </w:p>
    <w:p>
      <w:pPr>
        <w:spacing w:after="0" w:line="173" w:lineRule="exact"/>
        <w:rPr>
          <w:rFonts w:ascii="Times New Roman" w:cs="Times New Roman" w:eastAsia="Times New Roman" w:hAnsi="Times New Roman"/>
          <w:sz w:val="22"/>
          <w:szCs w:val="22"/>
          <w:b w:val="1"/>
          <w:bCs w:val="1"/>
          <w:color w:val="auto"/>
        </w:rPr>
      </w:pPr>
    </w:p>
    <w:p>
      <w:pPr>
        <w:ind w:left="380" w:right="460" w:firstLine="1503"/>
        <w:spacing w:after="0" w:line="258" w:lineRule="auto"/>
        <w:tabs>
          <w:tab w:leader="none" w:pos="2424"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applicable law requires the Company to withhold or remit any Swiss taxes or social security contributions in connection with such delivery, the Company shall withhold and</w:t>
      </w:r>
    </w:p>
    <w:p>
      <w:pPr>
        <w:spacing w:after="0" w:line="3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remit such amounts to the competent authorities correctly, completely, and in a timely manner; and</w:t>
      </w:r>
    </w:p>
    <w:p>
      <w:pPr>
        <w:spacing w:after="0" w:line="206" w:lineRule="exact"/>
        <w:rPr>
          <w:sz w:val="20"/>
          <w:szCs w:val="20"/>
          <w:color w:val="auto"/>
        </w:rPr>
      </w:pPr>
    </w:p>
    <w:p>
      <w:pPr>
        <w:jc w:val="both"/>
        <w:ind w:left="380" w:firstLine="1503"/>
        <w:spacing w:after="0" w:line="244" w:lineRule="auto"/>
        <w:tabs>
          <w:tab w:leader="none" w:pos="2425"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Seller becomes liable to pay or bear any Swiss income taxes, withholding taxes, social security contributions, or similar charges (including any related interest, penalties, or costs) in respect of the delivery of the First Year Consideration Shares or the Second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869315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08" w:right="719" w:bottom="1440" w:gutter="0" w:footer="0" w:header="0"/>
        </w:sectPr>
      </w:pPr>
    </w:p>
    <w:bookmarkStart w:id="66" w:name="page67"/>
    <w:bookmarkEnd w:id="66"/>
    <w:p>
      <w:pPr>
        <w:spacing w:after="0" w:line="185"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22"/>
          <w:szCs w:val="22"/>
          <w:color w:val="auto"/>
        </w:rPr>
        <w:t>Year Consideration Shares, the Buyer shall indemnify and hold the Seller harmless on a grossed- up basis. After such indemnification, the Seller shall be in the same net economic position as if no such taxes or contributions had been imposed.</w:t>
      </w:r>
    </w:p>
    <w:p>
      <w:pPr>
        <w:spacing w:after="0" w:line="173" w:lineRule="exact"/>
        <w:rPr>
          <w:sz w:val="20"/>
          <w:szCs w:val="20"/>
          <w:color w:val="auto"/>
        </w:rPr>
      </w:pPr>
    </w:p>
    <w:p>
      <w:pPr>
        <w:jc w:val="both"/>
        <w:ind w:left="380"/>
        <w:spacing w:after="0" w:line="238" w:lineRule="auto"/>
        <w:rPr>
          <w:sz w:val="20"/>
          <w:szCs w:val="20"/>
          <w:color w:val="auto"/>
        </w:rPr>
      </w:pPr>
      <w:r>
        <w:rPr>
          <w:rFonts w:ascii="Times New Roman" w:cs="Times New Roman" w:eastAsia="Times New Roman" w:hAnsi="Times New Roman"/>
          <w:sz w:val="22"/>
          <w:szCs w:val="22"/>
          <w:color w:val="auto"/>
        </w:rPr>
        <w:t>The Seller shall notify the Buyer within 10 Business Days after receiving any assessment, decision, or other notice that could result in a claim under this Section 4.8, and the Buyer, the Seller, and the Company shall cooperate in good faith and exchange all documents and information reasonably required for the correct and timely assessment, withholding, remittance, and reporting of any taxes or social security contributions related to this Agreement.</w:t>
      </w:r>
    </w:p>
    <w:p>
      <w:pPr>
        <w:spacing w:after="0" w:line="173" w:lineRule="exact"/>
        <w:rPr>
          <w:sz w:val="20"/>
          <w:szCs w:val="20"/>
          <w:color w:val="auto"/>
        </w:rPr>
      </w:pPr>
    </w:p>
    <w:p>
      <w:pPr>
        <w:jc w:val="both"/>
        <w:ind w:left="380"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4.9</w:t>
      </w:r>
      <w:r>
        <w:rPr>
          <w:rFonts w:ascii="Times New Roman" w:cs="Times New Roman" w:eastAsia="Times New Roman" w:hAnsi="Times New Roman"/>
          <w:sz w:val="22"/>
          <w:szCs w:val="22"/>
          <w:color w:val="auto"/>
        </w:rPr>
        <w:t>As soon as reasonably practicable following Closing (and, in any event, within 30 days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thereof), the Buyer and the Seller shall agree the Tech and Product Roadmap.</w:t>
      </w:r>
    </w:p>
    <w:p>
      <w:pPr>
        <w:spacing w:after="0" w:line="150" w:lineRule="exact"/>
        <w:rPr>
          <w:sz w:val="20"/>
          <w:szCs w:val="20"/>
          <w:color w:val="auto"/>
        </w:rPr>
      </w:pPr>
    </w:p>
    <w:p>
      <w:pPr>
        <w:jc w:val="both"/>
        <w:ind w:left="380" w:firstLine="749"/>
        <w:spacing w:after="0" w:line="244" w:lineRule="auto"/>
        <w:rPr>
          <w:sz w:val="20"/>
          <w:szCs w:val="20"/>
          <w:color w:val="auto"/>
        </w:rPr>
      </w:pPr>
      <w:r>
        <w:rPr>
          <w:rFonts w:ascii="Times New Roman" w:cs="Times New Roman" w:eastAsia="Times New Roman" w:hAnsi="Times New Roman"/>
          <w:sz w:val="21"/>
          <w:szCs w:val="21"/>
          <w:b w:val="1"/>
          <w:bCs w:val="1"/>
          <w:color w:val="auto"/>
        </w:rPr>
        <w:t>4.10</w:t>
      </w:r>
      <w:r>
        <w:rPr>
          <w:rFonts w:ascii="Times New Roman" w:cs="Times New Roman" w:eastAsia="Times New Roman" w:hAnsi="Times New Roman"/>
          <w:sz w:val="21"/>
          <w:szCs w:val="21"/>
          <w:color w:val="auto"/>
        </w:rPr>
        <w:t>Following Closing, the Buyer shall, subject to the provisions of applicable law and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obtaining all consents necessary to do so and where grants are to be made under any Buyer equity incentive plan subject to there being sufficient headroom in any associated limits in such plan, grant stock options (or any similar instrument) exercisable for an aggregate number of RZVL Shares equal to USD 2,000,000 calculated by reference to the Initial VWAP to such employees and consultants of the Company (other than the Seller, Green Trident, Dimitrii Zhelezov and any of their respective Related Persons; and provided that no stock option (or similar instrument) shall, unless the Buyer determines otherwise, be granted to any person who is not a service provider or is not an individual) as are agreed by the Buyer and the Seller from time to time. Such stock options (or similar securities) will have an exercise price of £0.0001 per RZLV Share (subject to any adjustments required to take account of any variation of share capital) and, provided that the grantee is still employed or contracted by the Company at the time, such grantee’s options will be fully vested and exercisable as of the first anniversary of the grant date. Subject to applicable law, the grantee (and not the Buyer, the Company or any of their respective Subsidiaries) shall be responsible for all Tax payable in connection with the grant and exercise of such stock options (or similar securities). Notwithstanding the foregoing, the Buyer and the Seller may, at the time of such grants, agree on the most advantageous manner in structuring the terms of the grants (including from a Tax perspective). For the avoidance of doubt, where a stock option is granted and is then exercised or lapsed, the resulting shares shall not be required to be re-granted under this Section 4.10.</w:t>
      </w:r>
    </w:p>
    <w:p>
      <w:pPr>
        <w:spacing w:after="0" w:line="171" w:lineRule="exact"/>
        <w:rPr>
          <w:sz w:val="20"/>
          <w:szCs w:val="20"/>
          <w:color w:val="auto"/>
        </w:rPr>
      </w:pPr>
    </w:p>
    <w:p>
      <w:pPr>
        <w:ind w:left="1140" w:hanging="755"/>
        <w:spacing w:after="0"/>
        <w:tabs>
          <w:tab w:leader="none" w:pos="114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ost</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losing</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orking</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apital</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ontributions and</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oken</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ommitment</w:t>
      </w:r>
    </w:p>
    <w:p>
      <w:pPr>
        <w:spacing w:after="0" w:line="210" w:lineRule="exact"/>
        <w:rPr>
          <w:rFonts w:ascii="Times New Roman" w:cs="Times New Roman" w:eastAsia="Times New Roman" w:hAnsi="Times New Roman"/>
          <w:sz w:val="22"/>
          <w:szCs w:val="22"/>
          <w:b w:val="1"/>
          <w:bCs w:val="1"/>
          <w:color w:val="auto"/>
        </w:rPr>
      </w:pPr>
    </w:p>
    <w:p>
      <w:pPr>
        <w:jc w:val="both"/>
        <w:ind w:left="380" w:firstLine="1503"/>
        <w:spacing w:after="0" w:line="238" w:lineRule="auto"/>
        <w:tabs>
          <w:tab w:leader="none" w:pos="2425" w:val="left"/>
        </w:tabs>
        <w:numPr>
          <w:ilvl w:val="1"/>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Section 5(e), the Buyer undertakes to contribute an aggregate amount of at least US$5,000,000 to the Company’s capital reserve (</w:t>
      </w:r>
      <w:r>
        <w:rPr>
          <w:rFonts w:ascii="Times New Roman" w:cs="Times New Roman" w:eastAsia="Times New Roman" w:hAnsi="Times New Roman"/>
          <w:sz w:val="22"/>
          <w:szCs w:val="22"/>
          <w:i w:val="1"/>
          <w:iCs w:val="1"/>
          <w:color w:val="auto"/>
        </w:rPr>
        <w:t>Kapitaleinlagereserve</w:t>
      </w:r>
      <w:r>
        <w:rPr>
          <w:rFonts w:ascii="Times New Roman" w:cs="Times New Roman" w:eastAsia="Times New Roman" w:hAnsi="Times New Roman"/>
          <w:sz w:val="22"/>
          <w:szCs w:val="22"/>
          <w:color w:val="auto"/>
        </w:rPr>
        <w:t>) (in one or more instalments) within 45 days after Closing to be used by the Company as necessary in connection with capital and operational expenditure requirements set out in the Tech and Product Roadmap (as agreed in accordance with Section 4.8 and as amended with the written consent of the Seller from time to time).</w:t>
      </w:r>
    </w:p>
    <w:p>
      <w:pPr>
        <w:spacing w:after="0" w:line="176" w:lineRule="exact"/>
        <w:rPr>
          <w:rFonts w:ascii="Times New Roman" w:cs="Times New Roman" w:eastAsia="Times New Roman" w:hAnsi="Times New Roman"/>
          <w:sz w:val="22"/>
          <w:szCs w:val="22"/>
          <w:b w:val="1"/>
          <w:bCs w:val="1"/>
          <w:color w:val="auto"/>
        </w:rPr>
      </w:pPr>
    </w:p>
    <w:p>
      <w:pPr>
        <w:jc w:val="both"/>
        <w:ind w:left="380" w:firstLine="1503"/>
        <w:spacing w:after="0" w:line="244" w:lineRule="auto"/>
        <w:tabs>
          <w:tab w:leader="none" w:pos="2425" w:val="left"/>
        </w:tabs>
        <w:numPr>
          <w:ilvl w:val="1"/>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Section 5(e), the Parties acknowledge the intention of the Buyer to make available to the Company’s capital reserve (</w:t>
      </w:r>
      <w:r>
        <w:rPr>
          <w:rFonts w:ascii="Times New Roman" w:cs="Times New Roman" w:eastAsia="Times New Roman" w:hAnsi="Times New Roman"/>
          <w:sz w:val="22"/>
          <w:szCs w:val="22"/>
          <w:i w:val="1"/>
          <w:iCs w:val="1"/>
          <w:color w:val="auto"/>
        </w:rPr>
        <w:t>Kapitaleinlagereserve</w:t>
      </w:r>
      <w:r>
        <w:rPr>
          <w:rFonts w:ascii="Times New Roman" w:cs="Times New Roman" w:eastAsia="Times New Roman" w:hAnsi="Times New Roman"/>
          <w:sz w:val="22"/>
          <w:szCs w:val="22"/>
          <w:color w:val="auto"/>
        </w:rPr>
        <w:t>) an aggregate amount of USD 15,000,000 (fifteen million US dollars) within the twenty-four (24) months after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869315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40" w:right="719" w:bottom="1440" w:gutter="0" w:footer="0" w:header="0"/>
        </w:sectPr>
      </w:pPr>
    </w:p>
    <w:bookmarkStart w:id="67" w:name="page68"/>
    <w:bookmarkEnd w:id="67"/>
    <w:p>
      <w:pPr>
        <w:spacing w:after="0" w:line="185" w:lineRule="exact"/>
        <w:rPr>
          <w:sz w:val="20"/>
          <w:szCs w:val="20"/>
          <w:color w:val="auto"/>
        </w:rPr>
      </w:pPr>
    </w:p>
    <w:p>
      <w:pPr>
        <w:jc w:val="both"/>
        <w:ind w:left="380" w:right="160" w:firstLine="1503"/>
        <w:spacing w:after="0" w:line="244" w:lineRule="auto"/>
        <w:tabs>
          <w:tab w:leader="none" w:pos="2425"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Sections 5(e)(iv) and 5(e)(v), the Buyer shall purchase on the open market SQD Tokens in the amount of USD 10,000,000 (ten million US dollars) within 14 days after Closing.</w:t>
      </w:r>
    </w:p>
    <w:p>
      <w:pPr>
        <w:spacing w:after="0" w:line="173" w:lineRule="exact"/>
        <w:rPr>
          <w:rFonts w:ascii="Times New Roman" w:cs="Times New Roman" w:eastAsia="Times New Roman" w:hAnsi="Times New Roman"/>
          <w:sz w:val="22"/>
          <w:szCs w:val="22"/>
          <w:b w:val="1"/>
          <w:bCs w:val="1"/>
          <w:color w:val="auto"/>
        </w:rPr>
      </w:pPr>
    </w:p>
    <w:p>
      <w:pPr>
        <w:ind w:left="380" w:right="160" w:firstLine="1503"/>
        <w:spacing w:after="0" w:line="258" w:lineRule="auto"/>
        <w:tabs>
          <w:tab w:leader="none" w:pos="2425"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Section 5(e), the Buyer shall commit to acquire SQD Tokens on the open market in an amount equal to:</w:t>
      </w:r>
    </w:p>
    <w:p>
      <w:pPr>
        <w:spacing w:after="0" w:line="158" w:lineRule="exact"/>
        <w:rPr>
          <w:sz w:val="20"/>
          <w:szCs w:val="20"/>
          <w:color w:val="auto"/>
        </w:rPr>
      </w:pPr>
    </w:p>
    <w:p>
      <w:pPr>
        <w:ind w:left="3180" w:hanging="249"/>
        <w:spacing w:after="0"/>
        <w:tabs>
          <w:tab w:leader="none" w:pos="318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1% of its annual revenues in respect of the fiscal year ending</w:t>
      </w:r>
    </w:p>
    <w:p>
      <w:pPr>
        <w:spacing w:after="0" w:line="14" w:lineRule="exact"/>
        <w:rPr>
          <w:sz w:val="20"/>
          <w:szCs w:val="20"/>
          <w:color w:val="auto"/>
        </w:rPr>
      </w:pPr>
    </w:p>
    <w:p>
      <w:pPr>
        <w:ind w:left="940"/>
        <w:spacing w:after="0" w:line="237" w:lineRule="auto"/>
        <w:rPr>
          <w:sz w:val="20"/>
          <w:szCs w:val="20"/>
          <w:color w:val="auto"/>
        </w:rPr>
      </w:pPr>
      <w:r>
        <w:rPr>
          <w:rFonts w:ascii="Times New Roman" w:cs="Times New Roman" w:eastAsia="Times New Roman" w:hAnsi="Times New Roman"/>
          <w:sz w:val="22"/>
          <w:szCs w:val="22"/>
          <w:color w:val="auto"/>
        </w:rPr>
        <w:t>31 December 2025 (as determined in the annual accounts of the Buyer, prepared in accordance with US GAAP) on or before 31 December 2026;</w:t>
      </w:r>
    </w:p>
    <w:p>
      <w:pPr>
        <w:spacing w:after="0" w:line="178" w:lineRule="exact"/>
        <w:rPr>
          <w:sz w:val="20"/>
          <w:szCs w:val="20"/>
          <w:color w:val="auto"/>
        </w:rPr>
      </w:pPr>
    </w:p>
    <w:p>
      <w:pPr>
        <w:ind w:left="3780" w:hanging="849"/>
        <w:spacing w:after="0"/>
        <w:tabs>
          <w:tab w:leader="none" w:pos="378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1% of its annual revenues in respect of the fiscal year ending</w:t>
      </w:r>
    </w:p>
    <w:p>
      <w:pPr>
        <w:spacing w:after="0" w:line="14" w:lineRule="exact"/>
        <w:rPr>
          <w:sz w:val="20"/>
          <w:szCs w:val="20"/>
          <w:color w:val="auto"/>
        </w:rPr>
      </w:pPr>
    </w:p>
    <w:p>
      <w:pPr>
        <w:ind w:left="940"/>
        <w:spacing w:after="0" w:line="237" w:lineRule="auto"/>
        <w:rPr>
          <w:sz w:val="20"/>
          <w:szCs w:val="20"/>
          <w:color w:val="auto"/>
        </w:rPr>
      </w:pPr>
      <w:r>
        <w:rPr>
          <w:rFonts w:ascii="Times New Roman" w:cs="Times New Roman" w:eastAsia="Times New Roman" w:hAnsi="Times New Roman"/>
          <w:sz w:val="22"/>
          <w:szCs w:val="22"/>
          <w:color w:val="auto"/>
        </w:rPr>
        <w:t>31 December 2026 (as determined in the annual accounts of the Buyer, prepared in accordance with US GAAP) on or before 31 December 2027; and</w:t>
      </w:r>
    </w:p>
    <w:p>
      <w:pPr>
        <w:spacing w:after="0" w:line="178" w:lineRule="exact"/>
        <w:rPr>
          <w:sz w:val="20"/>
          <w:szCs w:val="20"/>
          <w:color w:val="auto"/>
        </w:rPr>
      </w:pPr>
    </w:p>
    <w:p>
      <w:pPr>
        <w:ind w:left="3840" w:hanging="909"/>
        <w:spacing w:after="0"/>
        <w:tabs>
          <w:tab w:leader="none" w:pos="384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1% of its annual revenues in respect of the fiscal year ending</w:t>
      </w:r>
    </w:p>
    <w:p>
      <w:pPr>
        <w:spacing w:after="0" w:line="14" w:lineRule="exact"/>
        <w:rPr>
          <w:sz w:val="20"/>
          <w:szCs w:val="20"/>
          <w:color w:val="auto"/>
        </w:rPr>
      </w:pPr>
    </w:p>
    <w:p>
      <w:pPr>
        <w:ind w:left="940"/>
        <w:spacing w:after="0" w:line="237" w:lineRule="auto"/>
        <w:rPr>
          <w:sz w:val="20"/>
          <w:szCs w:val="20"/>
          <w:color w:val="auto"/>
        </w:rPr>
      </w:pPr>
      <w:r>
        <w:rPr>
          <w:rFonts w:ascii="Times New Roman" w:cs="Times New Roman" w:eastAsia="Times New Roman" w:hAnsi="Times New Roman"/>
          <w:sz w:val="22"/>
          <w:szCs w:val="22"/>
          <w:color w:val="auto"/>
        </w:rPr>
        <w:t>31 December 2027 (as determined in the annual accounts of the Buyer, prepared in accordance with US GAAP) on or before 31 December 2028.</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The commitment contained in this Section 5(d) shall remain confidential and shall not be publicly announced.</w:t>
      </w:r>
    </w:p>
    <w:p>
      <w:pPr>
        <w:spacing w:after="0" w:line="218" w:lineRule="exact"/>
        <w:rPr>
          <w:sz w:val="20"/>
          <w:szCs w:val="20"/>
          <w:color w:val="auto"/>
        </w:rPr>
      </w:pPr>
    </w:p>
    <w:p>
      <w:pPr>
        <w:jc w:val="both"/>
        <w:ind w:left="380" w:right="160" w:firstLine="1503"/>
        <w:spacing w:after="0" w:line="244" w:lineRule="auto"/>
        <w:tabs>
          <w:tab w:leader="none" w:pos="2425" w:val="left"/>
        </w:tabs>
        <w:numPr>
          <w:ilvl w:val="1"/>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obligations contained in Sections 5(a), 5(b) and 5(d) shall apply only if at the relevant time paragraphs (i) – (v) below are fulfilled and the obligations contained in Section 5(c) shall apply only if at the relevant time paragraphs (iv) and (v) below are fulfilled:</w:t>
      </w:r>
    </w:p>
    <w:p>
      <w:pPr>
        <w:spacing w:after="0" w:line="173" w:lineRule="exact"/>
        <w:rPr>
          <w:rFonts w:ascii="Times New Roman" w:cs="Times New Roman" w:eastAsia="Times New Roman" w:hAnsi="Times New Roman"/>
          <w:sz w:val="22"/>
          <w:szCs w:val="22"/>
          <w:b w:val="1"/>
          <w:bCs w:val="1"/>
          <w:color w:val="auto"/>
        </w:rPr>
      </w:pPr>
    </w:p>
    <w:p>
      <w:pPr>
        <w:jc w:val="both"/>
        <w:ind w:left="940" w:right="160" w:firstLine="2246"/>
        <w:spacing w:after="0" w:line="244" w:lineRule="auto"/>
        <w:tabs>
          <w:tab w:leader="none" w:pos="4187" w:val="left"/>
        </w:tabs>
        <w:numPr>
          <w:ilvl w:val="2"/>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Seller has not resigned (or given notice to resign) from his employment with the Company or such employment has not been terminated (or is under notice of termination) in circumstances where the Seller is a Bad Leaver;</w:t>
      </w:r>
    </w:p>
    <w:p>
      <w:pPr>
        <w:spacing w:after="0" w:line="173" w:lineRule="exact"/>
        <w:rPr>
          <w:rFonts w:ascii="Times New Roman" w:cs="Times New Roman" w:eastAsia="Times New Roman" w:hAnsi="Times New Roman"/>
          <w:sz w:val="22"/>
          <w:szCs w:val="22"/>
          <w:b w:val="1"/>
          <w:bCs w:val="1"/>
          <w:color w:val="auto"/>
        </w:rPr>
      </w:pPr>
    </w:p>
    <w:p>
      <w:pPr>
        <w:ind w:left="940" w:right="160" w:firstLine="2246"/>
        <w:spacing w:after="0" w:line="258" w:lineRule="auto"/>
        <w:tabs>
          <w:tab w:leader="none" w:pos="4341" w:val="left"/>
        </w:tabs>
        <w:numPr>
          <w:ilvl w:val="2"/>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GT Service Agreement has not been terminated (and no notice of termination has been served by either party thereto);</w:t>
      </w:r>
    </w:p>
    <w:p>
      <w:pPr>
        <w:spacing w:after="0" w:line="158" w:lineRule="exact"/>
        <w:rPr>
          <w:rFonts w:ascii="Times New Roman" w:cs="Times New Roman" w:eastAsia="Times New Roman" w:hAnsi="Times New Roman"/>
          <w:sz w:val="22"/>
          <w:szCs w:val="22"/>
          <w:b w:val="1"/>
          <w:bCs w:val="1"/>
          <w:color w:val="auto"/>
        </w:rPr>
      </w:pPr>
    </w:p>
    <w:p>
      <w:pPr>
        <w:jc w:val="both"/>
        <w:ind w:left="940" w:right="160" w:firstLine="2246"/>
        <w:spacing w:after="0" w:line="239" w:lineRule="auto"/>
        <w:tabs>
          <w:tab w:leader="none" w:pos="4374" w:val="left"/>
        </w:tabs>
        <w:numPr>
          <w:ilvl w:val="2"/>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none of the Seller, Green Trident nor Dimitrii Zhelezov has committed a material breach of any non-compete obligations owed to the Company, the Buyer or its Subsidiaries whether under the Seller's terms of employment, the GT Service Agreement or otherwise;</w:t>
      </w:r>
    </w:p>
    <w:p>
      <w:pPr>
        <w:spacing w:after="0" w:line="180" w:lineRule="exact"/>
        <w:rPr>
          <w:rFonts w:ascii="Times New Roman" w:cs="Times New Roman" w:eastAsia="Times New Roman" w:hAnsi="Times New Roman"/>
          <w:sz w:val="22"/>
          <w:szCs w:val="22"/>
          <w:b w:val="1"/>
          <w:bCs w:val="1"/>
          <w:color w:val="auto"/>
        </w:rPr>
      </w:pPr>
    </w:p>
    <w:p>
      <w:pPr>
        <w:ind w:left="4420" w:hanging="1234"/>
        <w:spacing w:after="0"/>
        <w:tabs>
          <w:tab w:leader="none" w:pos="4420" w:val="left"/>
        </w:tabs>
        <w:numPr>
          <w:ilvl w:val="2"/>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Material Claim has arisen or is otherwise outstanding in</w:t>
      </w:r>
    </w:p>
    <w:p>
      <w:pPr>
        <w:spacing w:after="0" w:line="14" w:lineRule="exact"/>
        <w:rPr>
          <w:rFonts w:ascii="Times New Roman" w:cs="Times New Roman" w:eastAsia="Times New Roman" w:hAnsi="Times New Roman"/>
          <w:sz w:val="22"/>
          <w:szCs w:val="22"/>
          <w:b w:val="1"/>
          <w:bCs w:val="1"/>
          <w:color w:val="auto"/>
        </w:rPr>
      </w:pPr>
    </w:p>
    <w:p>
      <w:pPr>
        <w:ind w:left="9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respect of the representations and warranties of the Seller as set out in Section 6; and</w:t>
      </w:r>
    </w:p>
    <w:p>
      <w:pPr>
        <w:spacing w:after="0" w:line="182" w:lineRule="exact"/>
        <w:rPr>
          <w:rFonts w:ascii="Times New Roman" w:cs="Times New Roman" w:eastAsia="Times New Roman" w:hAnsi="Times New Roman"/>
          <w:sz w:val="22"/>
          <w:szCs w:val="22"/>
          <w:b w:val="1"/>
          <w:bCs w:val="1"/>
          <w:color w:val="auto"/>
        </w:rPr>
      </w:pPr>
    </w:p>
    <w:p>
      <w:pPr>
        <w:ind w:left="4040" w:hanging="854"/>
        <w:spacing w:after="0"/>
        <w:tabs>
          <w:tab w:leader="none" w:pos="4040" w:val="left"/>
        </w:tabs>
        <w:numPr>
          <w:ilvl w:val="2"/>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Material Adverse Effect has occurred.</w:t>
      </w:r>
    </w:p>
    <w:p>
      <w:pPr>
        <w:spacing w:after="0" w:line="202" w:lineRule="exact"/>
        <w:rPr>
          <w:rFonts w:ascii="Times New Roman" w:cs="Times New Roman" w:eastAsia="Times New Roman" w:hAnsi="Times New Roman"/>
          <w:sz w:val="22"/>
          <w:szCs w:val="22"/>
          <w:b w:val="1"/>
          <w:bCs w:val="1"/>
          <w:color w:val="auto"/>
        </w:rPr>
      </w:pPr>
    </w:p>
    <w:p>
      <w:pPr>
        <w:ind w:left="1140" w:hanging="755"/>
        <w:spacing w:after="0"/>
        <w:tabs>
          <w:tab w:leader="none" w:pos="114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epresentations</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arranties</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eller</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left="380" w:right="160" w:firstLine="749"/>
        <w:spacing w:after="0" w:line="244" w:lineRule="auto"/>
        <w:rPr>
          <w:sz w:val="20"/>
          <w:szCs w:val="20"/>
          <w:color w:val="auto"/>
        </w:rPr>
      </w:pPr>
      <w:r>
        <w:rPr>
          <w:rFonts w:ascii="Times New Roman" w:cs="Times New Roman" w:eastAsia="Times New Roman" w:hAnsi="Times New Roman"/>
          <w:sz w:val="22"/>
          <w:szCs w:val="22"/>
          <w:color w:val="auto"/>
        </w:rPr>
        <w:t xml:space="preserve">The Seller represents and warrants to the Buyer that the representations and warranties set forth in </w:t>
      </w:r>
      <w:r>
        <w:rPr>
          <w:rFonts w:ascii="Times New Roman" w:cs="Times New Roman" w:eastAsia="Times New Roman" w:hAnsi="Times New Roman"/>
          <w:sz w:val="22"/>
          <w:szCs w:val="22"/>
          <w:u w:val="single" w:color="auto"/>
          <w:color w:val="auto"/>
        </w:rPr>
        <w:t>this Section 6</w:t>
      </w:r>
      <w:r>
        <w:rPr>
          <w:rFonts w:ascii="Times New Roman" w:cs="Times New Roman" w:eastAsia="Times New Roman" w:hAnsi="Times New Roman"/>
          <w:sz w:val="22"/>
          <w:szCs w:val="22"/>
          <w:color w:val="auto"/>
        </w:rPr>
        <w:t xml:space="preserve"> are true and correct on both the date of this Agreement and the Closing, except that: (i) those representations and warranties which are explicitly made as of a specific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869315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440" w:top="1440" w:right="559" w:bottom="1440" w:gutter="0" w:footer="0" w:header="0"/>
        </w:sectPr>
      </w:pPr>
    </w:p>
    <w:bookmarkStart w:id="68" w:name="page69"/>
    <w:bookmarkEnd w:id="68"/>
    <w:p>
      <w:pPr>
        <w:jc w:val="both"/>
        <w:ind w:left="380" w:right="20"/>
        <w:spacing w:after="0" w:line="244" w:lineRule="auto"/>
        <w:rPr>
          <w:sz w:val="20"/>
          <w:szCs w:val="20"/>
          <w:color w:val="auto"/>
        </w:rPr>
      </w:pPr>
      <w:r>
        <w:rPr>
          <w:rFonts w:ascii="Times New Roman" w:cs="Times New Roman" w:eastAsia="Times New Roman" w:hAnsi="Times New Roman"/>
          <w:sz w:val="22"/>
          <w:szCs w:val="22"/>
          <w:color w:val="auto"/>
        </w:rPr>
        <w:t>shall be true and correct only as of such date; and (ii) other than the Fundamental Warranties, the representations and warranties are subject to the documents or information Fairly Disclosed and provided only to the Seller’s best knowledge (having made reasonable enquiry of Dmitrii Zhelezov):</w:t>
      </w:r>
    </w:p>
    <w:p>
      <w:pPr>
        <w:spacing w:after="0" w:line="169" w:lineRule="exact"/>
        <w:rPr>
          <w:sz w:val="20"/>
          <w:szCs w:val="20"/>
          <w:color w:val="auto"/>
        </w:rPr>
      </w:pPr>
    </w:p>
    <w:p>
      <w:pPr>
        <w:ind w:left="1140"/>
        <w:spacing w:after="0"/>
        <w:tabs>
          <w:tab w:leader="none" w:pos="1860" w:val="left"/>
        </w:tabs>
        <w:rPr>
          <w:sz w:val="20"/>
          <w:szCs w:val="20"/>
          <w:color w:val="auto"/>
        </w:rPr>
      </w:pPr>
      <w:r>
        <w:rPr>
          <w:rFonts w:ascii="Times New Roman" w:cs="Times New Roman" w:eastAsia="Times New Roman" w:hAnsi="Times New Roman"/>
          <w:sz w:val="22"/>
          <w:szCs w:val="22"/>
          <w:b w:val="1"/>
          <w:bCs w:val="1"/>
          <w:color w:val="auto"/>
        </w:rPr>
        <w:t>6.1</w:t>
      </w:r>
      <w:r>
        <w:rPr>
          <w:sz w:val="20"/>
          <w:szCs w:val="20"/>
          <w:color w:val="auto"/>
        </w:rPr>
        <w:tab/>
      </w:r>
      <w:r>
        <w:rPr>
          <w:rFonts w:ascii="Times New Roman" w:cs="Times New Roman" w:eastAsia="Times New Roman" w:hAnsi="Times New Roman"/>
          <w:sz w:val="21"/>
          <w:szCs w:val="21"/>
          <w:b w:val="1"/>
          <w:bCs w:val="1"/>
          <w:color w:val="auto"/>
        </w:rPr>
        <w:t>Organization and Good Standing</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380" w:firstLine="1503"/>
        <w:spacing w:after="0" w:line="238" w:lineRule="auto"/>
        <w:tabs>
          <w:tab w:leader="none" w:pos="2425"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is a limited liability company (</w:t>
      </w:r>
      <w:r>
        <w:rPr>
          <w:rFonts w:ascii="Times New Roman" w:cs="Times New Roman" w:eastAsia="Times New Roman" w:hAnsi="Times New Roman"/>
          <w:sz w:val="22"/>
          <w:szCs w:val="22"/>
          <w:i w:val="1"/>
          <w:iCs w:val="1"/>
          <w:color w:val="auto"/>
        </w:rPr>
        <w:t>Gesellschaft mit beschränkter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Haftung</w:t>
      </w:r>
      <w:r>
        <w:rPr>
          <w:rFonts w:ascii="Times New Roman" w:cs="Times New Roman" w:eastAsia="Times New Roman" w:hAnsi="Times New Roman"/>
          <w:sz w:val="22"/>
          <w:szCs w:val="22"/>
          <w:color w:val="auto"/>
        </w:rPr>
        <w:t>), duly organized, validly existing, and in good standing under the laws of its jurisdiction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incorporation, with full corporate power and authority to conduct its business as it is now being conducted, to own or use the properties and assets that it purports to own or use, and to perform all its obligations under Applicable Contracts.</w:t>
      </w:r>
    </w:p>
    <w:p>
      <w:pPr>
        <w:spacing w:after="0" w:line="180" w:lineRule="exact"/>
        <w:rPr>
          <w:rFonts w:ascii="Times New Roman" w:cs="Times New Roman" w:eastAsia="Times New Roman" w:hAnsi="Times New Roman"/>
          <w:sz w:val="22"/>
          <w:szCs w:val="22"/>
          <w:b w:val="1"/>
          <w:bCs w:val="1"/>
          <w:color w:val="auto"/>
        </w:rPr>
      </w:pPr>
    </w:p>
    <w:p>
      <w:pPr>
        <w:ind w:left="380" w:firstLine="1503"/>
        <w:spacing w:after="0" w:line="258" w:lineRule="auto"/>
        <w:tabs>
          <w:tab w:leader="none" w:pos="2425"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Seller has delivered to the Buyer copies of the Organizational Documents of the Company, as currently in effect.</w:t>
      </w:r>
    </w:p>
    <w:p>
      <w:pPr>
        <w:spacing w:after="0" w:line="154" w:lineRule="exact"/>
        <w:rPr>
          <w:sz w:val="20"/>
          <w:szCs w:val="20"/>
          <w:color w:val="auto"/>
        </w:rPr>
      </w:pPr>
    </w:p>
    <w:p>
      <w:pPr>
        <w:ind w:left="1140"/>
        <w:spacing w:after="0"/>
        <w:tabs>
          <w:tab w:leader="none" w:pos="1860" w:val="left"/>
        </w:tabs>
        <w:rPr>
          <w:sz w:val="20"/>
          <w:szCs w:val="20"/>
          <w:color w:val="auto"/>
        </w:rPr>
      </w:pPr>
      <w:r>
        <w:rPr>
          <w:rFonts w:ascii="Times New Roman" w:cs="Times New Roman" w:eastAsia="Times New Roman" w:hAnsi="Times New Roman"/>
          <w:sz w:val="22"/>
          <w:szCs w:val="22"/>
          <w:b w:val="1"/>
          <w:bCs w:val="1"/>
          <w:color w:val="auto"/>
        </w:rPr>
        <w:t>6.2</w:t>
      </w:r>
      <w:r>
        <w:rPr>
          <w:sz w:val="20"/>
          <w:szCs w:val="20"/>
          <w:color w:val="auto"/>
        </w:rPr>
        <w:tab/>
      </w:r>
      <w:r>
        <w:rPr>
          <w:rFonts w:ascii="Times New Roman" w:cs="Times New Roman" w:eastAsia="Times New Roman" w:hAnsi="Times New Roman"/>
          <w:sz w:val="21"/>
          <w:szCs w:val="21"/>
          <w:b w:val="1"/>
          <w:bCs w:val="1"/>
          <w:color w:val="auto"/>
        </w:rPr>
        <w:t>Authority; No Conflict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380" w:firstLine="1503"/>
        <w:spacing w:after="0" w:line="235" w:lineRule="auto"/>
        <w:tabs>
          <w:tab w:leader="none" w:pos="2425"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Agreement constitutes the legal, valid, and binding obligation of the Seller which is enforceable against the Seller in accordance with its terms. Upon the execution and delivery by the Seller of the certificates conferring to the Buyer all rights, title and interest in the Company Shares (collectively, the “</w:t>
      </w:r>
      <w:r>
        <w:rPr>
          <w:rFonts w:ascii="Times New Roman" w:cs="Times New Roman" w:eastAsia="Times New Roman" w:hAnsi="Times New Roman"/>
          <w:sz w:val="22"/>
          <w:szCs w:val="22"/>
          <w:b w:val="1"/>
          <w:bCs w:val="1"/>
          <w:i w:val="1"/>
          <w:iCs w:val="1"/>
          <w:color w:val="auto"/>
        </w:rPr>
        <w:t>Seller Closing Documents</w:t>
      </w:r>
      <w:r>
        <w:rPr>
          <w:rFonts w:ascii="Times New Roman" w:cs="Times New Roman" w:eastAsia="Times New Roman" w:hAnsi="Times New Roman"/>
          <w:sz w:val="22"/>
          <w:szCs w:val="22"/>
          <w:color w:val="auto"/>
        </w:rPr>
        <w:t>”), the Seller Closing Documents will constitute the legal, valid, and binding obligations of the Seller, which are enforceable against the Seller, in accordance with their respective terms. The Seller has the absolute and unrestricted right, power, authority, and capacity to execute and deliver this Agreement and the Seller Closing Documents and to perform their obligations under this Agreement and the Seller Closing Documents.</w:t>
      </w:r>
    </w:p>
    <w:p>
      <w:pPr>
        <w:spacing w:after="0" w:line="178" w:lineRule="exact"/>
        <w:rPr>
          <w:rFonts w:ascii="Times New Roman" w:cs="Times New Roman" w:eastAsia="Times New Roman" w:hAnsi="Times New Roman"/>
          <w:sz w:val="22"/>
          <w:szCs w:val="22"/>
          <w:b w:val="1"/>
          <w:bCs w:val="1"/>
          <w:color w:val="auto"/>
        </w:rPr>
      </w:pPr>
    </w:p>
    <w:p>
      <w:pPr>
        <w:jc w:val="both"/>
        <w:ind w:left="380" w:right="20" w:firstLine="1503"/>
        <w:spacing w:after="0" w:line="244" w:lineRule="auto"/>
        <w:tabs>
          <w:tab w:leader="none" w:pos="2424"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Fairly Disclosed, neither the execution and delivery of this Agreement nor the consummation or performance of any of the transactions contemplated hereby will, directly or indirectly (with or without notice or lapse of time):</w:t>
      </w:r>
    </w:p>
    <w:p>
      <w:pPr>
        <w:spacing w:after="0" w:line="173" w:lineRule="exact"/>
        <w:rPr>
          <w:rFonts w:ascii="Times New Roman" w:cs="Times New Roman" w:eastAsia="Times New Roman" w:hAnsi="Times New Roman"/>
          <w:sz w:val="22"/>
          <w:szCs w:val="22"/>
          <w:b w:val="1"/>
          <w:bCs w:val="1"/>
          <w:color w:val="auto"/>
        </w:rPr>
      </w:pPr>
    </w:p>
    <w:p>
      <w:pPr>
        <w:jc w:val="both"/>
        <w:ind w:left="940" w:firstLine="2246"/>
        <w:spacing w:after="0" w:line="244" w:lineRule="auto"/>
        <w:tabs>
          <w:tab w:leader="none" w:pos="3459" w:val="left"/>
        </w:tabs>
        <w:numPr>
          <w:ilvl w:val="1"/>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contravene, conflict with, or result in a violation of: (A) any provision of the Organizational Documents of the Company, or (B) any resolution adopted by the board of directors or management or quotaholders of the Company;</w:t>
      </w:r>
    </w:p>
    <w:p>
      <w:pPr>
        <w:spacing w:after="0" w:line="169" w:lineRule="exact"/>
        <w:rPr>
          <w:sz w:val="20"/>
          <w:szCs w:val="20"/>
          <w:color w:val="auto"/>
        </w:rPr>
      </w:pPr>
    </w:p>
    <w:p>
      <w:pPr>
        <w:jc w:val="both"/>
        <w:ind w:left="940" w:firstLine="2246"/>
        <w:spacing w:after="0" w:line="236" w:lineRule="auto"/>
        <w:rPr>
          <w:sz w:val="20"/>
          <w:szCs w:val="20"/>
          <w:color w:val="auto"/>
        </w:rPr>
      </w:pP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contravene, conflict with, or result in a violation of, or give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Governmental Body having jurisdiction over the Company or the Seller, or other Person pursuant to a valid statutory or contractual right the right to challenge any of the transactions contemplated hereby or to exercise any remedy or obtain any relief under, any Legal Requirement or any Order to which the Company or the Seller, or any of the assets owned or used by the Company, may be subject, except, in each case, for violations that would not reasonably be expected to give rise to a Material Adverse Effect;</w:t>
      </w:r>
    </w:p>
    <w:p>
      <w:pPr>
        <w:spacing w:after="0" w:line="176" w:lineRule="exact"/>
        <w:rPr>
          <w:sz w:val="20"/>
          <w:szCs w:val="20"/>
          <w:color w:val="auto"/>
        </w:rPr>
      </w:pPr>
    </w:p>
    <w:p>
      <w:pPr>
        <w:jc w:val="both"/>
        <w:ind w:left="940" w:firstLine="2246"/>
        <w:spacing w:after="0" w:line="241"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contravene, conflict with, or result in a violation of any of the terms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requirements of, or give any Governmental Body the right to revoke, withdraw, suspend, cancel, terminate, or modify, any Governmental Authorization that is held by the Company or that otherwise relates to the business of, or any of the assets owned or used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870585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08" w:right="719" w:bottom="1440" w:gutter="0" w:footer="0" w:header="0"/>
        </w:sectPr>
      </w:pPr>
    </w:p>
    <w:bookmarkStart w:id="69" w:name="page70"/>
    <w:bookmarkEnd w:id="69"/>
    <w:p>
      <w:pPr>
        <w:spacing w:after="0" w:line="185" w:lineRule="exact"/>
        <w:rPr>
          <w:sz w:val="20"/>
          <w:szCs w:val="20"/>
          <w:color w:val="auto"/>
        </w:rPr>
      </w:pPr>
    </w:p>
    <w:p>
      <w:pPr>
        <w:jc w:val="both"/>
        <w:ind w:left="940"/>
        <w:spacing w:after="0" w:line="258" w:lineRule="auto"/>
        <w:rPr>
          <w:sz w:val="20"/>
          <w:szCs w:val="20"/>
          <w:color w:val="auto"/>
        </w:rPr>
      </w:pPr>
      <w:r>
        <w:rPr>
          <w:rFonts w:ascii="Times New Roman" w:cs="Times New Roman" w:eastAsia="Times New Roman" w:hAnsi="Times New Roman"/>
          <w:sz w:val="22"/>
          <w:szCs w:val="22"/>
          <w:color w:val="auto"/>
        </w:rPr>
        <w:t>the Company, except, in each case, for violations that would not reasonably be expected to give rise to a Material Adverse Effect;</w:t>
      </w:r>
    </w:p>
    <w:p>
      <w:pPr>
        <w:spacing w:after="0" w:line="154" w:lineRule="exact"/>
        <w:rPr>
          <w:sz w:val="20"/>
          <w:szCs w:val="20"/>
          <w:color w:val="auto"/>
        </w:rPr>
      </w:pPr>
    </w:p>
    <w:p>
      <w:pPr>
        <w:jc w:val="both"/>
        <w:ind w:left="940" w:firstLine="2246"/>
        <w:spacing w:after="0" w:line="238" w:lineRule="auto"/>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contravene, conflict with, or result in a violation or breach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 of, or give any Person the right to declare a default or exercise any remedy under, or to accelerate the maturity or performance of, or to cancel, terminate, or modify, any Applicable Contract that involves performance of services or delivery of goods, whether by the Company or to the Company, of an amount or value in excess of US$100,000; or</w:t>
      </w:r>
    </w:p>
    <w:p>
      <w:pPr>
        <w:spacing w:after="0" w:line="181" w:lineRule="exact"/>
        <w:rPr>
          <w:sz w:val="20"/>
          <w:szCs w:val="20"/>
          <w:color w:val="auto"/>
        </w:rPr>
      </w:pPr>
    </w:p>
    <w:p>
      <w:pPr>
        <w:ind w:left="940" w:firstLine="2246"/>
        <w:spacing w:after="0" w:line="258" w:lineRule="auto"/>
        <w:tabs>
          <w:tab w:leader="none" w:pos="3459"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result in the imposition or creation of any Encumbrance upon or with respect to any of the assets owned or used by the Company.</w:t>
      </w:r>
    </w:p>
    <w:p>
      <w:pPr>
        <w:spacing w:after="0" w:line="158" w:lineRule="exact"/>
        <w:rPr>
          <w:sz w:val="20"/>
          <w:szCs w:val="20"/>
          <w:color w:val="auto"/>
        </w:rPr>
      </w:pPr>
    </w:p>
    <w:p>
      <w:pPr>
        <w:jc w:val="both"/>
        <w:ind w:left="380" w:right="20" w:firstLine="749"/>
        <w:spacing w:after="0" w:line="244" w:lineRule="auto"/>
        <w:rPr>
          <w:sz w:val="20"/>
          <w:szCs w:val="20"/>
          <w:color w:val="auto"/>
        </w:rPr>
      </w:pPr>
      <w:r>
        <w:rPr>
          <w:rFonts w:ascii="Times New Roman" w:cs="Times New Roman" w:eastAsia="Times New Roman" w:hAnsi="Times New Roman"/>
          <w:sz w:val="22"/>
          <w:szCs w:val="22"/>
          <w:color w:val="auto"/>
        </w:rPr>
        <w:t>Except as Fairly Disclosed, neither the Seller nor the Company are or will be required to give any notice to or obtain any Consent from any Person in connection with the execution and delivery of this Agreement or the consummation or performance of any of the transactions contemplated hereby.</w:t>
      </w:r>
    </w:p>
    <w:p>
      <w:pPr>
        <w:spacing w:after="0" w:line="169" w:lineRule="exact"/>
        <w:rPr>
          <w:sz w:val="20"/>
          <w:szCs w:val="20"/>
          <w:color w:val="auto"/>
        </w:rPr>
      </w:pPr>
    </w:p>
    <w:p>
      <w:pPr>
        <w:ind w:left="1140"/>
        <w:spacing w:after="0"/>
        <w:tabs>
          <w:tab w:leader="none" w:pos="1860" w:val="left"/>
        </w:tabs>
        <w:rPr>
          <w:sz w:val="20"/>
          <w:szCs w:val="20"/>
          <w:color w:val="auto"/>
        </w:rPr>
      </w:pPr>
      <w:r>
        <w:rPr>
          <w:rFonts w:ascii="Times New Roman" w:cs="Times New Roman" w:eastAsia="Times New Roman" w:hAnsi="Times New Roman"/>
          <w:sz w:val="22"/>
          <w:szCs w:val="22"/>
          <w:b w:val="1"/>
          <w:bCs w:val="1"/>
          <w:color w:val="auto"/>
        </w:rPr>
        <w:t>6.3</w:t>
      </w:r>
      <w:r>
        <w:rPr>
          <w:sz w:val="20"/>
          <w:szCs w:val="20"/>
          <w:color w:val="auto"/>
        </w:rPr>
        <w:tab/>
      </w:r>
      <w:r>
        <w:rPr>
          <w:rFonts w:ascii="Times New Roman" w:cs="Times New Roman" w:eastAsia="Times New Roman" w:hAnsi="Times New Roman"/>
          <w:sz w:val="21"/>
          <w:szCs w:val="21"/>
          <w:b w:val="1"/>
          <w:bCs w:val="1"/>
          <w:color w:val="auto"/>
        </w:rPr>
        <w:t>Capitalization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380" w:firstLine="1503"/>
        <w:spacing w:after="0" w:line="233" w:lineRule="auto"/>
        <w:tabs>
          <w:tab w:leader="none" w:pos="2425"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authorized equity securities of the Company consists of the Company Shares, being 200 quotas, par value CHF 100 (100 Swiss Francs) per quota, of which 200 quotas par value CHF 100 (100 Swiss Francs) per quota are issued and outstanding, and the Company Shares constitute all the issued and outstanding shares of the Company. Together the Seller is the record and beneficial owner and holder of 100% of the equity securities of the Company, free and clear of all Encumbrances. No legend or other reference to any purported Encumbrance appears upon any certificate representing equity securities of the Company. All of the outstanding equity securities of the Company has been duly authorized and validly issued and are fully paid and non- assessable. There are no Contracts relating to the issuance, sale, or transfer of any equity securities or other securities of the Company. None of the outstanding equity securities or other securities of the Company was issued in violation of the Securities Act or any other Legal Requirement. The Company does not own (and has never owned), or has (or has ever had) any Contract to acquire, any equity securities or other securities of any Person or any direct or indirect equity or ownership interest in any other business. The Company does not have any outstanding securities that are exercisable for or convertible into equity securities of the Company. The Company has no obligations for borrowed money or in respect of loans or advances</w:t>
      </w:r>
    </w:p>
    <w:p>
      <w:pPr>
        <w:spacing w:after="0" w:line="173" w:lineRule="exact"/>
        <w:rPr>
          <w:sz w:val="20"/>
          <w:szCs w:val="20"/>
          <w:color w:val="auto"/>
        </w:rPr>
      </w:pPr>
    </w:p>
    <w:p>
      <w:pPr>
        <w:jc w:val="both"/>
        <w:ind w:left="380"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6.4Financial Statements</w:t>
      </w:r>
      <w:r>
        <w:rPr>
          <w:rFonts w:ascii="Times New Roman" w:cs="Times New Roman" w:eastAsia="Times New Roman" w:hAnsi="Times New Roman"/>
          <w:sz w:val="22"/>
          <w:szCs w:val="22"/>
          <w:color w:val="auto"/>
        </w:rPr>
        <w:t>. The Seller has delivered to the Buyer an unaudited balance sheet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as of December 31, 2024 (the “</w:t>
      </w:r>
      <w:r>
        <w:rPr>
          <w:rFonts w:ascii="Times New Roman" w:cs="Times New Roman" w:eastAsia="Times New Roman" w:hAnsi="Times New Roman"/>
          <w:sz w:val="22"/>
          <w:szCs w:val="22"/>
          <w:b w:val="1"/>
          <w:bCs w:val="1"/>
          <w:i w:val="1"/>
          <w:iCs w:val="1"/>
          <w:color w:val="auto"/>
        </w:rPr>
        <w:t>Balance Sheet</w:t>
      </w:r>
      <w:r>
        <w:rPr>
          <w:rFonts w:ascii="Times New Roman" w:cs="Times New Roman" w:eastAsia="Times New Roman" w:hAnsi="Times New Roman"/>
          <w:sz w:val="22"/>
          <w:szCs w:val="22"/>
          <w:color w:val="auto"/>
        </w:rPr>
        <w:t>”) and the related unaudited statements of income for the 12 months then ended. Such financial statements fairly present the financial condition and the results of operations of each Group Company as at the dates of, and for the periods referred to in, such financial statements, all in accordance with GAAP, subject, to the absence of notes; the financial statements referred to in this Section 6.4 reflect the consistent application of such accounting principles throughout the periods involved. No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873125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40" w:right="719" w:bottom="1440" w:gutter="0" w:footer="0" w:header="0"/>
        </w:sectPr>
      </w:pPr>
    </w:p>
    <w:bookmarkStart w:id="70" w:name="page71"/>
    <w:bookmarkEnd w:id="70"/>
    <w:p>
      <w:pPr>
        <w:spacing w:after="0" w:line="185" w:lineRule="exact"/>
        <w:rPr>
          <w:sz w:val="20"/>
          <w:szCs w:val="20"/>
          <w:color w:val="auto"/>
        </w:rPr>
      </w:pPr>
    </w:p>
    <w:p>
      <w:pPr>
        <w:jc w:val="both"/>
        <w:ind w:left="380"/>
        <w:spacing w:after="0" w:line="258" w:lineRule="auto"/>
        <w:rPr>
          <w:sz w:val="20"/>
          <w:szCs w:val="20"/>
          <w:color w:val="auto"/>
        </w:rPr>
      </w:pPr>
      <w:r>
        <w:rPr>
          <w:rFonts w:ascii="Times New Roman" w:cs="Times New Roman" w:eastAsia="Times New Roman" w:hAnsi="Times New Roman"/>
          <w:sz w:val="22"/>
          <w:szCs w:val="22"/>
          <w:color w:val="auto"/>
        </w:rPr>
        <w:t>of any Person other than the Group Companies, as applicable, are required by GAAP to be included in the financial statements of any Group Company.</w:t>
      </w:r>
    </w:p>
    <w:p>
      <w:pPr>
        <w:spacing w:after="0" w:line="154" w:lineRule="exact"/>
        <w:rPr>
          <w:sz w:val="20"/>
          <w:szCs w:val="20"/>
          <w:color w:val="auto"/>
        </w:rPr>
      </w:pPr>
    </w:p>
    <w:p>
      <w:pPr>
        <w:jc w:val="both"/>
        <w:ind w:left="38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6.5Books and Records</w:t>
      </w:r>
      <w:r>
        <w:rPr>
          <w:rFonts w:ascii="Times New Roman" w:cs="Times New Roman" w:eastAsia="Times New Roman" w:hAnsi="Times New Roman"/>
          <w:sz w:val="22"/>
          <w:szCs w:val="22"/>
          <w:color w:val="auto"/>
        </w:rPr>
        <w:t>. The books of account, and other records of the Company, all of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been made available to the Buyer, are complete and correct and have been maintained in accordance with sound business practices and the requirements of applicable law, as amended.</w:t>
      </w:r>
    </w:p>
    <w:p>
      <w:pPr>
        <w:spacing w:after="0" w:line="167" w:lineRule="exact"/>
        <w:rPr>
          <w:sz w:val="20"/>
          <w:szCs w:val="20"/>
          <w:color w:val="auto"/>
        </w:rPr>
      </w:pPr>
    </w:p>
    <w:p>
      <w:pPr>
        <w:jc w:val="both"/>
        <w:ind w:left="38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6.6Solvency. </w:t>
      </w:r>
      <w:r>
        <w:rPr>
          <w:rFonts w:ascii="Times New Roman" w:cs="Times New Roman" w:eastAsia="Times New Roman" w:hAnsi="Times New Roman"/>
          <w:sz w:val="22"/>
          <w:szCs w:val="22"/>
          <w:color w:val="auto"/>
        </w:rPr>
        <w:t>As at Closing, the Company will have sufficient unrestricted and uncommitted cash,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is not Encumbered (being at least a net cash amount of USD$5,700,000) available in its Bank Accounts, as evidenced by the Bank Account Excerpts, and shall be solvent at Closing.</w:t>
      </w:r>
    </w:p>
    <w:p>
      <w:pPr>
        <w:spacing w:after="0" w:line="167" w:lineRule="exact"/>
        <w:rPr>
          <w:sz w:val="20"/>
          <w:szCs w:val="20"/>
          <w:color w:val="auto"/>
        </w:rPr>
      </w:pPr>
    </w:p>
    <w:p>
      <w:pPr>
        <w:jc w:val="both"/>
        <w:ind w:left="38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6.7Condition and Sufficiency of Assets</w:t>
      </w:r>
      <w:r>
        <w:rPr>
          <w:rFonts w:ascii="Times New Roman" w:cs="Times New Roman" w:eastAsia="Times New Roman" w:hAnsi="Times New Roman"/>
          <w:sz w:val="22"/>
          <w:szCs w:val="22"/>
          <w:color w:val="auto"/>
        </w:rPr>
        <w:t>. The Company has no buildings, plants, structures,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equipment other than those reflected in the Balance Sheet of the Company. The assets, information and rights of any type currently held by the Company constitute all of the assets, information and rights of any type necessary for the operation of the Company’s business as it is currently conducted.</w:t>
      </w:r>
    </w:p>
    <w:p>
      <w:pPr>
        <w:spacing w:after="0" w:line="172" w:lineRule="exact"/>
        <w:rPr>
          <w:sz w:val="20"/>
          <w:szCs w:val="20"/>
          <w:color w:val="auto"/>
        </w:rPr>
      </w:pPr>
    </w:p>
    <w:p>
      <w:pPr>
        <w:jc w:val="both"/>
        <w:ind w:left="380"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6.8Accounts Receivable</w:t>
      </w:r>
      <w:r>
        <w:rPr>
          <w:rFonts w:ascii="Times New Roman" w:cs="Times New Roman" w:eastAsia="Times New Roman" w:hAnsi="Times New Roman"/>
          <w:sz w:val="22"/>
          <w:szCs w:val="22"/>
          <w:color w:val="auto"/>
        </w:rPr>
        <w:t>. All accounts receivable of the Company that are reflected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Balance Sheet or on the accounting records of the Company as of the Closing Date (collectively, the “</w:t>
      </w:r>
      <w:r>
        <w:rPr>
          <w:rFonts w:ascii="Times New Roman" w:cs="Times New Roman" w:eastAsia="Times New Roman" w:hAnsi="Times New Roman"/>
          <w:sz w:val="22"/>
          <w:szCs w:val="22"/>
          <w:b w:val="1"/>
          <w:bCs w:val="1"/>
          <w:i w:val="1"/>
          <w:iCs w:val="1"/>
          <w:color w:val="auto"/>
        </w:rPr>
        <w:t>Accounts Receivable</w:t>
      </w:r>
      <w:r>
        <w:rPr>
          <w:rFonts w:ascii="Times New Roman" w:cs="Times New Roman" w:eastAsia="Times New Roman" w:hAnsi="Times New Roman"/>
          <w:sz w:val="22"/>
          <w:szCs w:val="22"/>
          <w:color w:val="auto"/>
        </w:rPr>
        <w:t>”) represent or will represent valid obligations arising from sales actually made or services actually performed in the Ordinary Course of Business. Unless paid prior to the Closing Date, the Accounts Receivable are or will be as of the Closing Date, to the Knowledge of the Seller, current and collectible net of the respective reserves shown on the Balance Sheet or on the accounting records of the Company as of the Closing Date (which reserves are adequate and calculated consistent with past practice and, in the case of the reserve as of the Closing Date, will not represent a greater percentage of the Accounts Receivable as of the Closing Date than the reserve reflected in the Balance Sheet represented of the Accounts Receivable reflected therein and will not represent a material and adverse change in the composition of such Accounts Receivable in terms of aging). There is no contest, claim, or right of set-off, other than returns in the Ordinary Course of Business, under any Contract with any obligor of an Accounts Receivable relating to the amount or validity of such Accounts Receivable. A complete and accurate list of all Accounts Receivable as of the date of the Balance Sheet to the extent not yet paid as of September 30 2025 has been Fairly Disclosed.</w:t>
      </w:r>
    </w:p>
    <w:p>
      <w:pPr>
        <w:spacing w:after="0" w:line="177" w:lineRule="exact"/>
        <w:rPr>
          <w:sz w:val="20"/>
          <w:szCs w:val="20"/>
          <w:color w:val="auto"/>
        </w:rPr>
      </w:pPr>
    </w:p>
    <w:p>
      <w:pPr>
        <w:jc w:val="both"/>
        <w:ind w:left="38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6.9Accounts Payable</w:t>
      </w:r>
      <w:r>
        <w:rPr>
          <w:rFonts w:ascii="Times New Roman" w:cs="Times New Roman" w:eastAsia="Times New Roman" w:hAnsi="Times New Roman"/>
          <w:sz w:val="22"/>
          <w:szCs w:val="22"/>
          <w:color w:val="auto"/>
        </w:rPr>
        <w:t>. All accounts payable of the Company that are reflected on the Balance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Sheet or on the accounting records of the Company as of the Closing Date are materially accurate.</w:t>
      </w:r>
    </w:p>
    <w:p>
      <w:pPr>
        <w:spacing w:after="0" w:line="150" w:lineRule="exact"/>
        <w:rPr>
          <w:sz w:val="20"/>
          <w:szCs w:val="20"/>
          <w:color w:val="auto"/>
        </w:rPr>
      </w:pPr>
    </w:p>
    <w:p>
      <w:pPr>
        <w:jc w:val="both"/>
        <w:ind w:left="38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6.10No Undisclosed Liabilities</w:t>
      </w:r>
      <w:r>
        <w:rPr>
          <w:rFonts w:ascii="Times New Roman" w:cs="Times New Roman" w:eastAsia="Times New Roman" w:hAnsi="Times New Roman"/>
          <w:sz w:val="22"/>
          <w:szCs w:val="22"/>
          <w:color w:val="auto"/>
        </w:rPr>
        <w:t>. Except as Fairly Disclosed, the Company has no liabilities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of any nature (whether known or unknown and whether absolute, accrued, contingent, or otherwise) except for liabilities or obligations reflected or reserved against in the Balance Sheet and current liabilities incurred in the Ordinary Course of Business since the date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870585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40" w:right="719" w:bottom="1440" w:gutter="0" w:footer="0" w:header="0"/>
        </w:sectPr>
      </w:pPr>
    </w:p>
    <w:bookmarkStart w:id="71" w:name="page72"/>
    <w:bookmarkEnd w:id="71"/>
    <w:p>
      <w:pPr>
        <w:spacing w:after="0" w:line="181" w:lineRule="exact"/>
        <w:rPr>
          <w:sz w:val="20"/>
          <w:szCs w:val="20"/>
          <w:color w:val="auto"/>
        </w:rPr>
      </w:pPr>
    </w:p>
    <w:p>
      <w:pPr>
        <w:ind w:left="1140"/>
        <w:spacing w:after="0"/>
        <w:tabs>
          <w:tab w:leader="none" w:pos="1860" w:val="left"/>
        </w:tabs>
        <w:rPr>
          <w:sz w:val="20"/>
          <w:szCs w:val="20"/>
          <w:color w:val="auto"/>
        </w:rPr>
      </w:pPr>
      <w:r>
        <w:rPr>
          <w:rFonts w:ascii="Times New Roman" w:cs="Times New Roman" w:eastAsia="Times New Roman" w:hAnsi="Times New Roman"/>
          <w:sz w:val="22"/>
          <w:szCs w:val="22"/>
          <w:b w:val="1"/>
          <w:bCs w:val="1"/>
          <w:color w:val="auto"/>
        </w:rPr>
        <w:t>6.11</w:t>
      </w:r>
      <w:r>
        <w:rPr>
          <w:sz w:val="20"/>
          <w:szCs w:val="20"/>
          <w:color w:val="auto"/>
        </w:rPr>
        <w:tab/>
      </w:r>
      <w:r>
        <w:rPr>
          <w:rFonts w:ascii="Times New Roman" w:cs="Times New Roman" w:eastAsia="Times New Roman" w:hAnsi="Times New Roman"/>
          <w:sz w:val="21"/>
          <w:szCs w:val="21"/>
          <w:b w:val="1"/>
          <w:bCs w:val="1"/>
          <w:color w:val="auto"/>
        </w:rPr>
        <w:t>Taxes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380" w:firstLine="1503"/>
        <w:spacing w:after="0" w:line="234" w:lineRule="auto"/>
        <w:tabs>
          <w:tab w:leader="none" w:pos="2425"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has timely paid all Taxes required to be paid by them on or before the date hereof (including all Taxes shown due and owing on any Tax Return) and filed or caused to be filed (on a timely basis since its incorporation) all Tax Returns that are or were required to be filed by or with respect to it in all jurisdictions in which such Tax Returns are required to be filed. The Seller has Fairly Disclosed copies of all such Tax Returns relating to income taxes filed by the Company for financial year 2021/2022 and 2023. The Company has paid, or made provision for the payment of, all Taxes that have or may have become due pursuant to those Tax Returns or otherwise, or pursuant to any assessment received by Seller or by the Company, except such Taxes, if any, as are Fairly Disclosed and are being contested in good faith and as to which adequate reserves (determined in accordance with GAAP) have been provided in the Balance Sheet.</w:t>
      </w:r>
    </w:p>
    <w:p>
      <w:pPr>
        <w:spacing w:after="0" w:line="179" w:lineRule="exact"/>
        <w:rPr>
          <w:rFonts w:ascii="Times New Roman" w:cs="Times New Roman" w:eastAsia="Times New Roman" w:hAnsi="Times New Roman"/>
          <w:sz w:val="22"/>
          <w:szCs w:val="22"/>
          <w:b w:val="1"/>
          <w:bCs w:val="1"/>
          <w:color w:val="auto"/>
        </w:rPr>
      </w:pPr>
    </w:p>
    <w:p>
      <w:pPr>
        <w:jc w:val="both"/>
        <w:ind w:left="380" w:firstLine="1503"/>
        <w:spacing w:after="0" w:line="246" w:lineRule="auto"/>
        <w:tabs>
          <w:tab w:leader="none" w:pos="2425" w:val="left"/>
        </w:tabs>
        <w:numPr>
          <w:ilvl w:val="0"/>
          <w:numId w:val="9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Company has withheld from each payment made to any Person, including (without limitation) any employee, officer or director, all amounts required by applicable Law to be withheld, and have remitted such withheld amounts within the prescribed periods (or made adequate provision for the payment of such amounts) to the appropriate Governmental Authority, and have complied with all reporting and record keeping requirements related thereto. The Company has deducted, withheld or remitted, as applicable, all pension contributions, pension plan contributions, employment insurance premiums, employer health taxes and other Taxes payable or required to be deducted, withheld or remitted by them in respect of their respective employees (or made adequate provision for the payment of such amounts) to the appropriate Governmental Authority within the time required under Applicable Law.</w:t>
      </w:r>
    </w:p>
    <w:p>
      <w:pPr>
        <w:spacing w:after="0" w:line="175" w:lineRule="exact"/>
        <w:rPr>
          <w:rFonts w:ascii="Times New Roman" w:cs="Times New Roman" w:eastAsia="Times New Roman" w:hAnsi="Times New Roman"/>
          <w:sz w:val="21"/>
          <w:szCs w:val="21"/>
          <w:b w:val="1"/>
          <w:bCs w:val="1"/>
          <w:color w:val="auto"/>
        </w:rPr>
      </w:pPr>
    </w:p>
    <w:p>
      <w:pPr>
        <w:ind w:left="380" w:firstLine="1503"/>
        <w:spacing w:after="0" w:line="258" w:lineRule="auto"/>
        <w:tabs>
          <w:tab w:leader="none" w:pos="2425"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There are no Liens for Taxes (other than unregistered Liens for Taxes, assessments, or similar charges not yet due and payable) upon any of the assets of the Company.</w:t>
      </w:r>
    </w:p>
    <w:p>
      <w:pPr>
        <w:spacing w:after="0" w:line="158" w:lineRule="exact"/>
        <w:rPr>
          <w:rFonts w:ascii="Times New Roman" w:cs="Times New Roman" w:eastAsia="Times New Roman" w:hAnsi="Times New Roman"/>
          <w:sz w:val="22"/>
          <w:szCs w:val="22"/>
          <w:b w:val="1"/>
          <w:bCs w:val="1"/>
          <w:color w:val="auto"/>
        </w:rPr>
      </w:pPr>
    </w:p>
    <w:p>
      <w:pPr>
        <w:jc w:val="both"/>
        <w:ind w:left="380" w:firstLine="1503"/>
        <w:spacing w:after="0" w:line="236" w:lineRule="auto"/>
        <w:tabs>
          <w:tab w:leader="none" w:pos="2425"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unpaid Taxes of the Company (i) did not, as of the date of the Balance Sheet, exceed the reserve for Tax liability set forth on the face of the Balance Sheet (rather than in any notes thereto) and (ii) will not exceed that reserve as adjusted for operations and transactions through the Closing Date in accordance with the past custom and practice of the Company in filing their Tax Returns. Since the date of the Balance Sheet, the Company has not incurred any liability for Taxes outside the Ordinary Course of Business.</w:t>
      </w:r>
    </w:p>
    <w:p>
      <w:pPr>
        <w:spacing w:after="0" w:line="181" w:lineRule="exact"/>
        <w:rPr>
          <w:rFonts w:ascii="Times New Roman" w:cs="Times New Roman" w:eastAsia="Times New Roman" w:hAnsi="Times New Roman"/>
          <w:sz w:val="22"/>
          <w:szCs w:val="22"/>
          <w:b w:val="1"/>
          <w:bCs w:val="1"/>
          <w:color w:val="auto"/>
        </w:rPr>
      </w:pPr>
    </w:p>
    <w:p>
      <w:pPr>
        <w:ind w:left="380" w:firstLine="1503"/>
        <w:spacing w:after="0" w:line="258" w:lineRule="auto"/>
        <w:tabs>
          <w:tab w:leader="none" w:pos="2425"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has properly: (i) collected and remitted value added, and similar Taxes required to be collected and remitted by it.</w:t>
      </w:r>
    </w:p>
    <w:p>
      <w:pPr>
        <w:spacing w:after="0" w:line="158" w:lineRule="exact"/>
        <w:rPr>
          <w:rFonts w:ascii="Times New Roman" w:cs="Times New Roman" w:eastAsia="Times New Roman" w:hAnsi="Times New Roman"/>
          <w:sz w:val="22"/>
          <w:szCs w:val="22"/>
          <w:b w:val="1"/>
          <w:bCs w:val="1"/>
          <w:color w:val="auto"/>
        </w:rPr>
      </w:pPr>
    </w:p>
    <w:p>
      <w:pPr>
        <w:jc w:val="both"/>
        <w:ind w:left="380" w:firstLine="1503"/>
        <w:spacing w:after="0" w:line="249" w:lineRule="auto"/>
        <w:tabs>
          <w:tab w:leader="none" w:pos="2425" w:val="left"/>
        </w:tabs>
        <w:numPr>
          <w:ilvl w:val="0"/>
          <w:numId w:val="9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Company has not acquired property from a Person with whom the relevant the Company was not dealing at arm’s length in circumstances that would result in the Company becoming liable to pay Taxes of such Person. The Company has not made a supply of property or service to a Person with whom the Company was not dealing at arm’s length for consideration the fair market value of which was less than the fair market value of the property or service at the time of (in the case of property) the disposition of the property or (in the case of services) the provision of receipt of the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867410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40" w:right="719" w:bottom="1440" w:gutter="0" w:footer="0" w:header="0"/>
        </w:sectPr>
      </w:pPr>
    </w:p>
    <w:bookmarkStart w:id="72" w:name="page73"/>
    <w:bookmarkEnd w:id="72"/>
    <w:p>
      <w:pPr>
        <w:spacing w:after="0" w:line="185" w:lineRule="exact"/>
        <w:rPr>
          <w:sz w:val="20"/>
          <w:szCs w:val="20"/>
          <w:color w:val="auto"/>
        </w:rPr>
      </w:pPr>
    </w:p>
    <w:p>
      <w:pPr>
        <w:jc w:val="both"/>
        <w:ind w:left="380" w:firstLine="1503"/>
        <w:spacing w:after="0" w:line="238" w:lineRule="auto"/>
        <w:tabs>
          <w:tab w:leader="none" w:pos="2425" w:val="left"/>
        </w:tabs>
        <w:numPr>
          <w:ilvl w:val="1"/>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will not be required to include in a taxable period ending after the Closing Date any amount of net taxable income (after taking into account deductions claimed for such a period that relate to a prior period) attributable to income that accrued, or that was required to be reported for financial accounting purposes, in a prior taxable period but that was not included in taxable income for that or another prior taxable period.</w:t>
      </w:r>
    </w:p>
    <w:p>
      <w:pPr>
        <w:spacing w:after="0" w:line="176" w:lineRule="exact"/>
        <w:rPr>
          <w:rFonts w:ascii="Times New Roman" w:cs="Times New Roman" w:eastAsia="Times New Roman" w:hAnsi="Times New Roman"/>
          <w:sz w:val="22"/>
          <w:szCs w:val="22"/>
          <w:b w:val="1"/>
          <w:bCs w:val="1"/>
          <w:color w:val="auto"/>
        </w:rPr>
      </w:pPr>
    </w:p>
    <w:p>
      <w:pPr>
        <w:jc w:val="both"/>
        <w:ind w:left="380" w:firstLine="1503"/>
        <w:spacing w:after="0" w:line="239" w:lineRule="auto"/>
        <w:tabs>
          <w:tab w:leader="none" w:pos="2425" w:val="left"/>
        </w:tabs>
        <w:numPr>
          <w:ilvl w:val="1"/>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There are no Tax deficiencies that have been claimed, proposed, or asserted in writing against the Company that have not been fully paid or finally settled and there are no discussions, audits, or assertions now pending, or to the Knowledge of the Seller, threatened, in respect of Taxes due from or with respect to a the Company.</w:t>
      </w:r>
    </w:p>
    <w:p>
      <w:pPr>
        <w:spacing w:after="0" w:line="180" w:lineRule="exact"/>
        <w:rPr>
          <w:rFonts w:ascii="Times New Roman" w:cs="Times New Roman" w:eastAsia="Times New Roman" w:hAnsi="Times New Roman"/>
          <w:sz w:val="22"/>
          <w:szCs w:val="22"/>
          <w:b w:val="1"/>
          <w:bCs w:val="1"/>
          <w:color w:val="auto"/>
        </w:rPr>
      </w:pPr>
    </w:p>
    <w:p>
      <w:pPr>
        <w:jc w:val="both"/>
        <w:ind w:left="380" w:firstLine="1503"/>
        <w:spacing w:after="0" w:line="249" w:lineRule="auto"/>
        <w:tabs>
          <w:tab w:leader="none" w:pos="2425" w:val="left"/>
        </w:tabs>
        <w:numPr>
          <w:ilvl w:val="1"/>
          <w:numId w:val="9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Company has not received from any Tax authority (including jurisdictions where the Companies have not filed Tax Returns) any, and none of the following are threatened, (A) notice indicating an intent to open an audit or other review, (B) request for information related to Tax matters, or</w:t>
      </w:r>
    </w:p>
    <w:p>
      <w:pPr>
        <w:spacing w:after="0" w:line="1" w:lineRule="exact"/>
        <w:rPr>
          <w:rFonts w:ascii="Times New Roman" w:cs="Times New Roman" w:eastAsia="Times New Roman" w:hAnsi="Times New Roman"/>
          <w:sz w:val="21"/>
          <w:szCs w:val="21"/>
          <w:b w:val="1"/>
          <w:bCs w:val="1"/>
          <w:color w:val="auto"/>
        </w:rPr>
      </w:pPr>
    </w:p>
    <w:p>
      <w:pPr>
        <w:ind w:left="380" w:firstLine="5"/>
        <w:spacing w:after="0" w:line="237" w:lineRule="auto"/>
        <w:tabs>
          <w:tab w:leader="none" w:pos="727"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deficiency or proposed adjustment or notice of reassessment for any amount of Tax proposed, asserted, or assessed by any Tax authority against the Company.</w:t>
      </w:r>
    </w:p>
    <w:p>
      <w:pPr>
        <w:spacing w:after="0" w:line="178" w:lineRule="exact"/>
        <w:rPr>
          <w:rFonts w:ascii="Times New Roman" w:cs="Times New Roman" w:eastAsia="Times New Roman" w:hAnsi="Times New Roman"/>
          <w:sz w:val="22"/>
          <w:szCs w:val="22"/>
          <w:color w:val="auto"/>
        </w:rPr>
      </w:pPr>
    </w:p>
    <w:p>
      <w:pPr>
        <w:ind w:left="380" w:firstLine="1503"/>
        <w:spacing w:after="0" w:line="258" w:lineRule="auto"/>
        <w:tabs>
          <w:tab w:leader="none" w:pos="2425" w:val="left"/>
        </w:tabs>
        <w:numPr>
          <w:ilvl w:val="1"/>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claim has been made by a Tax authority in a jurisdiction where the Company does not file Tax Returns that the Company is or may be subject to Taxes assessed by such jurisdiction.</w:t>
      </w:r>
    </w:p>
    <w:p>
      <w:pPr>
        <w:spacing w:after="0" w:line="158" w:lineRule="exact"/>
        <w:rPr>
          <w:rFonts w:ascii="Times New Roman" w:cs="Times New Roman" w:eastAsia="Times New Roman" w:hAnsi="Times New Roman"/>
          <w:sz w:val="22"/>
          <w:szCs w:val="22"/>
          <w:b w:val="1"/>
          <w:bCs w:val="1"/>
          <w:color w:val="auto"/>
        </w:rPr>
      </w:pPr>
    </w:p>
    <w:p>
      <w:pPr>
        <w:jc w:val="both"/>
        <w:ind w:left="380" w:firstLine="1503"/>
        <w:spacing w:after="0" w:line="239" w:lineRule="auto"/>
        <w:tabs>
          <w:tab w:leader="none" w:pos="2425" w:val="left"/>
        </w:tabs>
        <w:numPr>
          <w:ilvl w:val="1"/>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is not, and has not been, subject to Tax in any jurisdiction other than the respective country of incorporation, or formation by virtue of having a permanent establishment or other place of business or taxable presence in any country other than the country under the Laws of which such the Company is organized.</w:t>
      </w:r>
    </w:p>
    <w:p>
      <w:pPr>
        <w:spacing w:after="0" w:line="180" w:lineRule="exact"/>
        <w:rPr>
          <w:rFonts w:ascii="Times New Roman" w:cs="Times New Roman" w:eastAsia="Times New Roman" w:hAnsi="Times New Roman"/>
          <w:sz w:val="22"/>
          <w:szCs w:val="22"/>
          <w:b w:val="1"/>
          <w:bCs w:val="1"/>
          <w:color w:val="auto"/>
        </w:rPr>
      </w:pPr>
    </w:p>
    <w:p>
      <w:pPr>
        <w:jc w:val="both"/>
        <w:ind w:left="380" w:firstLine="1503"/>
        <w:spacing w:after="0" w:line="239" w:lineRule="auto"/>
        <w:tabs>
          <w:tab w:leader="none" w:pos="2425" w:val="left"/>
        </w:tabs>
        <w:numPr>
          <w:ilvl w:val="1"/>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Fairly Disclosed, neither the Seller nor the Company has given or been requested to give waivers or extensions (or is or would be subject to a waiver or extension given by any other Person) of any statute of limitations relating to the payment of Taxes of the Company or for which the Company may be liable.</w:t>
      </w:r>
    </w:p>
    <w:p>
      <w:pPr>
        <w:spacing w:after="0" w:line="180" w:lineRule="exact"/>
        <w:rPr>
          <w:rFonts w:ascii="Times New Roman" w:cs="Times New Roman" w:eastAsia="Times New Roman" w:hAnsi="Times New Roman"/>
          <w:sz w:val="22"/>
          <w:szCs w:val="22"/>
          <w:b w:val="1"/>
          <w:bCs w:val="1"/>
          <w:color w:val="auto"/>
        </w:rPr>
      </w:pPr>
    </w:p>
    <w:p>
      <w:pPr>
        <w:jc w:val="both"/>
        <w:ind w:left="380" w:firstLine="1503"/>
        <w:spacing w:after="0" w:line="238" w:lineRule="auto"/>
        <w:tabs>
          <w:tab w:leader="none" w:pos="2425" w:val="left"/>
        </w:tabs>
        <w:numPr>
          <w:ilvl w:val="1"/>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charges, accruals, and reserves with respect to Taxes on the books of the Company are adequate (determined in accordance with GAAP) and are at least equal to the Company’s liability for Taxes. All Taxes that the Company are or were required by Legal Requirements to withhold or collect have been duly withheld or collected and, to the extent required, have been paid to the proper Governmental Body or other Person.</w:t>
      </w:r>
    </w:p>
    <w:p>
      <w:pPr>
        <w:spacing w:after="0" w:line="176" w:lineRule="exact"/>
        <w:rPr>
          <w:rFonts w:ascii="Times New Roman" w:cs="Times New Roman" w:eastAsia="Times New Roman" w:hAnsi="Times New Roman"/>
          <w:sz w:val="22"/>
          <w:szCs w:val="22"/>
          <w:b w:val="1"/>
          <w:bCs w:val="1"/>
          <w:color w:val="auto"/>
        </w:rPr>
      </w:pPr>
    </w:p>
    <w:p>
      <w:pPr>
        <w:ind w:left="2640" w:hanging="757"/>
        <w:spacing w:after="0"/>
        <w:tabs>
          <w:tab w:leader="none" w:pos="2640" w:val="left"/>
        </w:tabs>
        <w:numPr>
          <w:ilvl w:val="1"/>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Tax Returns filed by the Company are true, correct, and complete.</w:t>
      </w:r>
    </w:p>
    <w:p>
      <w:pPr>
        <w:spacing w:after="0" w:line="206" w:lineRule="exact"/>
        <w:rPr>
          <w:rFonts w:ascii="Times New Roman" w:cs="Times New Roman" w:eastAsia="Times New Roman" w:hAnsi="Times New Roman"/>
          <w:sz w:val="22"/>
          <w:szCs w:val="22"/>
          <w:b w:val="1"/>
          <w:bCs w:val="1"/>
          <w:color w:val="auto"/>
        </w:rPr>
      </w:pPr>
    </w:p>
    <w:p>
      <w:pPr>
        <w:ind w:left="380" w:firstLine="1503"/>
        <w:spacing w:after="0" w:line="258" w:lineRule="auto"/>
        <w:tabs>
          <w:tab w:leader="none" w:pos="2425" w:val="left"/>
        </w:tabs>
        <w:numPr>
          <w:ilvl w:val="1"/>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Buyer is aware that the Company is taxed for income tax purposes according to the cost plus 5% taxation model and is therefore not permitted to make dividend distributions.</w:t>
      </w:r>
    </w:p>
    <w:p>
      <w:pPr>
        <w:spacing w:after="0" w:line="334" w:lineRule="exact"/>
        <w:rPr>
          <w:sz w:val="20"/>
          <w:szCs w:val="20"/>
          <w:color w:val="auto"/>
        </w:rPr>
      </w:pPr>
    </w:p>
    <w:p>
      <w:pPr>
        <w:ind w:left="380" w:right="500" w:firstLine="749"/>
        <w:spacing w:after="0" w:line="258" w:lineRule="auto"/>
        <w:rPr>
          <w:sz w:val="20"/>
          <w:szCs w:val="20"/>
          <w:color w:val="auto"/>
        </w:rPr>
      </w:pPr>
      <w:r>
        <w:rPr>
          <w:rFonts w:ascii="Times New Roman" w:cs="Times New Roman" w:eastAsia="Times New Roman" w:hAnsi="Times New Roman"/>
          <w:sz w:val="22"/>
          <w:szCs w:val="22"/>
          <w:color w:val="auto"/>
        </w:rPr>
        <w:t>The representations in this Section 6.11 represent the sole representations and warranties with respect to Tax contained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859790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40" w:right="719" w:bottom="1440" w:gutter="0" w:footer="0" w:header="0"/>
        </w:sectPr>
      </w:pPr>
    </w:p>
    <w:bookmarkStart w:id="73" w:name="page74"/>
    <w:bookmarkEnd w:id="73"/>
    <w:p>
      <w:pPr>
        <w:spacing w:after="0" w:line="181" w:lineRule="exact"/>
        <w:rPr>
          <w:sz w:val="20"/>
          <w:szCs w:val="20"/>
          <w:color w:val="auto"/>
        </w:rPr>
      </w:pPr>
    </w:p>
    <w:p>
      <w:pPr>
        <w:jc w:val="both"/>
        <w:ind w:left="38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6.12No Material Adverse Effect</w:t>
      </w:r>
      <w:r>
        <w:rPr>
          <w:rFonts w:ascii="Times New Roman" w:cs="Times New Roman" w:eastAsia="Times New Roman" w:hAnsi="Times New Roman"/>
          <w:sz w:val="22"/>
          <w:szCs w:val="22"/>
          <w:color w:val="auto"/>
        </w:rPr>
        <w:t>. Since the date of the Balance Sheet, there has not been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Material Adverse Effect on the business, operations, properties, prospects, assets, or condition of the Company, and no event has occurred or circumstance exists that is reasonably likely to result in such a Material Adverse Effect.</w:t>
      </w:r>
    </w:p>
    <w:p>
      <w:pPr>
        <w:spacing w:after="0" w:line="172" w:lineRule="exact"/>
        <w:rPr>
          <w:sz w:val="20"/>
          <w:szCs w:val="20"/>
          <w:color w:val="auto"/>
        </w:rPr>
      </w:pPr>
    </w:p>
    <w:p>
      <w:pPr>
        <w:jc w:val="both"/>
        <w:ind w:left="38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6.13AML Compliance</w:t>
      </w:r>
      <w:r>
        <w:rPr>
          <w:rFonts w:ascii="Times New Roman" w:cs="Times New Roman" w:eastAsia="Times New Roman" w:hAnsi="Times New Roman"/>
          <w:sz w:val="22"/>
          <w:szCs w:val="22"/>
          <w:color w:val="auto"/>
        </w:rPr>
        <w:t>. The Company complies with all applicable obligations under Swiss AML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legislation and in particular, all credit transactions carried out by the Company are, and at all times have been, below the thresholds of article 8 para. 1 let. a and b Swiss Ordinance on Combating Money Laundering and Terrorist Financing (AMLO).</w:t>
      </w:r>
    </w:p>
    <w:p>
      <w:pPr>
        <w:spacing w:after="0" w:line="172" w:lineRule="exact"/>
        <w:rPr>
          <w:sz w:val="20"/>
          <w:szCs w:val="20"/>
          <w:color w:val="auto"/>
        </w:rPr>
      </w:pPr>
    </w:p>
    <w:p>
      <w:pPr>
        <w:ind w:left="1140"/>
        <w:spacing w:after="0"/>
        <w:tabs>
          <w:tab w:leader="none" w:pos="1860" w:val="left"/>
        </w:tabs>
        <w:rPr>
          <w:sz w:val="20"/>
          <w:szCs w:val="20"/>
          <w:color w:val="auto"/>
        </w:rPr>
      </w:pPr>
      <w:r>
        <w:rPr>
          <w:rFonts w:ascii="Times New Roman" w:cs="Times New Roman" w:eastAsia="Times New Roman" w:hAnsi="Times New Roman"/>
          <w:sz w:val="22"/>
          <w:szCs w:val="22"/>
          <w:b w:val="1"/>
          <w:bCs w:val="1"/>
          <w:color w:val="auto"/>
        </w:rPr>
        <w:t>6.14</w:t>
      </w:r>
      <w:r>
        <w:rPr>
          <w:sz w:val="20"/>
          <w:szCs w:val="20"/>
          <w:color w:val="auto"/>
        </w:rPr>
        <w:tab/>
      </w:r>
      <w:r>
        <w:rPr>
          <w:rFonts w:ascii="Times New Roman" w:cs="Times New Roman" w:eastAsia="Times New Roman" w:hAnsi="Times New Roman"/>
          <w:sz w:val="21"/>
          <w:szCs w:val="21"/>
          <w:b w:val="1"/>
          <w:bCs w:val="1"/>
          <w:color w:val="auto"/>
        </w:rPr>
        <w:t>Compliance With Legal Requirements; Governmental Authorizations.</w:t>
      </w:r>
    </w:p>
    <w:p>
      <w:pPr>
        <w:spacing w:after="0" w:line="210" w:lineRule="exact"/>
        <w:rPr>
          <w:sz w:val="20"/>
          <w:szCs w:val="20"/>
          <w:color w:val="auto"/>
        </w:rPr>
      </w:pPr>
    </w:p>
    <w:p>
      <w:pPr>
        <w:jc w:val="both"/>
        <w:ind w:left="380" w:firstLine="1503"/>
        <w:spacing w:after="0" w:line="239" w:lineRule="auto"/>
        <w:tabs>
          <w:tab w:leader="none" w:pos="2425"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complies with all applicable obligations under Swiss law and MICAR as well as the regulations of any exchange where the Issuer initiated a listing or admission to trading of the SQD Token, including proper notification to the Central Bank of Ireland and adherence to all disclosure requirements.</w:t>
      </w:r>
    </w:p>
    <w:p>
      <w:pPr>
        <w:spacing w:after="0" w:line="180" w:lineRule="exact"/>
        <w:rPr>
          <w:rFonts w:ascii="Times New Roman" w:cs="Times New Roman" w:eastAsia="Times New Roman" w:hAnsi="Times New Roman"/>
          <w:sz w:val="22"/>
          <w:szCs w:val="22"/>
          <w:b w:val="1"/>
          <w:bCs w:val="1"/>
          <w:color w:val="auto"/>
        </w:rPr>
      </w:pPr>
    </w:p>
    <w:p>
      <w:pPr>
        <w:ind w:left="2640" w:hanging="757"/>
        <w:spacing w:after="0"/>
        <w:tabs>
          <w:tab w:leader="none" w:pos="2640"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Fairly Disclosed:</w:t>
      </w:r>
    </w:p>
    <w:p>
      <w:pPr>
        <w:spacing w:after="0" w:line="206" w:lineRule="exact"/>
        <w:rPr>
          <w:rFonts w:ascii="Times New Roman" w:cs="Times New Roman" w:eastAsia="Times New Roman" w:hAnsi="Times New Roman"/>
          <w:sz w:val="22"/>
          <w:szCs w:val="22"/>
          <w:b w:val="1"/>
          <w:bCs w:val="1"/>
          <w:color w:val="auto"/>
        </w:rPr>
      </w:pPr>
    </w:p>
    <w:p>
      <w:pPr>
        <w:jc w:val="both"/>
        <w:ind w:left="940" w:firstLine="2246"/>
        <w:spacing w:after="0" w:line="244" w:lineRule="auto"/>
        <w:tabs>
          <w:tab w:leader="none" w:pos="3459" w:val="left"/>
        </w:tabs>
        <w:numPr>
          <w:ilvl w:val="1"/>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is, and at all times since its incorporation has been, in material compliance with each Legal Requirement that is or was applicable to it or to the conduct or operation of its business or the ownership or use of any of its assets;</w:t>
      </w:r>
    </w:p>
    <w:p>
      <w:pPr>
        <w:spacing w:after="0" w:line="16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b w:val="1"/>
          <w:bCs w:val="1"/>
          <w:color w:val="auto"/>
        </w:rPr>
        <w:t>(ii)</w:t>
      </w:r>
      <w:r>
        <w:rPr>
          <w:rFonts w:ascii="Times New Roman" w:cs="Times New Roman" w:eastAsia="Times New Roman" w:hAnsi="Times New Roman"/>
          <w:sz w:val="21"/>
          <w:szCs w:val="21"/>
          <w:color w:val="auto"/>
        </w:rPr>
        <w:t>no event has occurred or circumstance exists that (with or without notice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or lapse of time): (A) may constitute or result in a violation by the Company of, or a failure on the</w:t>
      </w:r>
    </w:p>
    <w:p>
      <w:pPr>
        <w:ind w:left="940"/>
        <w:spacing w:after="0" w:line="230" w:lineRule="auto"/>
        <w:rPr>
          <w:sz w:val="20"/>
          <w:szCs w:val="20"/>
          <w:color w:val="auto"/>
        </w:rPr>
      </w:pPr>
      <w:r>
        <w:rPr>
          <w:rFonts w:ascii="Times New Roman" w:cs="Times New Roman" w:eastAsia="Times New Roman" w:hAnsi="Times New Roman"/>
          <w:sz w:val="22"/>
          <w:szCs w:val="22"/>
          <w:color w:val="auto"/>
        </w:rPr>
        <w:t>part of the Company to comply with, any material Legal Requirement, or (B) may give rise to any</w:t>
      </w:r>
    </w:p>
    <w:p>
      <w:pPr>
        <w:ind w:left="940"/>
        <w:spacing w:after="0" w:line="231" w:lineRule="auto"/>
        <w:rPr>
          <w:sz w:val="20"/>
          <w:szCs w:val="20"/>
          <w:color w:val="auto"/>
        </w:rPr>
      </w:pPr>
      <w:r>
        <w:rPr>
          <w:rFonts w:ascii="Times New Roman" w:cs="Times New Roman" w:eastAsia="Times New Roman" w:hAnsi="Times New Roman"/>
          <w:sz w:val="22"/>
          <w:szCs w:val="22"/>
          <w:color w:val="auto"/>
        </w:rPr>
        <w:t>obligation on the part of the Company to undertake, or to bear all or any portion of the cost of, any</w:t>
      </w:r>
    </w:p>
    <w:p>
      <w:pPr>
        <w:ind w:left="940"/>
        <w:spacing w:after="0"/>
        <w:rPr>
          <w:sz w:val="20"/>
          <w:szCs w:val="20"/>
          <w:color w:val="auto"/>
        </w:rPr>
      </w:pPr>
      <w:r>
        <w:rPr>
          <w:rFonts w:ascii="Times New Roman" w:cs="Times New Roman" w:eastAsia="Times New Roman" w:hAnsi="Times New Roman"/>
          <w:sz w:val="22"/>
          <w:szCs w:val="22"/>
          <w:color w:val="auto"/>
        </w:rPr>
        <w:t>remedial action of any nature; and</w:t>
      </w:r>
    </w:p>
    <w:p>
      <w:pPr>
        <w:spacing w:after="0" w:line="178" w:lineRule="exact"/>
        <w:rPr>
          <w:sz w:val="20"/>
          <w:szCs w:val="20"/>
          <w:color w:val="auto"/>
        </w:rPr>
      </w:pPr>
    </w:p>
    <w:p>
      <w:pPr>
        <w:jc w:val="both"/>
        <w:ind w:left="940" w:firstLine="2246"/>
        <w:spacing w:after="0" w:line="237"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the Company has not received, at any time since its incorporation,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or, oral notice or other communication from any Governmental Body or any other Person regarding: (A) any actual, alleged, possible, or potential violation of, or failure to comply with, any material Legal Requirement, or (B) any actual, alleged, possible, or potential obligation on the part of the Company to undertake, or to bear all or any portion of the cost of, any remedial action of any nature.</w:t>
      </w:r>
    </w:p>
    <w:p>
      <w:pPr>
        <w:spacing w:after="0" w:line="179" w:lineRule="exact"/>
        <w:rPr>
          <w:sz w:val="20"/>
          <w:szCs w:val="20"/>
          <w:color w:val="auto"/>
        </w:rPr>
      </w:pPr>
    </w:p>
    <w:p>
      <w:pPr>
        <w:jc w:val="both"/>
        <w:ind w:left="380" w:firstLine="1503"/>
        <w:spacing w:after="0" w:line="239" w:lineRule="auto"/>
        <w:tabs>
          <w:tab w:leader="none" w:pos="2425"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complete and accurate list of all material Governmental Authorizations that are held by the Company or that otherwise relate to the business of, or to any of the assets owned or used by, the Company have been Fairly Disclosed. Each Governmental Authorization listed or required to be listed as Fairly Disclosed is valid and in full force and effect. Except as Fairly Disclosed:</w:t>
      </w:r>
    </w:p>
    <w:p>
      <w:pPr>
        <w:spacing w:after="0" w:line="180" w:lineRule="exact"/>
        <w:rPr>
          <w:rFonts w:ascii="Times New Roman" w:cs="Times New Roman" w:eastAsia="Times New Roman" w:hAnsi="Times New Roman"/>
          <w:sz w:val="22"/>
          <w:szCs w:val="22"/>
          <w:b w:val="1"/>
          <w:bCs w:val="1"/>
          <w:color w:val="auto"/>
        </w:rPr>
      </w:pPr>
    </w:p>
    <w:p>
      <w:pPr>
        <w:jc w:val="both"/>
        <w:ind w:left="940" w:firstLine="2246"/>
        <w:spacing w:after="0" w:line="244" w:lineRule="auto"/>
        <w:tabs>
          <w:tab w:leader="none" w:pos="3459" w:val="left"/>
        </w:tabs>
        <w:numPr>
          <w:ilvl w:val="1"/>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is, and at all times since its incorporation has been, in material compliance with all of the terms and requirements of each Governmental Authorization Fairly Disclosed or required to be Fairly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869315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40" w:right="719" w:bottom="1440" w:gutter="0" w:footer="0" w:header="0"/>
        </w:sectPr>
      </w:pPr>
    </w:p>
    <w:bookmarkStart w:id="74" w:name="page75"/>
    <w:bookmarkEnd w:id="74"/>
    <w:p>
      <w:pPr>
        <w:ind w:left="3180"/>
        <w:spacing w:after="0"/>
        <w:rPr>
          <w:sz w:val="20"/>
          <w:szCs w:val="20"/>
          <w:color w:val="auto"/>
        </w:rPr>
      </w:pP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no event has occurred or circumstance exists that may (with or without</w:t>
      </w:r>
    </w:p>
    <w:p>
      <w:pPr>
        <w:spacing w:after="0" w:line="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notice or lapse of time): (A) constitute or result directly or indirectly in a violation of or a failure to</w:t>
      </w:r>
    </w:p>
    <w:p>
      <w:pPr>
        <w:ind w:left="940"/>
        <w:spacing w:after="0" w:line="230" w:lineRule="auto"/>
        <w:rPr>
          <w:sz w:val="20"/>
          <w:szCs w:val="20"/>
          <w:color w:val="auto"/>
        </w:rPr>
      </w:pPr>
      <w:r>
        <w:rPr>
          <w:rFonts w:ascii="Times New Roman" w:cs="Times New Roman" w:eastAsia="Times New Roman" w:hAnsi="Times New Roman"/>
          <w:sz w:val="22"/>
          <w:szCs w:val="22"/>
          <w:color w:val="auto"/>
        </w:rPr>
        <w:t>comply with any term or requirement of any Governmental Authorization Fairly Disclosed or</w:t>
      </w:r>
    </w:p>
    <w:p>
      <w:pPr>
        <w:ind w:left="940"/>
        <w:spacing w:after="0" w:line="231" w:lineRule="auto"/>
        <w:rPr>
          <w:sz w:val="20"/>
          <w:szCs w:val="20"/>
          <w:color w:val="auto"/>
        </w:rPr>
      </w:pPr>
      <w:r>
        <w:rPr>
          <w:rFonts w:ascii="Times New Roman" w:cs="Times New Roman" w:eastAsia="Times New Roman" w:hAnsi="Times New Roman"/>
          <w:sz w:val="22"/>
          <w:szCs w:val="22"/>
          <w:color w:val="auto"/>
        </w:rPr>
        <w:t>required to be Fairly Disclosed, or (B) result directly or indirectly in the revocation, withdrawal,</w:t>
      </w:r>
    </w:p>
    <w:p>
      <w:pPr>
        <w:ind w:left="940"/>
        <w:spacing w:after="0"/>
        <w:rPr>
          <w:sz w:val="20"/>
          <w:szCs w:val="20"/>
          <w:color w:val="auto"/>
        </w:rPr>
      </w:pPr>
      <w:r>
        <w:rPr>
          <w:rFonts w:ascii="Times New Roman" w:cs="Times New Roman" w:eastAsia="Times New Roman" w:hAnsi="Times New Roman"/>
          <w:sz w:val="21"/>
          <w:szCs w:val="21"/>
          <w:color w:val="auto"/>
        </w:rPr>
        <w:t>suspension, cancellation, or termination of, or any modification to, any Governmental Authorization</w:t>
      </w:r>
    </w:p>
    <w:p>
      <w:pPr>
        <w:ind w:left="940"/>
        <w:spacing w:after="0" w:line="231" w:lineRule="auto"/>
        <w:rPr>
          <w:sz w:val="20"/>
          <w:szCs w:val="20"/>
          <w:color w:val="auto"/>
        </w:rPr>
      </w:pPr>
      <w:r>
        <w:rPr>
          <w:rFonts w:ascii="Times New Roman" w:cs="Times New Roman" w:eastAsia="Times New Roman" w:hAnsi="Times New Roman"/>
          <w:sz w:val="22"/>
          <w:szCs w:val="22"/>
          <w:color w:val="auto"/>
        </w:rPr>
        <w:t>Fairly Disclosed or required to be Fairly Disclosed , except, in each case, for violations that would</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reasonably be expected to give rise to a Material Adverse Effect;</w:t>
      </w:r>
    </w:p>
    <w:p>
      <w:pPr>
        <w:spacing w:after="0" w:line="178" w:lineRule="exact"/>
        <w:rPr>
          <w:sz w:val="20"/>
          <w:szCs w:val="20"/>
          <w:color w:val="auto"/>
        </w:rPr>
      </w:pPr>
    </w:p>
    <w:p>
      <w:pPr>
        <w:jc w:val="both"/>
        <w:ind w:left="940" w:firstLine="2246"/>
        <w:spacing w:after="0" w:line="236"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the Company has not received, at any time since its incorporation,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 or other communication (whether oral or written) from any Governmental Body or any other Person regarding: (A) any actual, alleged, possible, or potential violation of or failure to comply with any term or requirement of any Governmental Authorization, or (B) any actual, proposed, possible, or potential revocation, withdrawal, suspension, cancellation, termination of, or modification to any Governmental Authorization, except, in each case, for violations that would not reasonably be expected to give rise to a Material Adverse Effect; and</w:t>
      </w:r>
    </w:p>
    <w:p>
      <w:pPr>
        <w:spacing w:after="0" w:line="180" w:lineRule="exact"/>
        <w:rPr>
          <w:sz w:val="20"/>
          <w:szCs w:val="20"/>
          <w:color w:val="auto"/>
        </w:rPr>
      </w:pPr>
    </w:p>
    <w:p>
      <w:pPr>
        <w:jc w:val="both"/>
        <w:ind w:left="380" w:firstLine="1503"/>
        <w:spacing w:after="0" w:line="235" w:lineRule="auto"/>
        <w:tabs>
          <w:tab w:leader="none" w:pos="2425"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applications required to have been filed for the renewal of the Governmental Authorizations Fairly Disclosed or required to be Fairly Disclosed have been duly filed on a timely basis with the appropriate Governmental Bodies, and all other filings required to have been made with respect to such Governmental Authorizations have been duly made on a timely basis with the appropriate Governmental Bodies.The Governmental Authorizations Fairly Disclosed collectively constitute all of the Governmental Authorizations necessary to permit the Company to lawfully conduct and operate its businesses in the manner it currently conducts and operates such businesses and to permit the Company to own and use its assets in the manner in which they currently own and use such assets.</w:t>
      </w:r>
    </w:p>
    <w:p>
      <w:pPr>
        <w:spacing w:after="0" w:line="174" w:lineRule="exact"/>
        <w:rPr>
          <w:sz w:val="20"/>
          <w:szCs w:val="20"/>
          <w:color w:val="auto"/>
        </w:rPr>
      </w:pPr>
    </w:p>
    <w:p>
      <w:pPr>
        <w:jc w:val="both"/>
        <w:ind w:left="38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6.15MICAR Compliance. </w:t>
      </w:r>
      <w:r>
        <w:rPr>
          <w:rFonts w:ascii="Times New Roman" w:cs="Times New Roman" w:eastAsia="Times New Roman" w:hAnsi="Times New Roman"/>
          <w:sz w:val="22"/>
          <w:szCs w:val="22"/>
          <w:color w:val="auto"/>
        </w:rPr>
        <w:t>In connection with the sale of any SQD Tokens provided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otherwise, the Seller complies, and has complied, at all times with Article 89 – 92 of the Regulation (EU) 2023/1114 of the European Parliament and of the Council of May 31, 2023, on Markets in Crypto-Assets, as amended, supplemented or replaced from time to time (“</w:t>
      </w:r>
      <w:r>
        <w:rPr>
          <w:rFonts w:ascii="Times New Roman" w:cs="Times New Roman" w:eastAsia="Times New Roman" w:hAnsi="Times New Roman"/>
          <w:sz w:val="22"/>
          <w:szCs w:val="22"/>
          <w:b w:val="1"/>
          <w:bCs w:val="1"/>
          <w:color w:val="auto"/>
        </w:rPr>
        <w:t>MICAR</w:t>
      </w:r>
      <w:r>
        <w:rPr>
          <w:rFonts w:ascii="Times New Roman" w:cs="Times New Roman" w:eastAsia="Times New Roman" w:hAnsi="Times New Roman"/>
          <w:sz w:val="22"/>
          <w:szCs w:val="22"/>
          <w:color w:val="auto"/>
        </w:rPr>
        <w:t>”), and the Seller:</w:t>
      </w:r>
    </w:p>
    <w:p>
      <w:pPr>
        <w:spacing w:after="0" w:line="176" w:lineRule="exact"/>
        <w:rPr>
          <w:sz w:val="20"/>
          <w:szCs w:val="20"/>
          <w:color w:val="auto"/>
        </w:rPr>
      </w:pPr>
    </w:p>
    <w:p>
      <w:pPr>
        <w:jc w:val="both"/>
        <w:ind w:left="1440" w:right="380" w:hanging="680"/>
        <w:spacing w:after="0" w:line="239" w:lineRule="auto"/>
        <w:tabs>
          <w:tab w:leader="none" w:pos="144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 engage in insider dealing (Article 89), including possessing inside information and using it to acquire or dispose of crypto-assets (directly or indirectly, for its own account or that of a third party), cancelling or amending orders placed before receipt of inside information, or recommending or inducing another to do any of the foregoing;</w:t>
      </w:r>
    </w:p>
    <w:p>
      <w:pPr>
        <w:spacing w:after="0" w:line="31" w:lineRule="exact"/>
        <w:rPr>
          <w:rFonts w:ascii="Times New Roman" w:cs="Times New Roman" w:eastAsia="Times New Roman" w:hAnsi="Times New Roman"/>
          <w:sz w:val="22"/>
          <w:szCs w:val="22"/>
          <w:color w:val="auto"/>
        </w:rPr>
      </w:pPr>
    </w:p>
    <w:p>
      <w:pPr>
        <w:jc w:val="both"/>
        <w:ind w:left="1440" w:right="400" w:hanging="680"/>
        <w:spacing w:after="0" w:line="244" w:lineRule="auto"/>
        <w:tabs>
          <w:tab w:leader="none" w:pos="144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 unlawfully disclose inside information (Article 90 MICAR), including any onward disclosure of recommendations or inducements based on inside information outside the normal exercise of employment, profession or duties; and</w:t>
      </w:r>
    </w:p>
    <w:p>
      <w:pPr>
        <w:spacing w:after="0" w:line="38" w:lineRule="exact"/>
        <w:rPr>
          <w:rFonts w:ascii="Times New Roman" w:cs="Times New Roman" w:eastAsia="Times New Roman" w:hAnsi="Times New Roman"/>
          <w:sz w:val="22"/>
          <w:szCs w:val="22"/>
          <w:color w:val="auto"/>
        </w:rPr>
      </w:pPr>
    </w:p>
    <w:p>
      <w:pPr>
        <w:jc w:val="both"/>
        <w:ind w:left="1440" w:right="380" w:hanging="680"/>
        <w:spacing w:after="0" w:line="239" w:lineRule="auto"/>
        <w:tabs>
          <w:tab w:leader="none" w:pos="144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 engage in market manipulation (Article 91 MICAR), including, without legitimate reason, entering into transactions or placing orders that give or are likely to give false or misleading signals as to the supply, demand or price of crypto-assets or secure prices at an abnormal or artificial level; employing fictitious devices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873760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04" w:right="719" w:bottom="1440" w:gutter="0" w:footer="0" w:header="0"/>
        </w:sectPr>
      </w:pPr>
    </w:p>
    <w:bookmarkStart w:id="75" w:name="page76"/>
    <w:bookmarkEnd w:id="75"/>
    <w:p>
      <w:pPr>
        <w:spacing w:after="0" w:line="36" w:lineRule="exact"/>
        <w:rPr>
          <w:sz w:val="20"/>
          <w:szCs w:val="20"/>
          <w:color w:val="auto"/>
        </w:rPr>
      </w:pPr>
    </w:p>
    <w:p>
      <w:pPr>
        <w:jc w:val="both"/>
        <w:ind w:left="1440" w:right="380"/>
        <w:spacing w:after="0" w:line="236" w:lineRule="auto"/>
        <w:rPr>
          <w:sz w:val="20"/>
          <w:szCs w:val="20"/>
          <w:color w:val="auto"/>
        </w:rPr>
      </w:pPr>
      <w:r>
        <w:rPr>
          <w:rFonts w:ascii="Times New Roman" w:cs="Times New Roman" w:eastAsia="Times New Roman" w:hAnsi="Times New Roman"/>
          <w:sz w:val="22"/>
          <w:szCs w:val="22"/>
          <w:color w:val="auto"/>
        </w:rPr>
        <w:t>other deceptive contrivances to affect crypto-asset prices; disseminating false or misleading information or rumours; securing a dominant position to fix prices or create unfair trading conditions; placing, cancelling or modifying orders to disrupt or delay trading-platform functioning, obscure genuine orders or create false signals; or leveraging media access to voice opinions without proper and effective disclosure of conflicts of interest.</w:t>
      </w:r>
    </w:p>
    <w:p>
      <w:pPr>
        <w:spacing w:after="0" w:line="177" w:lineRule="exact"/>
        <w:rPr>
          <w:sz w:val="20"/>
          <w:szCs w:val="20"/>
          <w:color w:val="auto"/>
        </w:rPr>
      </w:pPr>
    </w:p>
    <w:p>
      <w:pPr>
        <w:ind w:left="1140"/>
        <w:spacing w:after="0"/>
        <w:tabs>
          <w:tab w:leader="none" w:pos="1860" w:val="left"/>
        </w:tabs>
        <w:rPr>
          <w:sz w:val="20"/>
          <w:szCs w:val="20"/>
          <w:color w:val="auto"/>
        </w:rPr>
      </w:pPr>
      <w:r>
        <w:rPr>
          <w:rFonts w:ascii="Times New Roman" w:cs="Times New Roman" w:eastAsia="Times New Roman" w:hAnsi="Times New Roman"/>
          <w:sz w:val="22"/>
          <w:szCs w:val="22"/>
          <w:b w:val="1"/>
          <w:bCs w:val="1"/>
          <w:color w:val="auto"/>
        </w:rPr>
        <w:t>6.16</w:t>
      </w:r>
      <w:r>
        <w:rPr>
          <w:sz w:val="20"/>
          <w:szCs w:val="20"/>
          <w:color w:val="auto"/>
        </w:rPr>
        <w:tab/>
      </w:r>
      <w:r>
        <w:rPr>
          <w:rFonts w:ascii="Times New Roman" w:cs="Times New Roman" w:eastAsia="Times New Roman" w:hAnsi="Times New Roman"/>
          <w:sz w:val="21"/>
          <w:szCs w:val="21"/>
          <w:b w:val="1"/>
          <w:bCs w:val="1"/>
          <w:color w:val="auto"/>
        </w:rPr>
        <w:t>Legal Proceedings; Orders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2640" w:hanging="757"/>
        <w:spacing w:after="0"/>
        <w:tabs>
          <w:tab w:leader="none" w:pos="264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Fairly Disclosed, there is no pending Proceeding:</w:t>
      </w:r>
    </w:p>
    <w:p>
      <w:pPr>
        <w:spacing w:after="0" w:line="206" w:lineRule="exact"/>
        <w:rPr>
          <w:rFonts w:ascii="Times New Roman" w:cs="Times New Roman" w:eastAsia="Times New Roman" w:hAnsi="Times New Roman"/>
          <w:sz w:val="22"/>
          <w:szCs w:val="22"/>
          <w:b w:val="1"/>
          <w:bCs w:val="1"/>
          <w:color w:val="auto"/>
        </w:rPr>
      </w:pPr>
    </w:p>
    <w:p>
      <w:pPr>
        <w:ind w:left="940" w:firstLine="2246"/>
        <w:spacing w:after="0" w:line="258" w:lineRule="auto"/>
        <w:tabs>
          <w:tab w:leader="none" w:pos="3459" w:val="left"/>
        </w:tabs>
        <w:numPr>
          <w:ilvl w:val="1"/>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that has been commenced by or against the Company or that otherwise relates to or may affect the business of, or any of the assets owned or used by, the Company; or</w:t>
      </w:r>
    </w:p>
    <w:p>
      <w:pPr>
        <w:spacing w:after="0" w:line="158" w:lineRule="exact"/>
        <w:rPr>
          <w:rFonts w:ascii="Times New Roman" w:cs="Times New Roman" w:eastAsia="Times New Roman" w:hAnsi="Times New Roman"/>
          <w:sz w:val="22"/>
          <w:szCs w:val="22"/>
          <w:b w:val="1"/>
          <w:bCs w:val="1"/>
          <w:color w:val="auto"/>
        </w:rPr>
      </w:pPr>
    </w:p>
    <w:p>
      <w:pPr>
        <w:ind w:left="940" w:firstLine="2246"/>
        <w:spacing w:after="0" w:line="258" w:lineRule="auto"/>
        <w:tabs>
          <w:tab w:leader="none" w:pos="3459" w:val="left"/>
        </w:tabs>
        <w:numPr>
          <w:ilvl w:val="1"/>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that challenges, or that may have the effect of preventing, delaying, making illegal, or otherwise interfering with, any of the transactions contemplated hereby.</w:t>
      </w:r>
    </w:p>
    <w:p>
      <w:pPr>
        <w:spacing w:after="0" w:line="158" w:lineRule="exact"/>
        <w:rPr>
          <w:sz w:val="20"/>
          <w:szCs w:val="20"/>
          <w:color w:val="auto"/>
        </w:rPr>
      </w:pPr>
    </w:p>
    <w:p>
      <w:pPr>
        <w:jc w:val="both"/>
        <w:ind w:left="380" w:firstLine="749"/>
        <w:spacing w:after="0" w:line="251" w:lineRule="auto"/>
        <w:rPr>
          <w:sz w:val="20"/>
          <w:szCs w:val="20"/>
          <w:color w:val="auto"/>
        </w:rPr>
      </w:pPr>
      <w:r>
        <w:rPr>
          <w:rFonts w:ascii="Times New Roman" w:cs="Times New Roman" w:eastAsia="Times New Roman" w:hAnsi="Times New Roman"/>
          <w:sz w:val="21"/>
          <w:szCs w:val="21"/>
          <w:color w:val="auto"/>
        </w:rPr>
        <w:t>To the Knowledge of the Seller, (1) no such Proceeding has been threatened, and (2) no event has occurred, or circumstance exists that may give rise to or serve as a basis for the commencement of any such Proceeding. The Seller has delivered to Buyer copies of all pleadings, correspondence, and other documents relating to any Proceeding Fairly Disclosed. The Proceedings which are Fairly Disclosed will not have a Material Adverse Effect on the business, operations, assets, condition, or prospects of the Company.</w:t>
      </w:r>
    </w:p>
    <w:p>
      <w:pPr>
        <w:spacing w:after="0" w:line="168" w:lineRule="exact"/>
        <w:rPr>
          <w:sz w:val="20"/>
          <w:szCs w:val="20"/>
          <w:color w:val="auto"/>
        </w:rPr>
      </w:pPr>
    </w:p>
    <w:p>
      <w:pPr>
        <w:ind w:left="2640" w:hanging="757"/>
        <w:spacing w:after="0"/>
        <w:tabs>
          <w:tab w:leader="none" w:pos="264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Fairly Disclosed:</w:t>
      </w:r>
    </w:p>
    <w:p>
      <w:pPr>
        <w:spacing w:after="0" w:line="206" w:lineRule="exact"/>
        <w:rPr>
          <w:rFonts w:ascii="Times New Roman" w:cs="Times New Roman" w:eastAsia="Times New Roman" w:hAnsi="Times New Roman"/>
          <w:sz w:val="22"/>
          <w:szCs w:val="22"/>
          <w:b w:val="1"/>
          <w:bCs w:val="1"/>
          <w:color w:val="auto"/>
        </w:rPr>
      </w:pPr>
    </w:p>
    <w:p>
      <w:pPr>
        <w:ind w:left="940" w:firstLine="2246"/>
        <w:spacing w:after="0" w:line="258" w:lineRule="auto"/>
        <w:tabs>
          <w:tab w:leader="none" w:pos="3459" w:val="left"/>
        </w:tabs>
        <w:numPr>
          <w:ilvl w:val="1"/>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there is no Order to which the Company, or any of the assets owned or used by the Company, is subject;</w:t>
      </w:r>
    </w:p>
    <w:p>
      <w:pPr>
        <w:spacing w:after="0" w:line="154" w:lineRule="exact"/>
        <w:rPr>
          <w:sz w:val="20"/>
          <w:szCs w:val="20"/>
          <w:color w:val="auto"/>
        </w:rPr>
      </w:pPr>
    </w:p>
    <w:p>
      <w:pPr>
        <w:jc w:val="both"/>
        <w:ind w:left="940" w:firstLine="2246"/>
        <w:spacing w:after="0" w:line="262" w:lineRule="auto"/>
        <w:rPr>
          <w:sz w:val="20"/>
          <w:szCs w:val="20"/>
          <w:color w:val="auto"/>
        </w:rPr>
      </w:pP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the Seller is not subject to any Order that relates to the business of,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of the assets owned or used by, the Company; and</w:t>
      </w:r>
    </w:p>
    <w:p>
      <w:pPr>
        <w:spacing w:after="0" w:line="150" w:lineRule="exact"/>
        <w:rPr>
          <w:sz w:val="20"/>
          <w:szCs w:val="20"/>
          <w:color w:val="auto"/>
        </w:rPr>
      </w:pPr>
    </w:p>
    <w:p>
      <w:pPr>
        <w:jc w:val="both"/>
        <w:ind w:left="940" w:firstLine="2246"/>
        <w:spacing w:after="0" w:line="241"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to the Knowledge of the Seller and the Company, no officer, director,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 or employee of the Company is subject to any Order that prohibits such officer, director, agent, or employee from engaging in or continuing any conduct, activity, or practice relating to the business of the Company.</w:t>
      </w:r>
    </w:p>
    <w:p>
      <w:pPr>
        <w:spacing w:after="0" w:line="189" w:lineRule="exact"/>
        <w:rPr>
          <w:sz w:val="20"/>
          <w:szCs w:val="20"/>
          <w:color w:val="auto"/>
        </w:rPr>
      </w:pPr>
    </w:p>
    <w:p>
      <w:pPr>
        <w:ind w:left="2640" w:hanging="757"/>
        <w:spacing w:after="0"/>
        <w:tabs>
          <w:tab w:leader="none" w:pos="2640"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Fairly Disclosed:</w:t>
      </w:r>
    </w:p>
    <w:p>
      <w:pPr>
        <w:spacing w:after="0" w:line="206" w:lineRule="exact"/>
        <w:rPr>
          <w:rFonts w:ascii="Times New Roman" w:cs="Times New Roman" w:eastAsia="Times New Roman" w:hAnsi="Times New Roman"/>
          <w:sz w:val="22"/>
          <w:szCs w:val="22"/>
          <w:b w:val="1"/>
          <w:bCs w:val="1"/>
          <w:color w:val="auto"/>
        </w:rPr>
      </w:pPr>
    </w:p>
    <w:p>
      <w:pPr>
        <w:jc w:val="both"/>
        <w:ind w:left="940" w:firstLine="2246"/>
        <w:spacing w:after="0" w:line="244" w:lineRule="auto"/>
        <w:tabs>
          <w:tab w:leader="none" w:pos="3459" w:val="left"/>
        </w:tabs>
        <w:numPr>
          <w:ilvl w:val="1"/>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is, and at all times since its incorporation has been, in full compliance with all of the terms and requirements of each Order to which it, or any of the assets owned or used by it, is or has been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869315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40" w:right="719" w:bottom="1440" w:gutter="0" w:footer="0" w:header="0"/>
        </w:sectPr>
      </w:pPr>
    </w:p>
    <w:bookmarkStart w:id="76" w:name="page77"/>
    <w:bookmarkEnd w:id="76"/>
    <w:p>
      <w:pPr>
        <w:spacing w:after="0" w:line="181" w:lineRule="exact"/>
        <w:rPr>
          <w:sz w:val="20"/>
          <w:szCs w:val="20"/>
          <w:color w:val="auto"/>
        </w:rPr>
      </w:pPr>
    </w:p>
    <w:p>
      <w:pPr>
        <w:jc w:val="both"/>
        <w:ind w:left="940" w:firstLine="2246"/>
        <w:spacing w:after="0" w:line="241" w:lineRule="auto"/>
        <w:rPr>
          <w:sz w:val="20"/>
          <w:szCs w:val="20"/>
          <w:color w:val="auto"/>
        </w:rPr>
      </w:pP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no event has occurred or circumstance exists that may constitute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result in (with or without notice or lapse of time) a violation of or failure to comply with any term or requirement of any Order to which the Company, or any of the assets owned or used by the Company, is subject; and</w:t>
      </w:r>
    </w:p>
    <w:p>
      <w:pPr>
        <w:spacing w:after="0" w:line="172" w:lineRule="exact"/>
        <w:rPr>
          <w:sz w:val="20"/>
          <w:szCs w:val="20"/>
          <w:color w:val="auto"/>
        </w:rPr>
      </w:pPr>
    </w:p>
    <w:p>
      <w:pPr>
        <w:jc w:val="both"/>
        <w:ind w:left="940" w:firstLine="2246"/>
        <w:spacing w:after="0" w:line="238"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Company has not received, at any time since its incorporation,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 or other communication (whether oral or written) from any Governmental Body or any other Person regarding any actual, alleged, possible, or potential violation of, or failure to comply with, any term or requirement of any Order to which the Company, or any of the assets owned or used by the Company, is or has been subject.</w:t>
      </w:r>
    </w:p>
    <w:p>
      <w:pPr>
        <w:spacing w:after="0" w:line="177" w:lineRule="exact"/>
        <w:rPr>
          <w:sz w:val="20"/>
          <w:szCs w:val="20"/>
          <w:color w:val="auto"/>
        </w:rPr>
      </w:pPr>
    </w:p>
    <w:p>
      <w:pPr>
        <w:jc w:val="both"/>
        <w:ind w:left="38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6.17Absence of Certain Changes and Events </w:t>
      </w:r>
      <w:r>
        <w:rPr>
          <w:rFonts w:ascii="Times New Roman" w:cs="Times New Roman" w:eastAsia="Times New Roman" w:hAnsi="Times New Roman"/>
          <w:sz w:val="22"/>
          <w:szCs w:val="22"/>
          <w:color w:val="auto"/>
        </w:rPr>
        <w:t>. Except as Fairly Disclosed, since the date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Balance Sheet, the Company has conducted its business only in the Ordinary Course of Business and there has not been any:</w:t>
      </w:r>
    </w:p>
    <w:p>
      <w:pPr>
        <w:spacing w:after="0" w:line="171" w:lineRule="exact"/>
        <w:rPr>
          <w:sz w:val="20"/>
          <w:szCs w:val="20"/>
          <w:color w:val="auto"/>
        </w:rPr>
      </w:pPr>
    </w:p>
    <w:p>
      <w:pPr>
        <w:jc w:val="both"/>
        <w:ind w:left="380" w:firstLine="1503"/>
        <w:spacing w:after="0" w:line="236" w:lineRule="auto"/>
        <w:tabs>
          <w:tab w:leader="none" w:pos="2425" w:val="left"/>
        </w:tabs>
        <w:numPr>
          <w:ilvl w:val="1"/>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change in the Company’s authorized or issued capital stock; grant of any stock option or right to purchase shares of capital stock of the Company (other than that contemplated by this Agreement); issuance of any security convertible into such capital stock; grant of any registration rights; purchase, redemption, retirement, or other acquisition by the Company of any shares of any such capital stock; or declaration or payment of any dividend or other distribution or payment in respect of shares of capital stock;</w:t>
      </w:r>
    </w:p>
    <w:p>
      <w:pPr>
        <w:spacing w:after="0" w:line="181" w:lineRule="exact"/>
        <w:rPr>
          <w:rFonts w:ascii="Times New Roman" w:cs="Times New Roman" w:eastAsia="Times New Roman" w:hAnsi="Times New Roman"/>
          <w:sz w:val="22"/>
          <w:szCs w:val="22"/>
          <w:b w:val="1"/>
          <w:bCs w:val="1"/>
          <w:color w:val="auto"/>
        </w:rPr>
      </w:pPr>
    </w:p>
    <w:p>
      <w:pPr>
        <w:ind w:left="2640" w:hanging="757"/>
        <w:spacing w:after="0"/>
        <w:tabs>
          <w:tab w:leader="none" w:pos="2640" w:val="left"/>
        </w:tabs>
        <w:numPr>
          <w:ilvl w:val="1"/>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amendment to the Organizational Documents of the Company;</w:t>
      </w:r>
    </w:p>
    <w:p>
      <w:pPr>
        <w:spacing w:after="0" w:line="206" w:lineRule="exact"/>
        <w:rPr>
          <w:rFonts w:ascii="Times New Roman" w:cs="Times New Roman" w:eastAsia="Times New Roman" w:hAnsi="Times New Roman"/>
          <w:sz w:val="22"/>
          <w:szCs w:val="22"/>
          <w:b w:val="1"/>
          <w:bCs w:val="1"/>
          <w:color w:val="auto"/>
        </w:rPr>
      </w:pPr>
    </w:p>
    <w:p>
      <w:pPr>
        <w:jc w:val="both"/>
        <w:ind w:left="380" w:firstLine="1503"/>
        <w:spacing w:after="0" w:line="244" w:lineRule="auto"/>
        <w:tabs>
          <w:tab w:leader="none" w:pos="2425" w:val="left"/>
        </w:tabs>
        <w:numPr>
          <w:ilvl w:val="1"/>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payment by the Company of any bonuses, salaries, or other compensation to any stockholder, director, officer, or (except in the Ordinary Course of Business) employee or entry into any employment, severance, or similar Contract with any director, officer, or employee;</w:t>
      </w:r>
    </w:p>
    <w:p>
      <w:pPr>
        <w:spacing w:after="0" w:line="173" w:lineRule="exact"/>
        <w:rPr>
          <w:rFonts w:ascii="Times New Roman" w:cs="Times New Roman" w:eastAsia="Times New Roman" w:hAnsi="Times New Roman"/>
          <w:sz w:val="22"/>
          <w:szCs w:val="22"/>
          <w:b w:val="1"/>
          <w:bCs w:val="1"/>
          <w:color w:val="auto"/>
        </w:rPr>
      </w:pPr>
    </w:p>
    <w:p>
      <w:pPr>
        <w:jc w:val="both"/>
        <w:ind w:left="380" w:firstLine="1503"/>
        <w:spacing w:after="0" w:line="244" w:lineRule="auto"/>
        <w:tabs>
          <w:tab w:leader="none" w:pos="2425" w:val="left"/>
        </w:tabs>
        <w:numPr>
          <w:ilvl w:val="1"/>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adoption of payments to or benefits under, any profit sharing, bonus, deferred compensation, savings, insurance, pension, retirement, or other employee benefit plan for or with any Person;</w:t>
      </w:r>
    </w:p>
    <w:p>
      <w:pPr>
        <w:spacing w:after="0" w:line="173" w:lineRule="exact"/>
        <w:rPr>
          <w:rFonts w:ascii="Times New Roman" w:cs="Times New Roman" w:eastAsia="Times New Roman" w:hAnsi="Times New Roman"/>
          <w:sz w:val="22"/>
          <w:szCs w:val="22"/>
          <w:b w:val="1"/>
          <w:bCs w:val="1"/>
          <w:color w:val="auto"/>
        </w:rPr>
      </w:pPr>
    </w:p>
    <w:p>
      <w:pPr>
        <w:jc w:val="both"/>
        <w:ind w:left="380" w:firstLine="1503"/>
        <w:spacing w:after="0" w:line="244" w:lineRule="auto"/>
        <w:tabs>
          <w:tab w:leader="none" w:pos="2424" w:val="left"/>
        </w:tabs>
        <w:numPr>
          <w:ilvl w:val="1"/>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damage to or destruction or loss of any asset or property of either Company, whether or not covered by insurance, materially and adversely affecting the properties, assets, business, financial condition, or prospects of the Company;</w:t>
      </w:r>
    </w:p>
    <w:p>
      <w:pPr>
        <w:spacing w:after="0" w:line="173" w:lineRule="exact"/>
        <w:rPr>
          <w:rFonts w:ascii="Times New Roman" w:cs="Times New Roman" w:eastAsia="Times New Roman" w:hAnsi="Times New Roman"/>
          <w:sz w:val="22"/>
          <w:szCs w:val="22"/>
          <w:b w:val="1"/>
          <w:bCs w:val="1"/>
          <w:color w:val="auto"/>
        </w:rPr>
      </w:pPr>
    </w:p>
    <w:p>
      <w:pPr>
        <w:ind w:left="380" w:firstLine="1503"/>
        <w:spacing w:after="0" w:line="241" w:lineRule="auto"/>
        <w:tabs>
          <w:tab w:leader="none" w:pos="2425" w:val="left"/>
        </w:tabs>
        <w:numPr>
          <w:ilvl w:val="1"/>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entry into, termination of, or receipt of notice of termination of (i) any license, distributorship, dealer, sales representative, joint venture, credit, or similar agreement, or</w:t>
      </w:r>
    </w:p>
    <w:p>
      <w:pPr>
        <w:spacing w:after="0" w:line="1" w:lineRule="exact"/>
        <w:rPr>
          <w:rFonts w:ascii="Times New Roman" w:cs="Times New Roman" w:eastAsia="Times New Roman" w:hAnsi="Times New Roman"/>
          <w:sz w:val="22"/>
          <w:szCs w:val="22"/>
          <w:b w:val="1"/>
          <w:bCs w:val="1"/>
          <w:color w:val="auto"/>
        </w:rPr>
      </w:pPr>
    </w:p>
    <w:p>
      <w:pPr>
        <w:ind w:left="380" w:right="320" w:firstLine="5"/>
        <w:spacing w:after="0" w:line="237" w:lineRule="auto"/>
        <w:tabs>
          <w:tab w:leader="none" w:pos="69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or transaction involving a total remaining commitment by or to the Company of at least US$50,000;</w:t>
      </w:r>
    </w:p>
    <w:p>
      <w:pPr>
        <w:spacing w:after="0" w:line="178" w:lineRule="exact"/>
        <w:rPr>
          <w:rFonts w:ascii="Times New Roman" w:cs="Times New Roman" w:eastAsia="Times New Roman" w:hAnsi="Times New Roman"/>
          <w:sz w:val="22"/>
          <w:szCs w:val="22"/>
          <w:color w:val="auto"/>
        </w:rPr>
      </w:pPr>
    </w:p>
    <w:p>
      <w:pPr>
        <w:jc w:val="both"/>
        <w:ind w:left="380" w:firstLine="1503"/>
        <w:spacing w:after="0" w:line="239" w:lineRule="auto"/>
        <w:tabs>
          <w:tab w:leader="none" w:pos="2425" w:val="left"/>
        </w:tabs>
        <w:numPr>
          <w:ilvl w:val="1"/>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sale (other than sales of inventory in the Ordinary Course of Business), lease, or other disposition of any asset or property of the Company or mortgage, pledge, or imposition of any lien or other encumbrance on any material asset or property of the Company, including the sale, lease, or other disposition of any of the Intellectual Property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873760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40" w:right="719" w:bottom="1440" w:gutter="0" w:footer="0" w:header="0"/>
        </w:sectPr>
      </w:pPr>
    </w:p>
    <w:bookmarkStart w:id="77" w:name="page78"/>
    <w:bookmarkEnd w:id="77"/>
    <w:p>
      <w:pPr>
        <w:spacing w:after="0" w:line="185" w:lineRule="exact"/>
        <w:rPr>
          <w:sz w:val="20"/>
          <w:szCs w:val="20"/>
          <w:color w:val="auto"/>
        </w:rPr>
      </w:pPr>
    </w:p>
    <w:p>
      <w:pPr>
        <w:ind w:left="2420" w:hanging="537"/>
        <w:spacing w:after="0"/>
        <w:tabs>
          <w:tab w:leader="none" w:pos="2420" w:val="left"/>
        </w:tabs>
        <w:numPr>
          <w:ilvl w:val="0"/>
          <w:numId w:val="10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cancellation or waiver of any claims or rights with a value to the Company in excess</w:t>
      </w:r>
    </w:p>
    <w:p>
      <w:pPr>
        <w:spacing w:after="0" w:line="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of US$50,000;</w:t>
      </w:r>
    </w:p>
    <w:p>
      <w:pPr>
        <w:spacing w:after="0" w:line="182" w:lineRule="exact"/>
        <w:rPr>
          <w:sz w:val="20"/>
          <w:szCs w:val="20"/>
          <w:color w:val="auto"/>
        </w:rPr>
      </w:pPr>
    </w:p>
    <w:p>
      <w:pPr>
        <w:ind w:left="2640" w:hanging="757"/>
        <w:spacing w:after="0"/>
        <w:tabs>
          <w:tab w:leader="none" w:pos="2640"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material change in the accounting methods used by the Company; or</w:t>
      </w:r>
    </w:p>
    <w:p>
      <w:pPr>
        <w:spacing w:after="0" w:line="382" w:lineRule="exact"/>
        <w:rPr>
          <w:sz w:val="20"/>
          <w:szCs w:val="20"/>
          <w:color w:val="auto"/>
        </w:rPr>
      </w:pPr>
    </w:p>
    <w:p>
      <w:pPr>
        <w:ind w:left="2640" w:hanging="757"/>
        <w:spacing w:after="0"/>
        <w:tabs>
          <w:tab w:leader="none" w:pos="264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agreement, whether oral or written, by the Company to do any of the</w:t>
      </w:r>
    </w:p>
    <w:p>
      <w:pPr>
        <w:spacing w:after="0" w:line="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foregoing.</w:t>
      </w:r>
    </w:p>
    <w:p>
      <w:pPr>
        <w:spacing w:after="0" w:line="178" w:lineRule="exact"/>
        <w:rPr>
          <w:sz w:val="20"/>
          <w:szCs w:val="20"/>
          <w:color w:val="auto"/>
        </w:rPr>
      </w:pPr>
    </w:p>
    <w:p>
      <w:pPr>
        <w:ind w:left="1140"/>
        <w:spacing w:after="0"/>
        <w:tabs>
          <w:tab w:leader="none" w:pos="1860" w:val="left"/>
        </w:tabs>
        <w:rPr>
          <w:sz w:val="20"/>
          <w:szCs w:val="20"/>
          <w:color w:val="auto"/>
        </w:rPr>
      </w:pPr>
      <w:r>
        <w:rPr>
          <w:rFonts w:ascii="Times New Roman" w:cs="Times New Roman" w:eastAsia="Times New Roman" w:hAnsi="Times New Roman"/>
          <w:sz w:val="22"/>
          <w:szCs w:val="22"/>
          <w:b w:val="1"/>
          <w:bCs w:val="1"/>
          <w:color w:val="auto"/>
        </w:rPr>
        <w:t>6.18</w:t>
      </w:r>
      <w:r>
        <w:rPr>
          <w:sz w:val="20"/>
          <w:szCs w:val="20"/>
          <w:color w:val="auto"/>
        </w:rPr>
        <w:tab/>
      </w:r>
      <w:r>
        <w:rPr>
          <w:rFonts w:ascii="Times New Roman" w:cs="Times New Roman" w:eastAsia="Times New Roman" w:hAnsi="Times New Roman"/>
          <w:sz w:val="21"/>
          <w:szCs w:val="21"/>
          <w:b w:val="1"/>
          <w:bCs w:val="1"/>
          <w:color w:val="auto"/>
        </w:rPr>
        <w:t>Contracts; No Defaults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2640" w:hanging="757"/>
        <w:spacing w:after="0"/>
        <w:tabs>
          <w:tab w:leader="none" w:pos="264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Seller has delivered to the Buyer true and complete copies, of:</w:t>
      </w:r>
    </w:p>
    <w:p>
      <w:pPr>
        <w:spacing w:after="0" w:line="206" w:lineRule="exact"/>
        <w:rPr>
          <w:rFonts w:ascii="Times New Roman" w:cs="Times New Roman" w:eastAsia="Times New Roman" w:hAnsi="Times New Roman"/>
          <w:sz w:val="22"/>
          <w:szCs w:val="22"/>
          <w:b w:val="1"/>
          <w:bCs w:val="1"/>
          <w:color w:val="auto"/>
        </w:rPr>
      </w:pPr>
    </w:p>
    <w:p>
      <w:pPr>
        <w:ind w:left="940" w:firstLine="2246"/>
        <w:spacing w:after="0" w:line="258" w:lineRule="auto"/>
        <w:tabs>
          <w:tab w:leader="none" w:pos="3459" w:val="left"/>
        </w:tabs>
        <w:numPr>
          <w:ilvl w:val="1"/>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each Applicable Contract that involves performance of services or delivery of goods or materials by the Company of an amount or value in excess of US$50,000;</w:t>
      </w:r>
    </w:p>
    <w:p>
      <w:pPr>
        <w:spacing w:after="0" w:line="154" w:lineRule="exact"/>
        <w:rPr>
          <w:sz w:val="20"/>
          <w:szCs w:val="20"/>
          <w:color w:val="auto"/>
        </w:rPr>
      </w:pPr>
    </w:p>
    <w:p>
      <w:pPr>
        <w:jc w:val="both"/>
        <w:ind w:left="940" w:firstLine="2246"/>
        <w:spacing w:after="0" w:line="246" w:lineRule="auto"/>
        <w:rPr>
          <w:sz w:val="20"/>
          <w:szCs w:val="20"/>
          <w:color w:val="auto"/>
        </w:rPr>
      </w:pP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each Applicable Contract that was not entered into in the Ordinary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Course of Business and that involves expenditures or receipts of the Company in excess of US$50,000;</w:t>
      </w:r>
    </w:p>
    <w:p>
      <w:pPr>
        <w:spacing w:after="0" w:line="167" w:lineRule="exact"/>
        <w:rPr>
          <w:sz w:val="20"/>
          <w:szCs w:val="20"/>
          <w:color w:val="auto"/>
        </w:rPr>
      </w:pPr>
    </w:p>
    <w:p>
      <w:pPr>
        <w:jc w:val="both"/>
        <w:ind w:left="940" w:firstLine="2246"/>
        <w:spacing w:after="0" w:line="238"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each lease, rental or occupancy agreement, license, installment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conditional sale agreement, and other Applicable Contract affecting the ownership of, leasing of, title to, use of, or any leasehold or other interest in, any real or personal property (except personal property leases and installment and conditional sales agreements having a value per item or aggregate payments of less than US$50,000 and with terms of less than one year);</w:t>
      </w:r>
    </w:p>
    <w:p>
      <w:pPr>
        <w:spacing w:after="0" w:line="177" w:lineRule="exact"/>
        <w:rPr>
          <w:sz w:val="20"/>
          <w:szCs w:val="20"/>
          <w:color w:val="auto"/>
        </w:rPr>
      </w:pPr>
    </w:p>
    <w:p>
      <w:pPr>
        <w:jc w:val="both"/>
        <w:ind w:left="940" w:firstLine="2246"/>
        <w:spacing w:after="0" w:line="241" w:lineRule="auto"/>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each licensing agreement or other Applicable Contract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patents, trademarks, copyrights, or other intellectual property, including agreements with current or former employees, consultants, or contractors regarding the appropriation or the non-disclosure of any of the Intellectual Property Assets;</w:t>
      </w:r>
    </w:p>
    <w:p>
      <w:pPr>
        <w:spacing w:after="0" w:line="176" w:lineRule="exact"/>
        <w:rPr>
          <w:sz w:val="20"/>
          <w:szCs w:val="20"/>
          <w:color w:val="auto"/>
        </w:rPr>
      </w:pPr>
    </w:p>
    <w:p>
      <w:pPr>
        <w:ind w:left="3940" w:hanging="754"/>
        <w:spacing w:after="0"/>
        <w:tabs>
          <w:tab w:leader="none" w:pos="394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omitted;</w:t>
      </w:r>
    </w:p>
    <w:p>
      <w:pPr>
        <w:spacing w:after="0" w:line="202" w:lineRule="exact"/>
        <w:rPr>
          <w:sz w:val="20"/>
          <w:szCs w:val="20"/>
          <w:color w:val="auto"/>
        </w:rPr>
      </w:pPr>
    </w:p>
    <w:p>
      <w:pPr>
        <w:jc w:val="both"/>
        <w:ind w:left="940" w:firstLine="2246"/>
        <w:spacing w:after="0" w:line="246" w:lineRule="auto"/>
        <w:rPr>
          <w:sz w:val="20"/>
          <w:szCs w:val="20"/>
          <w:color w:val="auto"/>
        </w:rPr>
      </w:pPr>
      <w:r>
        <w:rPr>
          <w:rFonts w:ascii="Times New Roman" w:cs="Times New Roman" w:eastAsia="Times New Roman" w:hAnsi="Times New Roman"/>
          <w:sz w:val="22"/>
          <w:szCs w:val="22"/>
          <w:b w:val="1"/>
          <w:bCs w:val="1"/>
          <w:color w:val="auto"/>
        </w:rPr>
        <w:t>(vi)</w:t>
      </w:r>
      <w:r>
        <w:rPr>
          <w:rFonts w:ascii="Times New Roman" w:cs="Times New Roman" w:eastAsia="Times New Roman" w:hAnsi="Times New Roman"/>
          <w:sz w:val="22"/>
          <w:szCs w:val="22"/>
          <w:color w:val="auto"/>
        </w:rPr>
        <w:t>each joint venture, partnership, and other Applicable Contract (however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named) involving a sharing of profits, losses, costs, or liabilities by the Company with any other Person;</w:t>
      </w:r>
    </w:p>
    <w:p>
      <w:pPr>
        <w:spacing w:after="0" w:line="167" w:lineRule="exact"/>
        <w:rPr>
          <w:sz w:val="20"/>
          <w:szCs w:val="20"/>
          <w:color w:val="auto"/>
        </w:rPr>
      </w:pPr>
    </w:p>
    <w:p>
      <w:pPr>
        <w:jc w:val="both"/>
        <w:ind w:left="940" w:firstLine="2246"/>
        <w:spacing w:after="0" w:line="246" w:lineRule="auto"/>
        <w:rPr>
          <w:sz w:val="20"/>
          <w:szCs w:val="20"/>
          <w:color w:val="auto"/>
        </w:rPr>
      </w:pPr>
      <w:r>
        <w:rPr>
          <w:rFonts w:ascii="Times New Roman" w:cs="Times New Roman" w:eastAsia="Times New Roman" w:hAnsi="Times New Roman"/>
          <w:sz w:val="22"/>
          <w:szCs w:val="22"/>
          <w:b w:val="1"/>
          <w:bCs w:val="1"/>
          <w:color w:val="auto"/>
        </w:rPr>
        <w:t>(vii)</w:t>
      </w:r>
      <w:r>
        <w:rPr>
          <w:rFonts w:ascii="Times New Roman" w:cs="Times New Roman" w:eastAsia="Times New Roman" w:hAnsi="Times New Roman"/>
          <w:sz w:val="22"/>
          <w:szCs w:val="22"/>
          <w:color w:val="auto"/>
        </w:rPr>
        <w:t>each Applicable Contract containing covenants that in any way purport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restrict the business activity of the Company or limit the freedom of the Company to engage in any line of business or to compete with any Person;</w:t>
      </w:r>
    </w:p>
    <w:p>
      <w:pPr>
        <w:spacing w:after="0" w:line="167" w:lineRule="exact"/>
        <w:rPr>
          <w:sz w:val="20"/>
          <w:szCs w:val="20"/>
          <w:color w:val="auto"/>
        </w:rPr>
      </w:pPr>
    </w:p>
    <w:p>
      <w:pPr>
        <w:jc w:val="both"/>
        <w:ind w:left="940" w:firstLine="2246"/>
        <w:spacing w:after="0" w:line="262" w:lineRule="auto"/>
        <w:rPr>
          <w:sz w:val="20"/>
          <w:szCs w:val="20"/>
          <w:color w:val="auto"/>
        </w:rPr>
      </w:pPr>
      <w:r>
        <w:rPr>
          <w:rFonts w:ascii="Times New Roman" w:cs="Times New Roman" w:eastAsia="Times New Roman" w:hAnsi="Times New Roman"/>
          <w:sz w:val="22"/>
          <w:szCs w:val="22"/>
          <w:b w:val="1"/>
          <w:bCs w:val="1"/>
          <w:color w:val="auto"/>
        </w:rPr>
        <w:t>(viii)</w:t>
      </w:r>
      <w:r>
        <w:rPr>
          <w:rFonts w:ascii="Times New Roman" w:cs="Times New Roman" w:eastAsia="Times New Roman" w:hAnsi="Times New Roman"/>
          <w:sz w:val="22"/>
          <w:szCs w:val="22"/>
          <w:color w:val="auto"/>
        </w:rPr>
        <w:t>each Applicable Contract providing for payments to or by any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based on sales, purchases, or profits, other than direct payments for goods;</w:t>
      </w:r>
    </w:p>
    <w:p>
      <w:pPr>
        <w:spacing w:after="0" w:line="154" w:lineRule="exact"/>
        <w:rPr>
          <w:sz w:val="20"/>
          <w:szCs w:val="20"/>
          <w:color w:val="auto"/>
        </w:rPr>
      </w:pPr>
    </w:p>
    <w:p>
      <w:pPr>
        <w:ind w:left="3940" w:hanging="754"/>
        <w:spacing w:after="0"/>
        <w:tabs>
          <w:tab w:leader="none" w:pos="394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each power of attorney that is currently effective and</w:t>
      </w:r>
    </w:p>
    <w:p>
      <w:pPr>
        <w:spacing w:after="0" w:line="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874395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40" w:right="719" w:bottom="1440" w:gutter="0" w:footer="0" w:header="0"/>
        </w:sectPr>
      </w:pPr>
    </w:p>
    <w:bookmarkStart w:id="78" w:name="page79"/>
    <w:bookmarkEnd w:id="78"/>
    <w:p>
      <w:pPr>
        <w:spacing w:after="0" w:line="185" w:lineRule="exact"/>
        <w:rPr>
          <w:sz w:val="20"/>
          <w:szCs w:val="20"/>
          <w:color w:val="auto"/>
        </w:rPr>
      </w:pPr>
    </w:p>
    <w:p>
      <w:pPr>
        <w:ind w:left="3940" w:hanging="754"/>
        <w:spacing w:after="0"/>
        <w:tabs>
          <w:tab w:leader="none" w:pos="394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each Applicable Contract entered into other than in the</w:t>
      </w:r>
    </w:p>
    <w:p>
      <w:pPr>
        <w:spacing w:after="0" w:line="14" w:lineRule="exact"/>
        <w:rPr>
          <w:sz w:val="20"/>
          <w:szCs w:val="20"/>
          <w:color w:val="auto"/>
        </w:rPr>
      </w:pPr>
    </w:p>
    <w:p>
      <w:pPr>
        <w:ind w:left="940"/>
        <w:spacing w:after="0" w:line="237" w:lineRule="auto"/>
        <w:rPr>
          <w:sz w:val="20"/>
          <w:szCs w:val="20"/>
          <w:color w:val="auto"/>
        </w:rPr>
      </w:pPr>
      <w:r>
        <w:rPr>
          <w:rFonts w:ascii="Times New Roman" w:cs="Times New Roman" w:eastAsia="Times New Roman" w:hAnsi="Times New Roman"/>
          <w:sz w:val="22"/>
          <w:szCs w:val="22"/>
          <w:color w:val="auto"/>
        </w:rPr>
        <w:t>Ordinary Course of Business that contains or provides for an express undertaking by the Company to be responsible for consequential damages;</w:t>
      </w:r>
    </w:p>
    <w:p>
      <w:pPr>
        <w:spacing w:after="0" w:line="1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US$50,000;</w:t>
      </w:r>
    </w:p>
    <w:p>
      <w:pPr>
        <w:spacing w:after="0" w:line="20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(xi)</w:t>
      </w:r>
    </w:p>
    <w:p>
      <w:pPr>
        <w:spacing w:after="0" w:line="206" w:lineRule="exact"/>
        <w:rPr>
          <w:sz w:val="20"/>
          <w:szCs w:val="20"/>
          <w:color w:val="auto"/>
        </w:rPr>
      </w:pPr>
    </w:p>
    <w:p>
      <w:pPr>
        <w:ind w:left="940" w:right="700" w:firstLine="2248"/>
        <w:spacing w:after="0" w:line="246" w:lineRule="auto"/>
        <w:rPr>
          <w:sz w:val="20"/>
          <w:szCs w:val="20"/>
          <w:color w:val="auto"/>
        </w:rPr>
      </w:pPr>
      <w:r>
        <w:rPr>
          <w:rFonts w:ascii="Times New Roman" w:cs="Times New Roman" w:eastAsia="Times New Roman" w:hAnsi="Times New Roman"/>
          <w:sz w:val="22"/>
          <w:szCs w:val="22"/>
          <w:b w:val="1"/>
          <w:bCs w:val="1"/>
          <w:color w:val="auto"/>
        </w:rPr>
        <w:t>(xii)</w:t>
      </w:r>
      <w:r>
        <w:rPr>
          <w:rFonts w:ascii="Times New Roman" w:cs="Times New Roman" w:eastAsia="Times New Roman" w:hAnsi="Times New Roman"/>
          <w:sz w:val="22"/>
          <w:szCs w:val="22"/>
          <w:color w:val="auto"/>
        </w:rPr>
        <w:t>each written warranty, guaranty, and or other similar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undertaking with respect to contractual performance extended by the Company other than in the Ordinary Course of Business; and</w:t>
      </w:r>
    </w:p>
    <w:p>
      <w:pPr>
        <w:spacing w:after="0" w:line="167" w:lineRule="exact"/>
        <w:rPr>
          <w:sz w:val="20"/>
          <w:szCs w:val="20"/>
          <w:color w:val="auto"/>
        </w:rPr>
      </w:pPr>
    </w:p>
    <w:p>
      <w:pPr>
        <w:ind w:left="940" w:right="200" w:firstLine="2246"/>
        <w:spacing w:after="0" w:line="262" w:lineRule="auto"/>
        <w:rPr>
          <w:sz w:val="20"/>
          <w:szCs w:val="20"/>
          <w:color w:val="auto"/>
        </w:rPr>
      </w:pPr>
      <w:r>
        <w:rPr>
          <w:rFonts w:ascii="Times New Roman" w:cs="Times New Roman" w:eastAsia="Times New Roman" w:hAnsi="Times New Roman"/>
          <w:sz w:val="22"/>
          <w:szCs w:val="22"/>
          <w:b w:val="1"/>
          <w:bCs w:val="1"/>
          <w:color w:val="auto"/>
        </w:rPr>
        <w:t>(xiii)</w:t>
      </w:r>
      <w:r>
        <w:rPr>
          <w:rFonts w:ascii="Times New Roman" w:cs="Times New Roman" w:eastAsia="Times New Roman" w:hAnsi="Times New Roman"/>
          <w:sz w:val="22"/>
          <w:szCs w:val="22"/>
          <w:color w:val="auto"/>
        </w:rPr>
        <w:t>each amendment, supplement, and modification (whether oral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in respect of any of the foregoing.</w:t>
      </w:r>
    </w:p>
    <w:p>
      <w:pPr>
        <w:spacing w:after="0" w:line="154" w:lineRule="exact"/>
        <w:rPr>
          <w:sz w:val="20"/>
          <w:szCs w:val="20"/>
          <w:color w:val="auto"/>
        </w:rPr>
      </w:pPr>
    </w:p>
    <w:p>
      <w:pPr>
        <w:jc w:val="both"/>
        <w:ind w:left="380" w:right="200" w:firstLine="749"/>
        <w:spacing w:after="0" w:line="244" w:lineRule="auto"/>
        <w:rPr>
          <w:sz w:val="20"/>
          <w:szCs w:val="20"/>
          <w:color w:val="auto"/>
        </w:rPr>
      </w:pPr>
      <w:r>
        <w:rPr>
          <w:rFonts w:ascii="Times New Roman" w:cs="Times New Roman" w:eastAsia="Times New Roman" w:hAnsi="Times New Roman"/>
          <w:sz w:val="22"/>
          <w:szCs w:val="22"/>
          <w:color w:val="auto"/>
        </w:rPr>
        <w:t>Reasonably complete details concerning any such Contracts, including the parties to the Contracts, and the amount of the remaining commitment of the Company under the Contracts have been Fairly Disclosed.</w:t>
      </w:r>
    </w:p>
    <w:p>
      <w:pPr>
        <w:spacing w:after="0" w:line="173" w:lineRule="exact"/>
        <w:rPr>
          <w:sz w:val="20"/>
          <w:szCs w:val="20"/>
          <w:color w:val="auto"/>
        </w:rPr>
      </w:pPr>
    </w:p>
    <w:p>
      <w:pPr>
        <w:ind w:left="2640" w:hanging="757"/>
        <w:spacing w:after="0"/>
        <w:tabs>
          <w:tab w:leader="none" w:pos="264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Fairly Disclosed:</w:t>
      </w:r>
    </w:p>
    <w:p>
      <w:pPr>
        <w:spacing w:after="0" w:line="202" w:lineRule="exact"/>
        <w:rPr>
          <w:sz w:val="20"/>
          <w:szCs w:val="20"/>
          <w:color w:val="auto"/>
        </w:rPr>
      </w:pPr>
    </w:p>
    <w:p>
      <w:pPr>
        <w:jc w:val="both"/>
        <w:ind w:left="940" w:right="200" w:firstLine="2246"/>
        <w:spacing w:after="0" w:line="241"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neither the Seller nor any Related Person thereof has or may acquire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rights under, and neither the Seller nor any Related Person has or may become subject to any obligation or liability under, any Contract that relates to the business of, or any of the assets owned or used by, the Company; and</w:t>
      </w:r>
    </w:p>
    <w:p>
      <w:pPr>
        <w:spacing w:after="0" w:line="172" w:lineRule="exact"/>
        <w:rPr>
          <w:sz w:val="20"/>
          <w:szCs w:val="20"/>
          <w:color w:val="auto"/>
        </w:rPr>
      </w:pPr>
    </w:p>
    <w:p>
      <w:pPr>
        <w:jc w:val="both"/>
        <w:ind w:left="940" w:right="200" w:firstLine="2246"/>
        <w:spacing w:after="0" w:line="238" w:lineRule="auto"/>
        <w:rPr>
          <w:sz w:val="20"/>
          <w:szCs w:val="20"/>
          <w:color w:val="auto"/>
        </w:rPr>
      </w:pPr>
      <w:r>
        <w:rPr>
          <w:rFonts w:ascii="Times New Roman" w:cs="Times New Roman" w:eastAsia="Times New Roman" w:hAnsi="Times New Roman"/>
          <w:sz w:val="22"/>
          <w:szCs w:val="22"/>
          <w:b w:val="1"/>
          <w:bCs w:val="1"/>
          <w:color w:val="auto"/>
        </w:rPr>
        <w:t>(xiv)</w:t>
      </w:r>
      <w:r>
        <w:rPr>
          <w:rFonts w:ascii="Times New Roman" w:cs="Times New Roman" w:eastAsia="Times New Roman" w:hAnsi="Times New Roman"/>
          <w:sz w:val="22"/>
          <w:szCs w:val="22"/>
          <w:color w:val="auto"/>
        </w:rPr>
        <w:t>to the Knowledge of the Seller, no officer, director, agent, 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 or contractor of the Company is bound by any Contract that purports to limit the ability of such officer, director, agent, employee, consultant, or contractor to (A) engage in or continue any conduct, activity, or practice relating to the business of the Company, or (B) assign to the Company or to any other Person any rights to any invention, improvement, or discovery.</w:t>
      </w:r>
    </w:p>
    <w:p>
      <w:pPr>
        <w:spacing w:after="0" w:line="181" w:lineRule="exact"/>
        <w:rPr>
          <w:sz w:val="20"/>
          <w:szCs w:val="20"/>
          <w:color w:val="auto"/>
        </w:rPr>
      </w:pPr>
    </w:p>
    <w:p>
      <w:pPr>
        <w:jc w:val="both"/>
        <w:ind w:left="380" w:right="220" w:firstLine="1503"/>
        <w:spacing w:after="0" w:line="244" w:lineRule="auto"/>
        <w:tabs>
          <w:tab w:leader="none" w:pos="2424"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Fairly Disclosed, each Contract Fairly Disclosed or required to be Fairly Disclosed by virtue of section 6.18(a) of this Agreement is in full force and effect and is valid and enforceable in accordance with its terms.</w:t>
      </w:r>
    </w:p>
    <w:p>
      <w:pPr>
        <w:spacing w:after="0" w:line="173" w:lineRule="exact"/>
        <w:rPr>
          <w:rFonts w:ascii="Times New Roman" w:cs="Times New Roman" w:eastAsia="Times New Roman" w:hAnsi="Times New Roman"/>
          <w:sz w:val="22"/>
          <w:szCs w:val="22"/>
          <w:b w:val="1"/>
          <w:bCs w:val="1"/>
          <w:color w:val="auto"/>
        </w:rPr>
      </w:pPr>
    </w:p>
    <w:p>
      <w:pPr>
        <w:jc w:val="both"/>
        <w:ind w:left="380" w:right="200" w:firstLine="1503"/>
        <w:spacing w:after="0" w:line="239" w:lineRule="auto"/>
        <w:tabs>
          <w:tab w:leader="none" w:pos="2425"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is, and for the past six (6) years has been, in material compliance with all material terms and requirements of each Contract under which the Company has or had any obligation or liability or by which such Company or any of the assets owned or used by the Company is or was bound.</w:t>
      </w:r>
    </w:p>
    <w:p>
      <w:pPr>
        <w:spacing w:after="0" w:line="180" w:lineRule="exact"/>
        <w:rPr>
          <w:rFonts w:ascii="Times New Roman" w:cs="Times New Roman" w:eastAsia="Times New Roman" w:hAnsi="Times New Roman"/>
          <w:sz w:val="22"/>
          <w:szCs w:val="22"/>
          <w:b w:val="1"/>
          <w:bCs w:val="1"/>
          <w:color w:val="auto"/>
        </w:rPr>
      </w:pPr>
    </w:p>
    <w:p>
      <w:pPr>
        <w:jc w:val="both"/>
        <w:ind w:left="380" w:right="220" w:firstLine="1503"/>
        <w:spacing w:after="0" w:line="239" w:lineRule="auto"/>
        <w:tabs>
          <w:tab w:leader="none" w:pos="2424"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There are no renegotiations of, attempts to renegotiate, or outstanding rights to renegotiate any material amounts paid or payable to the Company under current or completed Contracts with any Person and, to the Knowledge of the Seller, no such Person has made written demand for such renegotiation.</w:t>
      </w:r>
    </w:p>
    <w:p>
      <w:pPr>
        <w:spacing w:after="0" w:line="180" w:lineRule="exact"/>
        <w:rPr>
          <w:rFonts w:ascii="Times New Roman" w:cs="Times New Roman" w:eastAsia="Times New Roman" w:hAnsi="Times New Roman"/>
          <w:sz w:val="22"/>
          <w:szCs w:val="22"/>
          <w:b w:val="1"/>
          <w:bCs w:val="1"/>
          <w:color w:val="auto"/>
        </w:rPr>
      </w:pPr>
    </w:p>
    <w:p>
      <w:pPr>
        <w:ind w:left="2440" w:hanging="557"/>
        <w:spacing w:after="0"/>
        <w:tabs>
          <w:tab w:leader="none" w:pos="2440"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Contracts relating to the sale, design, manufacture, or provision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889635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40"/>
          </w:cols>
          <w:pgMar w:left="1440" w:top="1440" w:right="519" w:bottom="1440" w:gutter="0" w:footer="0" w:header="0"/>
        </w:sectPr>
      </w:pPr>
    </w:p>
    <w:bookmarkStart w:id="79" w:name="page80"/>
    <w:bookmarkEnd w:id="79"/>
    <w:p>
      <w:pPr>
        <w:spacing w:after="0" w:line="185"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22"/>
          <w:szCs w:val="22"/>
          <w:color w:val="auto"/>
        </w:rPr>
        <w:t>products or services by the Company has been entered into in the Ordinary Course of Business and have been entered into without the commission of any act alone or in concert with any other Person, or any consideration having been paid or promised, that is or would be in violation of any Legal Requirement.</w:t>
      </w:r>
    </w:p>
    <w:p>
      <w:pPr>
        <w:spacing w:after="0" w:line="345" w:lineRule="exact"/>
        <w:rPr>
          <w:sz w:val="20"/>
          <w:szCs w:val="20"/>
          <w:color w:val="auto"/>
        </w:rPr>
      </w:pPr>
    </w:p>
    <w:p>
      <w:pPr>
        <w:ind w:left="1140"/>
        <w:spacing w:after="0"/>
        <w:tabs>
          <w:tab w:leader="none" w:pos="1860" w:val="left"/>
        </w:tabs>
        <w:rPr>
          <w:sz w:val="20"/>
          <w:szCs w:val="20"/>
          <w:color w:val="auto"/>
        </w:rPr>
      </w:pPr>
      <w:r>
        <w:rPr>
          <w:rFonts w:ascii="Times New Roman" w:cs="Times New Roman" w:eastAsia="Times New Roman" w:hAnsi="Times New Roman"/>
          <w:sz w:val="22"/>
          <w:szCs w:val="22"/>
          <w:b w:val="1"/>
          <w:bCs w:val="1"/>
          <w:color w:val="auto"/>
        </w:rPr>
        <w:t>6.19</w:t>
      </w:r>
      <w:r>
        <w:rPr>
          <w:sz w:val="20"/>
          <w:szCs w:val="20"/>
          <w:color w:val="auto"/>
        </w:rPr>
        <w:tab/>
      </w:r>
      <w:r>
        <w:rPr>
          <w:rFonts w:ascii="Times New Roman" w:cs="Times New Roman" w:eastAsia="Times New Roman" w:hAnsi="Times New Roman"/>
          <w:sz w:val="21"/>
          <w:szCs w:val="21"/>
          <w:b w:val="1"/>
          <w:bCs w:val="1"/>
          <w:color w:val="auto"/>
        </w:rPr>
        <w:t>SQD Token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380" w:firstLine="1503"/>
        <w:spacing w:after="0" w:line="235" w:lineRule="auto"/>
        <w:tabs>
          <w:tab w:leader="none" w:pos="2425"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SQD Token has been properly classified by the Company and its counsel as other crypto-asset (utility token) and not as a security token, e-money token or financial instrument under Applicable Law (“</w:t>
      </w:r>
      <w:r>
        <w:rPr>
          <w:rFonts w:ascii="Times New Roman" w:cs="Times New Roman" w:eastAsia="Times New Roman" w:hAnsi="Times New Roman"/>
          <w:sz w:val="22"/>
          <w:szCs w:val="22"/>
          <w:b w:val="1"/>
          <w:bCs w:val="1"/>
          <w:color w:val="auto"/>
        </w:rPr>
        <w:t>Classification</w:t>
      </w:r>
      <w:r>
        <w:rPr>
          <w:rFonts w:ascii="Times New Roman" w:cs="Times New Roman" w:eastAsia="Times New Roman" w:hAnsi="Times New Roman"/>
          <w:sz w:val="22"/>
          <w:szCs w:val="22"/>
          <w:color w:val="auto"/>
        </w:rPr>
        <w:t>”). This Classification accurately reflects the actual circumstances and the functions, characteristics, and use-cases of the tokens correspond to the factual circumstances underlying the Classification. Furthermore, since the Classification, no amendments, modifications, or other changes have been made to the functions, characteristics, or use-cases of the tokens that would adversely affect or alter the validity of such legal qualification.</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42" w:lineRule="exact"/>
        <w:rPr>
          <w:rFonts w:ascii="Times New Roman" w:cs="Times New Roman" w:eastAsia="Times New Roman" w:hAnsi="Times New Roman"/>
          <w:sz w:val="22"/>
          <w:szCs w:val="22"/>
          <w:b w:val="1"/>
          <w:bCs w:val="1"/>
          <w:color w:val="auto"/>
        </w:rPr>
      </w:pPr>
    </w:p>
    <w:p>
      <w:pPr>
        <w:ind w:left="380" w:firstLine="1503"/>
        <w:spacing w:after="0" w:line="258" w:lineRule="auto"/>
        <w:tabs>
          <w:tab w:leader="none" w:pos="2425"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As at Closing, the Company holds at least 160,000,000 SQD Tokens in the Company Wallets which are not Encumbered.</w:t>
      </w:r>
    </w:p>
    <w:p>
      <w:pPr>
        <w:spacing w:after="0" w:line="158" w:lineRule="exact"/>
        <w:rPr>
          <w:rFonts w:ascii="Times New Roman" w:cs="Times New Roman" w:eastAsia="Times New Roman" w:hAnsi="Times New Roman"/>
          <w:sz w:val="22"/>
          <w:szCs w:val="22"/>
          <w:b w:val="1"/>
          <w:bCs w:val="1"/>
          <w:color w:val="auto"/>
        </w:rPr>
      </w:pPr>
    </w:p>
    <w:p>
      <w:pPr>
        <w:ind w:left="2640" w:hanging="757"/>
        <w:spacing w:after="0"/>
        <w:tabs>
          <w:tab w:leader="none" w:pos="2640"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token supply information as Disclosed is accurate in all respects.</w:t>
      </w:r>
    </w:p>
    <w:p>
      <w:pPr>
        <w:spacing w:after="0" w:line="206" w:lineRule="exact"/>
        <w:rPr>
          <w:rFonts w:ascii="Times New Roman" w:cs="Times New Roman" w:eastAsia="Times New Roman" w:hAnsi="Times New Roman"/>
          <w:sz w:val="22"/>
          <w:szCs w:val="22"/>
          <w:b w:val="1"/>
          <w:bCs w:val="1"/>
          <w:color w:val="auto"/>
        </w:rPr>
      </w:pPr>
    </w:p>
    <w:p>
      <w:pPr>
        <w:jc w:val="both"/>
        <w:ind w:left="380" w:right="20" w:firstLine="1503"/>
        <w:spacing w:after="0" w:line="244" w:lineRule="auto"/>
        <w:tabs>
          <w:tab w:leader="none" w:pos="2424"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governance mechanism for the SQD Tokens has been technically implemented as Disclosed and token holders have technically the stated rights to participate in technical and operational decision-making as Disclosed.</w:t>
      </w:r>
    </w:p>
    <w:p>
      <w:pPr>
        <w:spacing w:after="0" w:line="173" w:lineRule="exact"/>
        <w:rPr>
          <w:rFonts w:ascii="Times New Roman" w:cs="Times New Roman" w:eastAsia="Times New Roman" w:hAnsi="Times New Roman"/>
          <w:sz w:val="22"/>
          <w:szCs w:val="22"/>
          <w:b w:val="1"/>
          <w:bCs w:val="1"/>
          <w:color w:val="auto"/>
        </w:rPr>
      </w:pPr>
    </w:p>
    <w:p>
      <w:pPr>
        <w:ind w:left="380" w:firstLine="1503"/>
        <w:spacing w:after="0" w:line="258" w:lineRule="auto"/>
        <w:tabs>
          <w:tab w:leader="none" w:pos="2425"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material relationships with trading platforms have been Disclosed and there are no undisclosed conflicts of interest.</w:t>
      </w:r>
    </w:p>
    <w:p>
      <w:pPr>
        <w:spacing w:after="0" w:line="158" w:lineRule="exact"/>
        <w:rPr>
          <w:rFonts w:ascii="Times New Roman" w:cs="Times New Roman" w:eastAsia="Times New Roman" w:hAnsi="Times New Roman"/>
          <w:sz w:val="22"/>
          <w:szCs w:val="22"/>
          <w:b w:val="1"/>
          <w:bCs w:val="1"/>
          <w:color w:val="auto"/>
        </w:rPr>
      </w:pPr>
    </w:p>
    <w:p>
      <w:pPr>
        <w:jc w:val="both"/>
        <w:ind w:left="380" w:firstLine="1503"/>
        <w:spacing w:after="0" w:line="244" w:lineRule="auto"/>
        <w:tabs>
          <w:tab w:leader="none" w:pos="2425"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smart contracts have undergone comprehensive third-party security audits, including the ChainSecurity April 2024 review and Pashov Audit Group assessment, and that all material vulnerabilities identified have been addressed.</w:t>
      </w:r>
    </w:p>
    <w:p>
      <w:pPr>
        <w:spacing w:after="0" w:line="173" w:lineRule="exact"/>
        <w:rPr>
          <w:rFonts w:ascii="Times New Roman" w:cs="Times New Roman" w:eastAsia="Times New Roman" w:hAnsi="Times New Roman"/>
          <w:sz w:val="22"/>
          <w:szCs w:val="22"/>
          <w:b w:val="1"/>
          <w:bCs w:val="1"/>
          <w:color w:val="auto"/>
        </w:rPr>
      </w:pPr>
    </w:p>
    <w:p>
      <w:pPr>
        <w:jc w:val="both"/>
        <w:ind w:left="380" w:firstLine="1503"/>
        <w:spacing w:after="0" w:line="261" w:lineRule="auto"/>
        <w:tabs>
          <w:tab w:leader="none" w:pos="2425" w:val="left"/>
        </w:tabs>
        <w:numPr>
          <w:ilvl w:val="0"/>
          <w:numId w:val="1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smart contracts implementing the SQD Token, as outlined in the ChainSecurity audit of April 2024 and the Pashov Audit Group audit are free from material vulnerabilities, bugs, or security flaws that could compromise the functionality or security of the SQD Token.</w:t>
      </w:r>
    </w:p>
    <w:p>
      <w:pPr>
        <w:spacing w:after="0" w:line="157" w:lineRule="exact"/>
        <w:rPr>
          <w:rFonts w:ascii="Times New Roman" w:cs="Times New Roman" w:eastAsia="Times New Roman" w:hAnsi="Times New Roman"/>
          <w:sz w:val="21"/>
          <w:szCs w:val="21"/>
          <w:b w:val="1"/>
          <w:bCs w:val="1"/>
          <w:color w:val="auto"/>
        </w:rPr>
      </w:pPr>
    </w:p>
    <w:p>
      <w:pPr>
        <w:ind w:left="380" w:firstLine="1503"/>
        <w:spacing w:after="0" w:line="258" w:lineRule="auto"/>
        <w:tabs>
          <w:tab w:leader="none" w:pos="2425"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has implemented appropriate cybersecurity measures and has not suffered any material security breaches, hacks, or unauthorised access to its systems.</w:t>
      </w:r>
    </w:p>
    <w:p>
      <w:pPr>
        <w:spacing w:after="0" w:line="50" w:lineRule="exact"/>
        <w:rPr>
          <w:sz w:val="20"/>
          <w:szCs w:val="20"/>
          <w:color w:val="auto"/>
        </w:rPr>
      </w:pPr>
    </w:p>
    <w:p>
      <w:pPr>
        <w:jc w:val="both"/>
        <w:ind w:left="380" w:firstLine="749"/>
        <w:spacing w:after="0" w:line="236" w:lineRule="auto"/>
        <w:rPr>
          <w:sz w:val="20"/>
          <w:szCs w:val="20"/>
          <w:color w:val="auto"/>
        </w:rPr>
      </w:pPr>
      <w:r>
        <w:rPr>
          <w:rFonts w:ascii="Times New Roman" w:cs="Times New Roman" w:eastAsia="Times New Roman" w:hAnsi="Times New Roman"/>
          <w:sz w:val="22"/>
          <w:szCs w:val="22"/>
          <w:color w:val="auto"/>
        </w:rPr>
        <w:t>The Company has not provided any prior (written) consent granting rights of redemption or assignability under any simple agreement for future tokens (SAFT). For clarification, any purchase or repurchase offer of SQD Tokens made by the Company to any SAFT purchasing, whether during the lock-up period or after the full satisfaction or expiration of such SAFT (including delivery of the SQD Tokens), was made at the Company’s sole discretion and shall not be deemed to constitute a consent or right falling under this warranty.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874395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40" w:right="719" w:bottom="1440" w:gutter="0" w:footer="0" w:header="0"/>
        </w:sectPr>
      </w:pPr>
    </w:p>
    <w:bookmarkStart w:id="80" w:name="page81"/>
    <w:bookmarkEnd w:id="80"/>
    <w:p>
      <w:pPr>
        <w:spacing w:after="0" w:line="181" w:lineRule="exact"/>
        <w:rPr>
          <w:sz w:val="20"/>
          <w:szCs w:val="20"/>
          <w:color w:val="auto"/>
        </w:rPr>
      </w:pPr>
    </w:p>
    <w:p>
      <w:pPr>
        <w:ind w:left="1140"/>
        <w:spacing w:after="0"/>
        <w:tabs>
          <w:tab w:leader="none" w:pos="1860" w:val="left"/>
        </w:tabs>
        <w:rPr>
          <w:sz w:val="20"/>
          <w:szCs w:val="20"/>
          <w:color w:val="auto"/>
        </w:rPr>
      </w:pPr>
      <w:r>
        <w:rPr>
          <w:rFonts w:ascii="Times New Roman" w:cs="Times New Roman" w:eastAsia="Times New Roman" w:hAnsi="Times New Roman"/>
          <w:sz w:val="22"/>
          <w:szCs w:val="22"/>
          <w:b w:val="1"/>
          <w:bCs w:val="1"/>
          <w:color w:val="auto"/>
        </w:rPr>
        <w:t>6.20</w:t>
      </w:r>
      <w:r>
        <w:rPr>
          <w:sz w:val="20"/>
          <w:szCs w:val="20"/>
          <w:color w:val="auto"/>
        </w:rPr>
        <w:tab/>
      </w:r>
      <w:r>
        <w:rPr>
          <w:rFonts w:ascii="Times New Roman" w:cs="Times New Roman" w:eastAsia="Times New Roman" w:hAnsi="Times New Roman"/>
          <w:sz w:val="21"/>
          <w:szCs w:val="21"/>
          <w:b w:val="1"/>
          <w:bCs w:val="1"/>
          <w:color w:val="auto"/>
        </w:rPr>
        <w:t>Subsquid Network</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380" w:firstLine="1503"/>
        <w:spacing w:after="0" w:line="244" w:lineRule="auto"/>
        <w:tabs>
          <w:tab w:leader="none" w:pos="2425"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Subsquid Network operates as described in the SQD White Paper and that the SQD Token provides the stated technical utility functions for network participation and governance. The SQD White Paper contains all material information relevant to the operation and</w:t>
      </w:r>
    </w:p>
    <w:p>
      <w:pPr>
        <w:spacing w:after="0" w:line="349" w:lineRule="exact"/>
        <w:rPr>
          <w:sz w:val="20"/>
          <w:szCs w:val="20"/>
          <w:color w:val="auto"/>
        </w:rPr>
      </w:pPr>
    </w:p>
    <w:p>
      <w:pPr>
        <w:ind w:left="380" w:right="140"/>
        <w:spacing w:after="0" w:line="258" w:lineRule="auto"/>
        <w:rPr>
          <w:sz w:val="20"/>
          <w:szCs w:val="20"/>
          <w:color w:val="auto"/>
        </w:rPr>
      </w:pPr>
      <w:r>
        <w:rPr>
          <w:rFonts w:ascii="Times New Roman" w:cs="Times New Roman" w:eastAsia="Times New Roman" w:hAnsi="Times New Roman"/>
          <w:sz w:val="22"/>
          <w:szCs w:val="22"/>
          <w:color w:val="auto"/>
        </w:rPr>
        <w:t>governance of the SQD Tokens and the Subsquid Network, and there are no material omissions that would affect the import of the contents of such SQD White Paper.</w:t>
      </w:r>
    </w:p>
    <w:p>
      <w:pPr>
        <w:spacing w:after="0" w:line="158" w:lineRule="exact"/>
        <w:rPr>
          <w:sz w:val="20"/>
          <w:szCs w:val="20"/>
          <w:color w:val="auto"/>
        </w:rPr>
      </w:pPr>
    </w:p>
    <w:p>
      <w:pPr>
        <w:ind w:left="380" w:firstLine="1503"/>
        <w:spacing w:after="0" w:line="258" w:lineRule="auto"/>
        <w:tabs>
          <w:tab w:leader="none" w:pos="2425"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There have been no material adverse changes to the business, financial condition, or prospects of the Company since the SQD White Paper notification date.</w:t>
      </w:r>
    </w:p>
    <w:p>
      <w:pPr>
        <w:spacing w:after="0" w:line="158" w:lineRule="exact"/>
        <w:rPr>
          <w:rFonts w:ascii="Times New Roman" w:cs="Times New Roman" w:eastAsia="Times New Roman" w:hAnsi="Times New Roman"/>
          <w:sz w:val="22"/>
          <w:szCs w:val="22"/>
          <w:b w:val="1"/>
          <w:bCs w:val="1"/>
          <w:color w:val="auto"/>
        </w:rPr>
      </w:pPr>
    </w:p>
    <w:p>
      <w:pPr>
        <w:jc w:val="both"/>
        <w:ind w:left="380" w:firstLine="1503"/>
        <w:spacing w:after="0" w:line="244" w:lineRule="auto"/>
        <w:tabs>
          <w:tab w:leader="none" w:pos="2425"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material partnerships and third-party service providers necessary for the Subsquid Network's operation remain in good standing and that there are no material disputes or termination risks.</w:t>
      </w:r>
    </w:p>
    <w:p>
      <w:pPr>
        <w:spacing w:after="0" w:line="173" w:lineRule="exact"/>
        <w:rPr>
          <w:rFonts w:ascii="Times New Roman" w:cs="Times New Roman" w:eastAsia="Times New Roman" w:hAnsi="Times New Roman"/>
          <w:sz w:val="22"/>
          <w:szCs w:val="22"/>
          <w:b w:val="1"/>
          <w:bCs w:val="1"/>
          <w:color w:val="auto"/>
        </w:rPr>
      </w:pPr>
    </w:p>
    <w:p>
      <w:pPr>
        <w:ind w:left="380" w:firstLine="1503"/>
        <w:spacing w:after="0" w:line="258" w:lineRule="auto"/>
        <w:tabs>
          <w:tab w:leader="none" w:pos="2425"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development milestones and objectives Tech and Product Roadmap (including as to timeframe) are achievable and that there are no material obstacles to their implementation.</w:t>
      </w:r>
    </w:p>
    <w:p>
      <w:pPr>
        <w:spacing w:after="0" w:line="158" w:lineRule="exact"/>
        <w:rPr>
          <w:rFonts w:ascii="Times New Roman" w:cs="Times New Roman" w:eastAsia="Times New Roman" w:hAnsi="Times New Roman"/>
          <w:sz w:val="22"/>
          <w:szCs w:val="22"/>
          <w:b w:val="1"/>
          <w:bCs w:val="1"/>
          <w:color w:val="auto"/>
        </w:rPr>
      </w:pPr>
    </w:p>
    <w:p>
      <w:pPr>
        <w:ind w:left="380" w:firstLine="1503"/>
        <w:spacing w:after="0" w:line="258" w:lineRule="auto"/>
        <w:tabs>
          <w:tab w:leader="none" w:pos="2425"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does not operate or control the Subsquid Network and has properly communicated the implications of this to stakeholders.</w:t>
      </w:r>
    </w:p>
    <w:p>
      <w:pPr>
        <w:spacing w:after="0" w:line="154" w:lineRule="exact"/>
        <w:rPr>
          <w:sz w:val="20"/>
          <w:szCs w:val="20"/>
          <w:color w:val="auto"/>
        </w:rPr>
      </w:pPr>
    </w:p>
    <w:p>
      <w:pPr>
        <w:jc w:val="both"/>
        <w:ind w:left="380"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6.21Employees and Directors</w:t>
      </w:r>
      <w:r>
        <w:rPr>
          <w:rFonts w:ascii="Times New Roman" w:cs="Times New Roman" w:eastAsia="Times New Roman" w:hAnsi="Times New Roman"/>
          <w:sz w:val="22"/>
          <w:szCs w:val="22"/>
          <w:color w:val="auto"/>
        </w:rPr>
        <w:t>. The Seller has provided to the Buyer a list of all employees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of the Company, along with such employees’ and directors’ names, job titles, compensation, in each case up to and through the dates of the Balance Sheet. No employee or director of the Company is a party to, or is otherwise bound by, any agreement or arrangement, including any confidentiality, noncompetition, or proprietary rights agreement, between such employee or director and any other Person that in any way adversely affects or will affect: (i) the performance of his or her duties as an employee or director of the Company, or (ii) the ability of the Company to conduct its business, including any agreement with the Seller or the Company by any such employee or director.</w:t>
      </w:r>
    </w:p>
    <w:p>
      <w:pPr>
        <w:spacing w:after="0" w:line="178" w:lineRule="exact"/>
        <w:rPr>
          <w:sz w:val="20"/>
          <w:szCs w:val="20"/>
          <w:color w:val="auto"/>
        </w:rPr>
      </w:pPr>
    </w:p>
    <w:p>
      <w:pPr>
        <w:jc w:val="both"/>
        <w:ind w:left="38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6.22Labor Relations; Compliance</w:t>
      </w:r>
      <w:r>
        <w:rPr>
          <w:rFonts w:ascii="Times New Roman" w:cs="Times New Roman" w:eastAsia="Times New Roman" w:hAnsi="Times New Roman"/>
          <w:sz w:val="22"/>
          <w:szCs w:val="22"/>
          <w:color w:val="auto"/>
        </w:rPr>
        <w:t>. The Company has not any labor- or employment- related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disputes, either existing, disputed, contingent or otherwise. All employment-related liabilities up to the date of the Balance Sheet are accurate.</w:t>
      </w:r>
    </w:p>
    <w:p>
      <w:pPr>
        <w:spacing w:after="0" w:line="167" w:lineRule="exact"/>
        <w:rPr>
          <w:sz w:val="20"/>
          <w:szCs w:val="20"/>
          <w:color w:val="auto"/>
        </w:rPr>
      </w:pPr>
    </w:p>
    <w:p>
      <w:pPr>
        <w:ind w:left="1140"/>
        <w:spacing w:after="0"/>
        <w:tabs>
          <w:tab w:leader="none" w:pos="1860" w:val="left"/>
        </w:tabs>
        <w:rPr>
          <w:sz w:val="20"/>
          <w:szCs w:val="20"/>
          <w:color w:val="auto"/>
        </w:rPr>
      </w:pPr>
      <w:r>
        <w:rPr>
          <w:rFonts w:ascii="Times New Roman" w:cs="Times New Roman" w:eastAsia="Times New Roman" w:hAnsi="Times New Roman"/>
          <w:sz w:val="22"/>
          <w:szCs w:val="22"/>
          <w:b w:val="1"/>
          <w:bCs w:val="1"/>
          <w:color w:val="auto"/>
        </w:rPr>
        <w:t>6.23</w:t>
      </w:r>
      <w:r>
        <w:rPr>
          <w:sz w:val="20"/>
          <w:szCs w:val="20"/>
          <w:color w:val="auto"/>
        </w:rPr>
        <w:tab/>
      </w:r>
      <w:r>
        <w:rPr>
          <w:rFonts w:ascii="Times New Roman" w:cs="Times New Roman" w:eastAsia="Times New Roman" w:hAnsi="Times New Roman"/>
          <w:sz w:val="21"/>
          <w:szCs w:val="21"/>
          <w:b w:val="1"/>
          <w:bCs w:val="1"/>
          <w:color w:val="auto"/>
        </w:rPr>
        <w:t>Intellectual Property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640" w:hanging="757"/>
        <w:spacing w:after="0"/>
        <w:tabs>
          <w:tab w:leader="none" w:pos="264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Intellectual Property Assets </w:t>
      </w:r>
      <w:r>
        <w:rPr>
          <w:rFonts w:ascii="Times New Roman" w:cs="Times New Roman" w:eastAsia="Times New Roman" w:hAnsi="Times New Roman"/>
          <w:sz w:val="22"/>
          <w:szCs w:val="22"/>
          <w:color w:val="auto"/>
        </w:rPr>
        <w:t>-- The term “Intellectual Property Assets”</w:t>
      </w:r>
    </w:p>
    <w:p>
      <w:pPr>
        <w:spacing w:after="0" w:line="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includes:</w:t>
      </w:r>
    </w:p>
    <w:p>
      <w:pPr>
        <w:spacing w:after="0" w:line="182" w:lineRule="exact"/>
        <w:rPr>
          <w:sz w:val="20"/>
          <w:szCs w:val="20"/>
          <w:color w:val="auto"/>
        </w:rPr>
      </w:pPr>
    </w:p>
    <w:p>
      <w:pPr>
        <w:ind w:left="3940" w:hanging="754"/>
        <w:spacing w:after="0"/>
        <w:tabs>
          <w:tab w:leader="none" w:pos="3940"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patents, patent applications, and inventions and discoveries</w:t>
      </w:r>
    </w:p>
    <w:p>
      <w:pPr>
        <w:spacing w:after="0" w:line="14" w:lineRule="exact"/>
        <w:rPr>
          <w:rFonts w:ascii="Times New Roman" w:cs="Times New Roman" w:eastAsia="Times New Roman" w:hAnsi="Times New Roman"/>
          <w:sz w:val="22"/>
          <w:szCs w:val="22"/>
          <w:b w:val="1"/>
          <w:bCs w:val="1"/>
          <w:color w:val="auto"/>
        </w:rPr>
      </w:pPr>
    </w:p>
    <w:p>
      <w:pPr>
        <w:ind w:left="12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held by the Company that may be patentable (collectively, “</w:t>
      </w:r>
      <w:r>
        <w:rPr>
          <w:rFonts w:ascii="Times New Roman" w:cs="Times New Roman" w:eastAsia="Times New Roman" w:hAnsi="Times New Roman"/>
          <w:sz w:val="22"/>
          <w:szCs w:val="22"/>
          <w:b w:val="1"/>
          <w:bCs w:val="1"/>
          <w:i w:val="1"/>
          <w:iCs w:val="1"/>
          <w:color w:val="auto"/>
        </w:rPr>
        <w:t>Patents</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b w:val="1"/>
          <w:bCs w:val="1"/>
          <w:color w:val="auto"/>
        </w:rPr>
      </w:pPr>
    </w:p>
    <w:p>
      <w:pPr>
        <w:ind w:left="940" w:firstLine="2246"/>
        <w:spacing w:after="0" w:line="258" w:lineRule="auto"/>
        <w:tabs>
          <w:tab w:leader="none" w:pos="3459"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copyrights in both published works and unpublished works (collectively, “</w:t>
      </w:r>
      <w:r>
        <w:rPr>
          <w:rFonts w:ascii="Times New Roman" w:cs="Times New Roman" w:eastAsia="Times New Roman" w:hAnsi="Times New Roman"/>
          <w:sz w:val="22"/>
          <w:szCs w:val="22"/>
          <w:b w:val="1"/>
          <w:bCs w:val="1"/>
          <w:i w:val="1"/>
          <w:iCs w:val="1"/>
          <w:color w:val="auto"/>
        </w:rPr>
        <w:t>Copyrights</w:t>
      </w:r>
      <w:r>
        <w:rPr>
          <w:rFonts w:ascii="Times New Roman" w:cs="Times New Roman" w:eastAsia="Times New Roman" w:hAnsi="Times New Roman"/>
          <w:sz w:val="22"/>
          <w:szCs w:val="22"/>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859790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40" w:right="719" w:bottom="1440" w:gutter="0" w:footer="0" w:header="0"/>
        </w:sectPr>
      </w:pPr>
    </w:p>
    <w:bookmarkStart w:id="81" w:name="page82"/>
    <w:bookmarkEnd w:id="81"/>
    <w:p>
      <w:pPr>
        <w:spacing w:after="0" w:line="181" w:lineRule="exact"/>
        <w:rPr>
          <w:sz w:val="20"/>
          <w:szCs w:val="20"/>
          <w:color w:val="auto"/>
        </w:rPr>
      </w:pPr>
    </w:p>
    <w:p>
      <w:pPr>
        <w:jc w:val="both"/>
        <w:ind w:left="940" w:firstLine="2246"/>
        <w:spacing w:after="0" w:line="246"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all know-how, trade secrets, confidential information, customer lists,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software, technical information, data, process technology, plans, drawings, and blue prints (collectively, “</w:t>
      </w:r>
      <w:r>
        <w:rPr>
          <w:rFonts w:ascii="Times New Roman" w:cs="Times New Roman" w:eastAsia="Times New Roman" w:hAnsi="Times New Roman"/>
          <w:sz w:val="22"/>
          <w:szCs w:val="22"/>
          <w:b w:val="1"/>
          <w:bCs w:val="1"/>
          <w:i w:val="1"/>
          <w:iCs w:val="1"/>
          <w:color w:val="auto"/>
        </w:rPr>
        <w:t>Trade Secrets</w:t>
      </w:r>
      <w:r>
        <w:rPr>
          <w:rFonts w:ascii="Times New Roman" w:cs="Times New Roman" w:eastAsia="Times New Roman" w:hAnsi="Times New Roman"/>
          <w:sz w:val="22"/>
          <w:szCs w:val="22"/>
          <w:color w:val="auto"/>
        </w:rPr>
        <w:t>”); owned, used, or licensed by the Company as licensee or licensor.</w:t>
      </w:r>
    </w:p>
    <w:p>
      <w:pPr>
        <w:spacing w:after="0" w:line="343" w:lineRule="exact"/>
        <w:rPr>
          <w:sz w:val="20"/>
          <w:szCs w:val="20"/>
          <w:color w:val="auto"/>
        </w:rPr>
      </w:pPr>
    </w:p>
    <w:p>
      <w:pPr>
        <w:jc w:val="both"/>
        <w:ind w:left="380" w:firstLine="1503"/>
        <w:spacing w:after="0" w:line="236" w:lineRule="auto"/>
        <w:tabs>
          <w:tab w:leader="none" w:pos="2425"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Agreements </w:t>
      </w:r>
      <w:r>
        <w:rPr>
          <w:rFonts w:ascii="Times New Roman" w:cs="Times New Roman" w:eastAsia="Times New Roman" w:hAnsi="Times New Roman"/>
          <w:sz w:val="22"/>
          <w:szCs w:val="22"/>
          <w:color w:val="auto"/>
        </w:rPr>
        <w:t>-- A complete and accurate list and summary description,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royalties paid or received by the Company, of all Contracts relating to the Intellectual Property Assets to which the Company is a party or by which the Company is bound, except for any license implied by the sale of a product and perpetual, paid-up licenses for commonly available software programs with a value of less than US$50,000 under which the Company is the licensee have been Fairly Disclosed. There are no outstanding and, to the Knowledge of the Seller, no threatened disputes or disagreements with respect to any such agreement.</w:t>
      </w:r>
    </w:p>
    <w:p>
      <w:pPr>
        <w:spacing w:after="0" w:line="175" w:lineRule="exact"/>
        <w:rPr>
          <w:rFonts w:ascii="Times New Roman" w:cs="Times New Roman" w:eastAsia="Times New Roman" w:hAnsi="Times New Roman"/>
          <w:sz w:val="22"/>
          <w:szCs w:val="22"/>
          <w:b w:val="1"/>
          <w:bCs w:val="1"/>
          <w:color w:val="auto"/>
        </w:rPr>
      </w:pPr>
    </w:p>
    <w:p>
      <w:pPr>
        <w:ind w:left="2640" w:hanging="757"/>
        <w:spacing w:after="0"/>
        <w:tabs>
          <w:tab w:leader="none" w:pos="2640"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Know-How Necessary for the Business.</w:t>
      </w:r>
    </w:p>
    <w:p>
      <w:pPr>
        <w:spacing w:after="0" w:line="210" w:lineRule="exact"/>
        <w:rPr>
          <w:rFonts w:ascii="Times New Roman" w:cs="Times New Roman" w:eastAsia="Times New Roman" w:hAnsi="Times New Roman"/>
          <w:sz w:val="22"/>
          <w:szCs w:val="22"/>
          <w:b w:val="1"/>
          <w:bCs w:val="1"/>
          <w:color w:val="auto"/>
        </w:rPr>
      </w:pPr>
    </w:p>
    <w:p>
      <w:pPr>
        <w:jc w:val="both"/>
        <w:ind w:left="940" w:firstLine="2246"/>
        <w:spacing w:after="0" w:line="236" w:lineRule="auto"/>
        <w:tabs>
          <w:tab w:leader="none" w:pos="3459" w:val="left"/>
        </w:tabs>
        <w:numPr>
          <w:ilvl w:val="1"/>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Intellectual Property Assets constitute all of the intellectual property necessary for the operation of the Company’s business as it is currently conducted. The Company is the owner of all right, title, and interest in and to each of the Intellectual Property Assets, free and clear of all liens, security interests, charges, encumbrances, equities, and other adverse claims, and has the right to use without payment to a third party all of the Intellectual Property Assets.</w:t>
      </w:r>
    </w:p>
    <w:p>
      <w:pPr>
        <w:spacing w:after="0" w:line="177" w:lineRule="exact"/>
        <w:rPr>
          <w:sz w:val="20"/>
          <w:szCs w:val="20"/>
          <w:color w:val="auto"/>
        </w:rPr>
      </w:pPr>
    </w:p>
    <w:p>
      <w:pPr>
        <w:jc w:val="both"/>
        <w:ind w:left="940" w:firstLine="2246"/>
        <w:spacing w:after="0" w:line="236" w:lineRule="auto"/>
        <w:rPr>
          <w:sz w:val="20"/>
          <w:szCs w:val="20"/>
          <w:color w:val="auto"/>
        </w:rPr>
      </w:pP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Except as Fairly Disclosed, all former and current employees (if any)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have executed written Contracts with the Company, that assigns to the Company all rights to any inventions, improvements, discoveries, or information relating to the business of the Company or grant the Company a perpetual, indefeasible, irrevocable, worldwide, royalty-free license. No employee of the Company has entered into any Contract that restricts or limits in any way the scope or type of work in which the employee may be engaged or requires the employee to transfer, assign, or disclose information concerning his work to anyone other than the Company.</w:t>
      </w:r>
    </w:p>
    <w:p>
      <w:pPr>
        <w:spacing w:after="0" w:line="176" w:lineRule="exact"/>
        <w:rPr>
          <w:sz w:val="20"/>
          <w:szCs w:val="20"/>
          <w:color w:val="auto"/>
        </w:rPr>
      </w:pPr>
    </w:p>
    <w:p>
      <w:pPr>
        <w:ind w:left="2640" w:hanging="757"/>
        <w:spacing w:after="0"/>
        <w:tabs>
          <w:tab w:leader="none" w:pos="2640"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Patents.</w:t>
      </w:r>
    </w:p>
    <w:p>
      <w:pPr>
        <w:spacing w:after="0" w:line="210" w:lineRule="exact"/>
        <w:rPr>
          <w:rFonts w:ascii="Times New Roman" w:cs="Times New Roman" w:eastAsia="Times New Roman" w:hAnsi="Times New Roman"/>
          <w:sz w:val="22"/>
          <w:szCs w:val="22"/>
          <w:b w:val="1"/>
          <w:bCs w:val="1"/>
          <w:color w:val="auto"/>
        </w:rPr>
      </w:pPr>
    </w:p>
    <w:p>
      <w:pPr>
        <w:jc w:val="both"/>
        <w:ind w:left="940" w:firstLine="2246"/>
        <w:spacing w:after="0" w:line="239" w:lineRule="auto"/>
        <w:tabs>
          <w:tab w:leader="none" w:pos="3459" w:val="left"/>
        </w:tabs>
        <w:numPr>
          <w:ilvl w:val="1"/>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complete and accurate list and summary description of all Patents has been Fairly Disclosed. The Company is the owner of all right, title, and interest in and to each of the Patents, free and clear of all liens, security interests, charges, encumbrances, entities, and other adverse claims.</w:t>
      </w:r>
    </w:p>
    <w:p>
      <w:pPr>
        <w:spacing w:after="0" w:line="176" w:lineRule="exact"/>
        <w:rPr>
          <w:sz w:val="20"/>
          <w:szCs w:val="20"/>
          <w:color w:val="auto"/>
        </w:rPr>
      </w:pPr>
    </w:p>
    <w:p>
      <w:pPr>
        <w:jc w:val="both"/>
        <w:ind w:left="940" w:firstLine="2246"/>
        <w:spacing w:after="0" w:line="241" w:lineRule="auto"/>
        <w:rPr>
          <w:sz w:val="20"/>
          <w:szCs w:val="20"/>
          <w:color w:val="auto"/>
        </w:rPr>
      </w:pP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All of the issued Patents are currently in compliance with formal 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requirements (including payment of filing, examination, and maintenance fees and proofs of working or use), are valid and enforceable, and are not subject to any maintenance fees or taxes or actions falling due within ninety days after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870585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40" w:right="719" w:bottom="1440" w:gutter="0" w:footer="0" w:header="0"/>
        </w:sectPr>
      </w:pPr>
    </w:p>
    <w:bookmarkStart w:id="82" w:name="page83"/>
    <w:bookmarkEnd w:id="82"/>
    <w:p>
      <w:pPr>
        <w:spacing w:after="0" w:line="181" w:lineRule="exact"/>
        <w:rPr>
          <w:sz w:val="20"/>
          <w:szCs w:val="20"/>
          <w:color w:val="auto"/>
        </w:rPr>
      </w:pPr>
    </w:p>
    <w:p>
      <w:pPr>
        <w:jc w:val="both"/>
        <w:ind w:left="940" w:firstLine="2246"/>
        <w:spacing w:after="0" w:line="246"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No Patent has been or is now involved in any interference, reissue,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reexamination, or opposition proceeding. To the Knowledge of the Seller, there is no potentially interfering patent or patent application of any third party.</w:t>
      </w:r>
    </w:p>
    <w:p>
      <w:pPr>
        <w:spacing w:after="0" w:line="167" w:lineRule="exact"/>
        <w:rPr>
          <w:sz w:val="20"/>
          <w:szCs w:val="20"/>
          <w:color w:val="auto"/>
        </w:rPr>
      </w:pPr>
    </w:p>
    <w:p>
      <w:pPr>
        <w:jc w:val="both"/>
        <w:ind w:left="940" w:firstLine="2246"/>
        <w:spacing w:after="0" w:line="241" w:lineRule="auto"/>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No Patent is infringed or, to the Knowledge of the Seller, has been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challenged or threatened in any way. None of the products manufactured and sold, nor any process or know-how used, by the Group Companies infringes or is alleged to infringe any patent or other proprietary right of any other Person.</w:t>
      </w:r>
    </w:p>
    <w:p>
      <w:pPr>
        <w:spacing w:after="0" w:line="135" w:lineRule="exact"/>
        <w:rPr>
          <w:sz w:val="20"/>
          <w:szCs w:val="20"/>
          <w:color w:val="auto"/>
        </w:rPr>
      </w:pPr>
    </w:p>
    <w:p>
      <w:pPr>
        <w:ind w:left="940" w:firstLine="2246"/>
        <w:spacing w:after="0" w:line="258" w:lineRule="auto"/>
        <w:tabs>
          <w:tab w:leader="none" w:pos="3459" w:val="left"/>
        </w:tabs>
        <w:numPr>
          <w:ilvl w:val="1"/>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products made, used, or sold under the Patents have been marked with the proper patent notice.</w:t>
      </w:r>
    </w:p>
    <w:p>
      <w:pPr>
        <w:spacing w:after="0" w:line="154" w:lineRule="exact"/>
        <w:rPr>
          <w:rFonts w:ascii="Times New Roman" w:cs="Times New Roman" w:eastAsia="Times New Roman" w:hAnsi="Times New Roman"/>
          <w:sz w:val="22"/>
          <w:szCs w:val="22"/>
          <w:b w:val="1"/>
          <w:bCs w:val="1"/>
          <w:color w:val="auto"/>
        </w:rPr>
      </w:pPr>
    </w:p>
    <w:p>
      <w:pPr>
        <w:ind w:left="2640" w:hanging="757"/>
        <w:spacing w:after="0"/>
        <w:tabs>
          <w:tab w:leader="none" w:pos="2640"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Trademarks.</w:t>
      </w:r>
    </w:p>
    <w:p>
      <w:pPr>
        <w:spacing w:after="0" w:line="210" w:lineRule="exact"/>
        <w:rPr>
          <w:rFonts w:ascii="Times New Roman" w:cs="Times New Roman" w:eastAsia="Times New Roman" w:hAnsi="Times New Roman"/>
          <w:sz w:val="22"/>
          <w:szCs w:val="22"/>
          <w:b w:val="1"/>
          <w:bCs w:val="1"/>
          <w:color w:val="auto"/>
        </w:rPr>
      </w:pPr>
    </w:p>
    <w:p>
      <w:pPr>
        <w:jc w:val="both"/>
        <w:ind w:left="940" w:firstLine="2246"/>
        <w:spacing w:after="0" w:line="239" w:lineRule="auto"/>
        <w:tabs>
          <w:tab w:leader="none" w:pos="3459" w:val="left"/>
        </w:tabs>
        <w:numPr>
          <w:ilvl w:val="1"/>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complete and accurate list and summary description of all Marks has been Fairly Disclosed. The Company is the owner of all right, title, and interest in and to each of the Marks, free and clear of all liens, security interests, charges, encumbrances, equities, and other adverse claims.</w:t>
      </w:r>
    </w:p>
    <w:p>
      <w:pPr>
        <w:spacing w:after="0" w:line="176" w:lineRule="exact"/>
        <w:rPr>
          <w:sz w:val="20"/>
          <w:szCs w:val="20"/>
          <w:color w:val="auto"/>
        </w:rPr>
      </w:pPr>
    </w:p>
    <w:p>
      <w:pPr>
        <w:jc w:val="both"/>
        <w:ind w:left="940" w:firstLine="2246"/>
        <w:spacing w:after="0" w:line="238" w:lineRule="auto"/>
        <w:rPr>
          <w:sz w:val="20"/>
          <w:szCs w:val="20"/>
          <w:color w:val="auto"/>
        </w:rPr>
      </w:pPr>
      <w:r>
        <w:rPr>
          <w:rFonts w:ascii="Times New Roman" w:cs="Times New Roman" w:eastAsia="Times New Roman" w:hAnsi="Times New Roman"/>
          <w:sz w:val="22"/>
          <w:szCs w:val="22"/>
          <w:b w:val="1"/>
          <w:bCs w:val="1"/>
          <w:color w:val="auto"/>
        </w:rPr>
        <w:t>(vi)</w:t>
      </w:r>
      <w:r>
        <w:rPr>
          <w:rFonts w:ascii="Times New Roman" w:cs="Times New Roman" w:eastAsia="Times New Roman" w:hAnsi="Times New Roman"/>
          <w:sz w:val="22"/>
          <w:szCs w:val="22"/>
          <w:color w:val="auto"/>
        </w:rPr>
        <w:t>All Marks that have been registered with the United States Patent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Trademark Office are currently in compliance with all formal legal requirements (including the timely post-registration filing of affidavits of use and incontestability and renewal applications), are valid and enforceable, and are not subject to any maintenance fees or taxes or actions falling due within ninety days after the Closing Date.</w:t>
      </w:r>
    </w:p>
    <w:p>
      <w:pPr>
        <w:spacing w:after="0" w:line="177" w:lineRule="exact"/>
        <w:rPr>
          <w:sz w:val="20"/>
          <w:szCs w:val="20"/>
          <w:color w:val="auto"/>
        </w:rPr>
      </w:pPr>
    </w:p>
    <w:p>
      <w:pPr>
        <w:jc w:val="both"/>
        <w:ind w:left="940" w:firstLine="2246"/>
        <w:spacing w:after="0" w:line="246" w:lineRule="auto"/>
        <w:rPr>
          <w:sz w:val="20"/>
          <w:szCs w:val="20"/>
          <w:color w:val="auto"/>
        </w:rPr>
      </w:pPr>
      <w:r>
        <w:rPr>
          <w:rFonts w:ascii="Times New Roman" w:cs="Times New Roman" w:eastAsia="Times New Roman" w:hAnsi="Times New Roman"/>
          <w:sz w:val="22"/>
          <w:szCs w:val="22"/>
          <w:b w:val="1"/>
          <w:bCs w:val="1"/>
          <w:color w:val="auto"/>
        </w:rPr>
        <w:t>(vii)</w:t>
      </w:r>
      <w:r>
        <w:rPr>
          <w:rFonts w:ascii="Times New Roman" w:cs="Times New Roman" w:eastAsia="Times New Roman" w:hAnsi="Times New Roman"/>
          <w:sz w:val="22"/>
          <w:szCs w:val="22"/>
          <w:color w:val="auto"/>
        </w:rPr>
        <w:t>No Mark has been or is now involved in any opposition, invalidation,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cancellation and, to the Knowledge of the Seller, no such action is threatened with the respect to any of the Marks.</w:t>
      </w:r>
    </w:p>
    <w:p>
      <w:pPr>
        <w:spacing w:after="0" w:line="167" w:lineRule="exact"/>
        <w:rPr>
          <w:sz w:val="20"/>
          <w:szCs w:val="20"/>
          <w:color w:val="auto"/>
        </w:rPr>
      </w:pPr>
    </w:p>
    <w:p>
      <w:pPr>
        <w:jc w:val="both"/>
        <w:ind w:left="940" w:firstLine="2246"/>
        <w:spacing w:after="0" w:line="262" w:lineRule="auto"/>
        <w:rPr>
          <w:sz w:val="20"/>
          <w:szCs w:val="20"/>
          <w:color w:val="auto"/>
        </w:rPr>
      </w:pPr>
      <w:r>
        <w:rPr>
          <w:rFonts w:ascii="Times New Roman" w:cs="Times New Roman" w:eastAsia="Times New Roman" w:hAnsi="Times New Roman"/>
          <w:sz w:val="22"/>
          <w:szCs w:val="22"/>
          <w:b w:val="1"/>
          <w:bCs w:val="1"/>
          <w:color w:val="auto"/>
        </w:rPr>
        <w:t>(viii)</w:t>
      </w:r>
      <w:r>
        <w:rPr>
          <w:rFonts w:ascii="Times New Roman" w:cs="Times New Roman" w:eastAsia="Times New Roman" w:hAnsi="Times New Roman"/>
          <w:sz w:val="22"/>
          <w:szCs w:val="22"/>
          <w:color w:val="auto"/>
        </w:rPr>
        <w:t>To the Knowledge of the Seller, there is no potentially interfering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trademark or trademark application of any third party.</w:t>
      </w:r>
    </w:p>
    <w:p>
      <w:pPr>
        <w:spacing w:after="0" w:line="150" w:lineRule="exact"/>
        <w:rPr>
          <w:sz w:val="20"/>
          <w:szCs w:val="20"/>
          <w:color w:val="auto"/>
        </w:rPr>
      </w:pPr>
    </w:p>
    <w:p>
      <w:pPr>
        <w:jc w:val="both"/>
        <w:ind w:left="940" w:firstLine="2246"/>
        <w:spacing w:after="0" w:line="246" w:lineRule="auto"/>
        <w:rPr>
          <w:sz w:val="20"/>
          <w:szCs w:val="20"/>
          <w:color w:val="auto"/>
        </w:rPr>
      </w:pPr>
      <w:r>
        <w:rPr>
          <w:rFonts w:ascii="Times New Roman" w:cs="Times New Roman" w:eastAsia="Times New Roman" w:hAnsi="Times New Roman"/>
          <w:sz w:val="22"/>
          <w:szCs w:val="22"/>
          <w:b w:val="1"/>
          <w:bCs w:val="1"/>
          <w:color w:val="auto"/>
        </w:rPr>
        <w:t>(ix)</w:t>
      </w:r>
      <w:r>
        <w:rPr>
          <w:rFonts w:ascii="Times New Roman" w:cs="Times New Roman" w:eastAsia="Times New Roman" w:hAnsi="Times New Roman"/>
          <w:sz w:val="22"/>
          <w:szCs w:val="22"/>
          <w:color w:val="auto"/>
        </w:rPr>
        <w:t>No Mark is infringed or, to the Knowledge of the Seller, has been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challenged or threatened in any way. None of the Marks used by the Company infringes or is alleged to infringe any trade name, trademark, or service mark of any third party.</w:t>
      </w:r>
    </w:p>
    <w:p>
      <w:pPr>
        <w:spacing w:after="0" w:line="171" w:lineRule="exact"/>
        <w:rPr>
          <w:sz w:val="20"/>
          <w:szCs w:val="20"/>
          <w:color w:val="auto"/>
        </w:rPr>
      </w:pPr>
    </w:p>
    <w:p>
      <w:pPr>
        <w:ind w:left="940" w:firstLine="2246"/>
        <w:spacing w:after="0" w:line="258" w:lineRule="auto"/>
        <w:tabs>
          <w:tab w:leader="none" w:pos="3459" w:val="left"/>
        </w:tabs>
        <w:numPr>
          <w:ilvl w:val="1"/>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products and materials containing a Mark bear the proper federal registration notice where permitted by law.</w:t>
      </w:r>
    </w:p>
    <w:p>
      <w:pPr>
        <w:spacing w:after="0" w:line="154" w:lineRule="exact"/>
        <w:rPr>
          <w:rFonts w:ascii="Times New Roman" w:cs="Times New Roman" w:eastAsia="Times New Roman" w:hAnsi="Times New Roman"/>
          <w:sz w:val="22"/>
          <w:szCs w:val="22"/>
          <w:b w:val="1"/>
          <w:bCs w:val="1"/>
          <w:color w:val="auto"/>
        </w:rPr>
      </w:pPr>
    </w:p>
    <w:p>
      <w:pPr>
        <w:ind w:left="2640" w:hanging="757"/>
        <w:spacing w:after="0"/>
        <w:tabs>
          <w:tab w:leader="none" w:pos="2640"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Copyrights.</w:t>
      </w:r>
    </w:p>
    <w:p>
      <w:pPr>
        <w:spacing w:after="0" w:line="210" w:lineRule="exact"/>
        <w:rPr>
          <w:rFonts w:ascii="Times New Roman" w:cs="Times New Roman" w:eastAsia="Times New Roman" w:hAnsi="Times New Roman"/>
          <w:sz w:val="22"/>
          <w:szCs w:val="22"/>
          <w:b w:val="1"/>
          <w:bCs w:val="1"/>
          <w:color w:val="auto"/>
        </w:rPr>
      </w:pPr>
    </w:p>
    <w:p>
      <w:pPr>
        <w:jc w:val="both"/>
        <w:ind w:left="940" w:firstLine="2246"/>
        <w:spacing w:after="0" w:line="239" w:lineRule="auto"/>
        <w:tabs>
          <w:tab w:leader="none" w:pos="3459" w:val="left"/>
        </w:tabs>
        <w:numPr>
          <w:ilvl w:val="1"/>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complete and accurate list and summary description of all Copyrights has been Fairly Disclosed. The Company is the owner of all right, title, and interest in and to each of the Copyrights, free and clear of all liens, security interests, charges, encumbrances, equities, and other adverse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873760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40" w:right="719" w:bottom="1440" w:gutter="0" w:footer="0" w:header="0"/>
        </w:sectPr>
      </w:pPr>
    </w:p>
    <w:bookmarkStart w:id="83" w:name="page84"/>
    <w:bookmarkEnd w:id="83"/>
    <w:p>
      <w:pPr>
        <w:spacing w:after="0" w:line="181" w:lineRule="exact"/>
        <w:rPr>
          <w:sz w:val="20"/>
          <w:szCs w:val="20"/>
          <w:color w:val="auto"/>
        </w:rPr>
      </w:pPr>
    </w:p>
    <w:p>
      <w:pPr>
        <w:jc w:val="both"/>
        <w:ind w:left="940" w:firstLine="2246"/>
        <w:spacing w:after="0" w:line="241" w:lineRule="auto"/>
        <w:rPr>
          <w:sz w:val="20"/>
          <w:szCs w:val="20"/>
          <w:color w:val="auto"/>
        </w:rPr>
      </w:pPr>
      <w:r>
        <w:rPr>
          <w:rFonts w:ascii="Times New Roman" w:cs="Times New Roman" w:eastAsia="Times New Roman" w:hAnsi="Times New Roman"/>
          <w:sz w:val="22"/>
          <w:szCs w:val="22"/>
          <w:b w:val="1"/>
          <w:bCs w:val="1"/>
          <w:color w:val="auto"/>
        </w:rPr>
        <w:t>(vi)</w:t>
      </w:r>
      <w:r>
        <w:rPr>
          <w:rFonts w:ascii="Times New Roman" w:cs="Times New Roman" w:eastAsia="Times New Roman" w:hAnsi="Times New Roman"/>
          <w:sz w:val="22"/>
          <w:szCs w:val="22"/>
          <w:color w:val="auto"/>
        </w:rPr>
        <w:t>All the Copyrights have been registered – if registerable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Laws - and are currently in compliance with formal legal requirements, are valid and enforceable, and are not subject to any maintenance fees or taxes or actions falling due within ninety days after the date of Closing.</w:t>
      </w:r>
    </w:p>
    <w:p>
      <w:pPr>
        <w:spacing w:after="0" w:line="172" w:lineRule="exact"/>
        <w:rPr>
          <w:sz w:val="20"/>
          <w:szCs w:val="20"/>
          <w:color w:val="auto"/>
        </w:rPr>
      </w:pPr>
    </w:p>
    <w:p>
      <w:pPr>
        <w:jc w:val="both"/>
        <w:ind w:left="940" w:firstLine="2246"/>
        <w:spacing w:after="0" w:line="241" w:lineRule="auto"/>
        <w:rPr>
          <w:sz w:val="20"/>
          <w:szCs w:val="20"/>
          <w:color w:val="auto"/>
        </w:rPr>
      </w:pPr>
      <w:r>
        <w:rPr>
          <w:rFonts w:ascii="Times New Roman" w:cs="Times New Roman" w:eastAsia="Times New Roman" w:hAnsi="Times New Roman"/>
          <w:sz w:val="22"/>
          <w:szCs w:val="22"/>
          <w:b w:val="1"/>
          <w:bCs w:val="1"/>
          <w:color w:val="auto"/>
        </w:rPr>
        <w:t>(vii)</w:t>
      </w:r>
      <w:r>
        <w:rPr>
          <w:rFonts w:ascii="Times New Roman" w:cs="Times New Roman" w:eastAsia="Times New Roman" w:hAnsi="Times New Roman"/>
          <w:sz w:val="22"/>
          <w:szCs w:val="22"/>
          <w:color w:val="auto"/>
        </w:rPr>
        <w:t>No Copyright is infringed or, to the Knowledge of the Seller, has been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challenged or threatened in any way. None of the subject matter of any of the Copyrights infringes or is alleged to infringe any copyright of any third party or is a derivative work based on the work of a third party.</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(viii)</w:t>
      </w:r>
      <w:r>
        <w:rPr>
          <w:rFonts w:ascii="Times New Roman" w:cs="Times New Roman" w:eastAsia="Times New Roman" w:hAnsi="Times New Roman"/>
          <w:sz w:val="22"/>
          <w:szCs w:val="22"/>
          <w:color w:val="auto"/>
        </w:rPr>
        <w:t>All works encompassed by the Copyrights have been marked with the</w:t>
      </w:r>
    </w:p>
    <w:p>
      <w:pPr>
        <w:spacing w:after="0" w:line="1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proper copyright notice.</w:t>
      </w:r>
    </w:p>
    <w:p>
      <w:pPr>
        <w:spacing w:after="0" w:line="178" w:lineRule="exact"/>
        <w:rPr>
          <w:sz w:val="20"/>
          <w:szCs w:val="20"/>
          <w:color w:val="auto"/>
        </w:rPr>
      </w:pPr>
    </w:p>
    <w:p>
      <w:pPr>
        <w:ind w:left="2640" w:hanging="757"/>
        <w:spacing w:after="0"/>
        <w:tabs>
          <w:tab w:leader="none" w:pos="2640"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Trade Secrets.</w:t>
      </w:r>
    </w:p>
    <w:p>
      <w:pPr>
        <w:spacing w:after="0" w:line="206" w:lineRule="exact"/>
        <w:rPr>
          <w:sz w:val="20"/>
          <w:szCs w:val="20"/>
          <w:color w:val="auto"/>
        </w:rPr>
      </w:pPr>
    </w:p>
    <w:p>
      <w:pPr>
        <w:jc w:val="both"/>
        <w:ind w:left="940" w:firstLine="2246"/>
        <w:spacing w:after="0" w:line="246" w:lineRule="auto"/>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With respect to each Trade Secret, the documentation relating to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Trade Secret is current, accurate, and sufficient in detail and content to identify and explain it and to allow its full and proper use without reliance on the knowledge or memory of any individual.</w:t>
      </w:r>
    </w:p>
    <w:p>
      <w:pPr>
        <w:spacing w:after="0" w:line="171" w:lineRule="exact"/>
        <w:rPr>
          <w:sz w:val="20"/>
          <w:szCs w:val="20"/>
          <w:color w:val="auto"/>
        </w:rPr>
      </w:pPr>
    </w:p>
    <w:p>
      <w:pPr>
        <w:ind w:left="940" w:firstLine="2246"/>
        <w:spacing w:after="0" w:line="258" w:lineRule="auto"/>
        <w:tabs>
          <w:tab w:leader="none" w:pos="3459"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Seller and the Company have taken all reasonable precautions to protect the secrecy, confidentiality, and value of the Companies Trade Secrets.</w:t>
      </w:r>
    </w:p>
    <w:p>
      <w:pPr>
        <w:spacing w:after="0" w:line="154" w:lineRule="exact"/>
        <w:rPr>
          <w:sz w:val="20"/>
          <w:szCs w:val="20"/>
          <w:color w:val="auto"/>
        </w:rPr>
      </w:pPr>
    </w:p>
    <w:p>
      <w:pPr>
        <w:jc w:val="both"/>
        <w:ind w:left="940" w:firstLine="2246"/>
        <w:spacing w:after="0" w:line="238" w:lineRule="auto"/>
        <w:rPr>
          <w:sz w:val="20"/>
          <w:szCs w:val="20"/>
          <w:color w:val="auto"/>
        </w:rPr>
      </w:pPr>
      <w:r>
        <w:rPr>
          <w:rFonts w:ascii="Times New Roman" w:cs="Times New Roman" w:eastAsia="Times New Roman" w:hAnsi="Times New Roman"/>
          <w:sz w:val="22"/>
          <w:szCs w:val="22"/>
          <w:b w:val="1"/>
          <w:bCs w:val="1"/>
          <w:color w:val="auto"/>
        </w:rPr>
        <w:t>(vi)</w:t>
      </w:r>
      <w:r>
        <w:rPr>
          <w:rFonts w:ascii="Times New Roman" w:cs="Times New Roman" w:eastAsia="Times New Roman" w:hAnsi="Times New Roman"/>
          <w:sz w:val="22"/>
          <w:szCs w:val="22"/>
          <w:color w:val="auto"/>
        </w:rPr>
        <w:t>The Company has good title and an absolute (but not necessarily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exclusive) right to use the Trade Secrets. The Trade Secrets are not part of the public knowledge or literature, and, to the Knowledge of the Seller, have not been used, divulged, or appropriated either for the benefit of any Person (other than for the Company) or to the detriment of the Company. No Trade Secret is subject to any adverse claim or has been challenged or threatened in any way.</w:t>
      </w:r>
    </w:p>
    <w:p>
      <w:pPr>
        <w:spacing w:after="0" w:line="177" w:lineRule="exact"/>
        <w:rPr>
          <w:sz w:val="20"/>
          <w:szCs w:val="20"/>
          <w:color w:val="auto"/>
        </w:rPr>
      </w:pPr>
    </w:p>
    <w:p>
      <w:pPr>
        <w:jc w:val="both"/>
        <w:ind w:left="380" w:firstLine="1503"/>
        <w:spacing w:after="0" w:line="246" w:lineRule="auto"/>
        <w:tabs>
          <w:tab w:leader="none" w:pos="2425"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Subsquid Network. </w:t>
      </w:r>
      <w:r>
        <w:rPr>
          <w:rFonts w:ascii="Times New Roman" w:cs="Times New Roman" w:eastAsia="Times New Roman" w:hAnsi="Times New Roman"/>
          <w:sz w:val="22"/>
          <w:szCs w:val="22"/>
          <w:color w:val="auto"/>
        </w:rPr>
        <w:t>The Company owns or has proper licences for all intellectual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property necessary for the operation of, or included in the Subsquid software underlying, the Subsquid Network and related technologies.</w:t>
      </w:r>
    </w:p>
    <w:p>
      <w:pPr>
        <w:spacing w:after="0" w:line="167" w:lineRule="exact"/>
        <w:rPr>
          <w:sz w:val="20"/>
          <w:szCs w:val="20"/>
          <w:color w:val="auto"/>
        </w:rPr>
      </w:pPr>
    </w:p>
    <w:p>
      <w:pPr>
        <w:jc w:val="both"/>
        <w:ind w:left="38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6.24Indebtedness</w:t>
      </w:r>
      <w:r>
        <w:rPr>
          <w:rFonts w:ascii="Times New Roman" w:cs="Times New Roman" w:eastAsia="Times New Roman" w:hAnsi="Times New Roman"/>
          <w:sz w:val="22"/>
          <w:szCs w:val="22"/>
          <w:color w:val="auto"/>
        </w:rPr>
        <w:t>. Except as Fairly Disclosed, the Seller has no outstanding indebtedness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for borrowed money.</w:t>
      </w:r>
    </w:p>
    <w:p>
      <w:pPr>
        <w:spacing w:after="0" w:line="150" w:lineRule="exact"/>
        <w:rPr>
          <w:sz w:val="20"/>
          <w:szCs w:val="20"/>
          <w:color w:val="auto"/>
        </w:rPr>
      </w:pPr>
    </w:p>
    <w:p>
      <w:pPr>
        <w:jc w:val="both"/>
        <w:ind w:left="380"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6.25Certain Payments</w:t>
      </w:r>
      <w:r>
        <w:rPr>
          <w:rFonts w:ascii="Times New Roman" w:cs="Times New Roman" w:eastAsia="Times New Roman" w:hAnsi="Times New Roman"/>
          <w:sz w:val="22"/>
          <w:szCs w:val="22"/>
          <w:color w:val="auto"/>
        </w:rPr>
        <w:t>. Since their respective incorporations, the Company or any director,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 agent, or employee thereof, or to the Knowledge of the Seller any other Person associated with or acting for or on behalf of the Company, has not directly or indirectly (a) made any contribution, gift, bribe, rebate, payoff, influence payment, kickback, or other payment to any Person, private or public, regardless of form, whether in money, property, or services (i) to obtain favorable treatment in securing business, (ii) to pay for favorable treatment for business secured, (iii) to obtain special concessions or for special concessions already obtained, for or in respect of the Company or, or (iv) in violation of any Legal Requirement, or (b) established or maintained any fund or asset that has not been recorded in the books and records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871855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40" w:right="719" w:bottom="1440" w:gutter="0" w:footer="0" w:header="0"/>
        </w:sectPr>
      </w:pPr>
    </w:p>
    <w:bookmarkStart w:id="84" w:name="page85"/>
    <w:bookmarkEnd w:id="84"/>
    <w:p>
      <w:pPr>
        <w:spacing w:after="0" w:line="181" w:lineRule="exact"/>
        <w:rPr>
          <w:sz w:val="20"/>
          <w:szCs w:val="20"/>
          <w:color w:val="auto"/>
        </w:rPr>
      </w:pPr>
    </w:p>
    <w:p>
      <w:pPr>
        <w:jc w:val="both"/>
        <w:ind w:left="38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6.26Disclosure</w:t>
      </w:r>
      <w:r>
        <w:rPr>
          <w:rFonts w:ascii="Times New Roman" w:cs="Times New Roman" w:eastAsia="Times New Roman" w:hAnsi="Times New Roman"/>
          <w:sz w:val="22"/>
          <w:szCs w:val="22"/>
          <w:color w:val="auto"/>
        </w:rPr>
        <w:t>. No representation or warranty of the Seller in this Agreement and no statement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has been Fairly Disclosed omits to state a material fact necessary to make the statements herein or therein, in light of the circumstances in which they were made, not misleading.</w:t>
      </w:r>
    </w:p>
    <w:p>
      <w:pPr>
        <w:spacing w:after="0" w:line="167" w:lineRule="exact"/>
        <w:rPr>
          <w:sz w:val="20"/>
          <w:szCs w:val="20"/>
          <w:color w:val="auto"/>
        </w:rPr>
      </w:pPr>
    </w:p>
    <w:p>
      <w:pPr>
        <w:jc w:val="both"/>
        <w:ind w:left="380"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6.27Relationships With Related Persons</w:t>
      </w:r>
      <w:r>
        <w:rPr>
          <w:rFonts w:ascii="Times New Roman" w:cs="Times New Roman" w:eastAsia="Times New Roman" w:hAnsi="Times New Roman"/>
          <w:sz w:val="22"/>
          <w:szCs w:val="22"/>
          <w:color w:val="auto"/>
        </w:rPr>
        <w:t>. Neither the Seller nor any Related Person of the Seller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nor any Related Person of the Company has, or since incorporation has had, any interest in any property (whether real, personal, or mixed and whether tangible or intangible), used in or pertaining to the Company’s business. Neither the Seller nor any Related Person of the Seller or of the Company is, or since incorporation has owned (of record or as a beneficial owner) an equity interest or any other financial or profit interest in, a Person that has (i) had business dealings or a material financial interest in any transaction with the Company other than business dealings</w:t>
      </w:r>
    </w:p>
    <w:p>
      <w:pPr>
        <w:spacing w:after="0" w:line="355" w:lineRule="exact"/>
        <w:rPr>
          <w:sz w:val="20"/>
          <w:szCs w:val="20"/>
          <w:color w:val="auto"/>
        </w:rPr>
      </w:pPr>
    </w:p>
    <w:p>
      <w:pPr>
        <w:jc w:val="both"/>
        <w:ind w:left="380"/>
        <w:spacing w:after="0" w:line="235" w:lineRule="auto"/>
        <w:rPr>
          <w:sz w:val="20"/>
          <w:szCs w:val="20"/>
          <w:color w:val="auto"/>
        </w:rPr>
      </w:pPr>
      <w:r>
        <w:rPr>
          <w:rFonts w:ascii="Times New Roman" w:cs="Times New Roman" w:eastAsia="Times New Roman" w:hAnsi="Times New Roman"/>
          <w:sz w:val="22"/>
          <w:szCs w:val="22"/>
          <w:color w:val="auto"/>
        </w:rPr>
        <w:t>or transactions conducted in the Ordinary Course of Business with the Company at substantially prevailing market prices and on substantially prevailing market terms, or (ii) engaged in competition with the Company with respect to any line of the products or services of the Company (a “</w:t>
      </w:r>
      <w:r>
        <w:rPr>
          <w:rFonts w:ascii="Times New Roman" w:cs="Times New Roman" w:eastAsia="Times New Roman" w:hAnsi="Times New Roman"/>
          <w:sz w:val="22"/>
          <w:szCs w:val="22"/>
          <w:b w:val="1"/>
          <w:bCs w:val="1"/>
          <w:i w:val="1"/>
          <w:iCs w:val="1"/>
          <w:color w:val="auto"/>
        </w:rPr>
        <w:t>Competing Business</w:t>
      </w:r>
      <w:r>
        <w:rPr>
          <w:rFonts w:ascii="Times New Roman" w:cs="Times New Roman" w:eastAsia="Times New Roman" w:hAnsi="Times New Roman"/>
          <w:sz w:val="22"/>
          <w:szCs w:val="22"/>
          <w:color w:val="auto"/>
        </w:rPr>
        <w:t>”) in any market presently served by the Company except for less than one percent of the outstanding capital stock of any Competing Business that is publicly traded on any recognized exchange or in the over-the-counter market. Except as Fairly Disclosed, neither the Seller nor any Related Person of the Seller nor any Related Person of the Company is party to any Contract with, or has any claim or right against, the Company.</w:t>
      </w:r>
    </w:p>
    <w:p>
      <w:pPr>
        <w:spacing w:after="0" w:line="174" w:lineRule="exact"/>
        <w:rPr>
          <w:sz w:val="20"/>
          <w:szCs w:val="20"/>
          <w:color w:val="auto"/>
        </w:rPr>
      </w:pPr>
    </w:p>
    <w:p>
      <w:pPr>
        <w:jc w:val="both"/>
        <w:ind w:left="38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6.28Brokers or Finders</w:t>
      </w:r>
      <w:r>
        <w:rPr>
          <w:rFonts w:ascii="Times New Roman" w:cs="Times New Roman" w:eastAsia="Times New Roman" w:hAnsi="Times New Roman"/>
          <w:sz w:val="22"/>
          <w:szCs w:val="22"/>
          <w:color w:val="auto"/>
        </w:rPr>
        <w:t>. Neither the Seller nor its respective agents have incurred any obligation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liability, contingent or otherwise, for brokerage or finders’ fees or agents’ commissions or other similar payment in connection with this Agreement.</w:t>
      </w:r>
    </w:p>
    <w:p>
      <w:pPr>
        <w:spacing w:after="0" w:line="167" w:lineRule="exact"/>
        <w:rPr>
          <w:sz w:val="20"/>
          <w:szCs w:val="20"/>
          <w:color w:val="auto"/>
        </w:rPr>
      </w:pPr>
    </w:p>
    <w:p>
      <w:pPr>
        <w:ind w:left="1140" w:hanging="755"/>
        <w:spacing w:after="0"/>
        <w:tabs>
          <w:tab w:leader="none" w:pos="1140"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epresentations</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arranties</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uyer</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The Buyer represents and warrants to the Seller as follows:</w:t>
      </w:r>
    </w:p>
    <w:p>
      <w:pPr>
        <w:spacing w:after="0" w:line="202" w:lineRule="exact"/>
        <w:rPr>
          <w:sz w:val="20"/>
          <w:szCs w:val="20"/>
          <w:color w:val="auto"/>
        </w:rPr>
      </w:pPr>
    </w:p>
    <w:p>
      <w:pPr>
        <w:ind w:left="38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7.28Organization and Good Standing</w:t>
      </w:r>
      <w:r>
        <w:rPr>
          <w:rFonts w:ascii="Times New Roman" w:cs="Times New Roman" w:eastAsia="Times New Roman" w:hAnsi="Times New Roman"/>
          <w:sz w:val="22"/>
          <w:szCs w:val="22"/>
          <w:color w:val="auto"/>
        </w:rPr>
        <w:t>. The Buyer is a company with limited liability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organized, validly existing, and in good standing under the laws of England and Wales.</w:t>
      </w:r>
    </w:p>
    <w:p>
      <w:pPr>
        <w:spacing w:after="0" w:line="150" w:lineRule="exact"/>
        <w:rPr>
          <w:sz w:val="20"/>
          <w:szCs w:val="20"/>
          <w:color w:val="auto"/>
        </w:rPr>
      </w:pPr>
    </w:p>
    <w:p>
      <w:pPr>
        <w:ind w:left="1140"/>
        <w:spacing w:after="0"/>
        <w:tabs>
          <w:tab w:leader="none" w:pos="1860" w:val="left"/>
        </w:tabs>
        <w:rPr>
          <w:sz w:val="20"/>
          <w:szCs w:val="20"/>
          <w:color w:val="auto"/>
        </w:rPr>
      </w:pPr>
      <w:r>
        <w:rPr>
          <w:rFonts w:ascii="Times New Roman" w:cs="Times New Roman" w:eastAsia="Times New Roman" w:hAnsi="Times New Roman"/>
          <w:sz w:val="22"/>
          <w:szCs w:val="22"/>
          <w:b w:val="1"/>
          <w:bCs w:val="1"/>
          <w:color w:val="auto"/>
        </w:rPr>
        <w:t>7.29</w:t>
      </w:r>
      <w:r>
        <w:rPr>
          <w:sz w:val="20"/>
          <w:szCs w:val="20"/>
          <w:color w:val="auto"/>
        </w:rPr>
        <w:tab/>
      </w:r>
      <w:r>
        <w:rPr>
          <w:rFonts w:ascii="Times New Roman" w:cs="Times New Roman" w:eastAsia="Times New Roman" w:hAnsi="Times New Roman"/>
          <w:sz w:val="21"/>
          <w:szCs w:val="21"/>
          <w:b w:val="1"/>
          <w:bCs w:val="1"/>
          <w:color w:val="auto"/>
        </w:rPr>
        <w:t>Authority; No Conflict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380" w:firstLine="1503"/>
        <w:spacing w:after="0" w:line="248" w:lineRule="auto"/>
        <w:tabs>
          <w:tab w:leader="none" w:pos="2425" w:val="left"/>
        </w:tabs>
        <w:numPr>
          <w:ilvl w:val="0"/>
          <w:numId w:val="1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This Agreement constitutes the legal, valid, and binding obligation of the Buyer, enforceable against the Buyer in accordance with its terms. Upon the execution and delivery by the Buyer of all documents to be executed by the Buyer on Closing hereof (collectively, the “</w:t>
      </w:r>
      <w:r>
        <w:rPr>
          <w:rFonts w:ascii="Times New Roman" w:cs="Times New Roman" w:eastAsia="Times New Roman" w:hAnsi="Times New Roman"/>
          <w:sz w:val="21"/>
          <w:szCs w:val="21"/>
          <w:b w:val="1"/>
          <w:bCs w:val="1"/>
          <w:i w:val="1"/>
          <w:iCs w:val="1"/>
          <w:color w:val="auto"/>
        </w:rPr>
        <w:t>Buyer’s Closing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Documents</w:t>
      </w:r>
      <w:r>
        <w:rPr>
          <w:rFonts w:ascii="Times New Roman" w:cs="Times New Roman" w:eastAsia="Times New Roman" w:hAnsi="Times New Roman"/>
          <w:sz w:val="21"/>
          <w:szCs w:val="21"/>
          <w:color w:val="auto"/>
        </w:rPr>
        <w:t>”), the Buyer’s Closing Documents will constitute the legal, valid, and binding obligations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the Buyer, enforceable against the Buyer in accordance with their respective terms. Buyer has the absolute and unrestricted right, power, and authority to execute and deliver this Agreement and the Buyer’s Closing Documents and to perform its obligations under this Agreement and the Buyer’s Closing Documents.</w:t>
      </w:r>
    </w:p>
    <w:p>
      <w:pPr>
        <w:spacing w:after="0" w:line="170" w:lineRule="exact"/>
        <w:rPr>
          <w:rFonts w:ascii="Times New Roman" w:cs="Times New Roman" w:eastAsia="Times New Roman" w:hAnsi="Times New Roman"/>
          <w:sz w:val="21"/>
          <w:szCs w:val="21"/>
          <w:b w:val="1"/>
          <w:bCs w:val="1"/>
          <w:color w:val="auto"/>
        </w:rPr>
      </w:pPr>
    </w:p>
    <w:p>
      <w:pPr>
        <w:jc w:val="both"/>
        <w:ind w:left="380" w:firstLine="1503"/>
        <w:spacing w:after="0" w:line="244" w:lineRule="auto"/>
        <w:tabs>
          <w:tab w:leader="none" w:pos="2425"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Neither the execution and delivery of this Agreement by Buyer nor the consummation or performance of any of the transactions contemplated hereby will result in a breach of the Organizational Documents of the Buyer or of any Legal Requirement or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869315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40" w:right="719" w:bottom="1440" w:gutter="0" w:footer="0" w:header="0"/>
        </w:sectPr>
      </w:pPr>
    </w:p>
    <w:bookmarkStart w:id="85" w:name="page86"/>
    <w:bookmarkEnd w:id="85"/>
    <w:p>
      <w:pPr>
        <w:spacing w:after="0" w:line="185" w:lineRule="exact"/>
        <w:rPr>
          <w:sz w:val="20"/>
          <w:szCs w:val="20"/>
          <w:color w:val="auto"/>
        </w:rPr>
      </w:pPr>
    </w:p>
    <w:p>
      <w:pPr>
        <w:jc w:val="both"/>
        <w:ind w:left="380" w:firstLine="1503"/>
        <w:spacing w:after="0" w:line="239" w:lineRule="auto"/>
        <w:tabs>
          <w:tab w:leader="none" w:pos="2425"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Neither the execution and delivery of this Agreement by the Buyer nor the consummation or performance of any of the transactions contemplated hereby by Buyer will give any Person the right to prevent, delay, or otherwise interfere with any of the transactions contemplated hereby pursuant to:</w:t>
      </w:r>
    </w:p>
    <w:p>
      <w:pPr>
        <w:spacing w:after="0" w:line="180" w:lineRule="exact"/>
        <w:rPr>
          <w:rFonts w:ascii="Times New Roman" w:cs="Times New Roman" w:eastAsia="Times New Roman" w:hAnsi="Times New Roman"/>
          <w:sz w:val="22"/>
          <w:szCs w:val="22"/>
          <w:b w:val="1"/>
          <w:bCs w:val="1"/>
          <w:color w:val="auto"/>
        </w:rPr>
      </w:pPr>
    </w:p>
    <w:p>
      <w:pPr>
        <w:ind w:left="3940" w:hanging="754"/>
        <w:spacing w:after="0"/>
        <w:tabs>
          <w:tab w:leader="none" w:pos="3940" w:val="left"/>
        </w:tabs>
        <w:numPr>
          <w:ilvl w:val="1"/>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provision of Organizational Documents of the Buyer;</w:t>
      </w:r>
    </w:p>
    <w:p>
      <w:pPr>
        <w:spacing w:after="0" w:line="20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any resolution adopted by the board of directors or the stockholders of</w:t>
      </w:r>
    </w:p>
    <w:p>
      <w:pPr>
        <w:spacing w:after="0" w:line="1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Buyer;</w:t>
      </w:r>
    </w:p>
    <w:p>
      <w:pPr>
        <w:spacing w:after="0" w:line="182" w:lineRule="exact"/>
        <w:rPr>
          <w:sz w:val="20"/>
          <w:szCs w:val="20"/>
          <w:color w:val="auto"/>
        </w:rPr>
      </w:pPr>
    </w:p>
    <w:p>
      <w:pPr>
        <w:ind w:left="3940" w:hanging="754"/>
        <w:spacing w:after="0"/>
        <w:tabs>
          <w:tab w:leader="none" w:pos="3940"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Legal Requirement or Order to which the Buyer may be</w:t>
      </w:r>
    </w:p>
    <w:p>
      <w:pPr>
        <w:spacing w:after="0" w:line="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subject; or</w:t>
      </w:r>
    </w:p>
    <w:p>
      <w:pPr>
        <w:spacing w:after="0" w:line="358" w:lineRule="exact"/>
        <w:rPr>
          <w:sz w:val="20"/>
          <w:szCs w:val="20"/>
          <w:color w:val="auto"/>
        </w:rPr>
      </w:pPr>
    </w:p>
    <w:p>
      <w:pPr>
        <w:ind w:left="3940" w:hanging="754"/>
        <w:spacing w:after="0"/>
        <w:tabs>
          <w:tab w:leader="none" w:pos="3940"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contract to which Buyer is a party or by which the Buyer</w:t>
      </w:r>
    </w:p>
    <w:p>
      <w:pPr>
        <w:spacing w:after="0" w:line="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may be bound.</w:t>
      </w:r>
    </w:p>
    <w:p>
      <w:pPr>
        <w:spacing w:after="0" w:line="182" w:lineRule="exact"/>
        <w:rPr>
          <w:sz w:val="20"/>
          <w:szCs w:val="20"/>
          <w:color w:val="auto"/>
        </w:rPr>
      </w:pPr>
    </w:p>
    <w:p>
      <w:pPr>
        <w:jc w:val="both"/>
        <w:ind w:left="380" w:firstLine="749"/>
        <w:spacing w:after="0" w:line="244" w:lineRule="auto"/>
        <w:rPr>
          <w:sz w:val="20"/>
          <w:szCs w:val="20"/>
          <w:color w:val="auto"/>
        </w:rPr>
      </w:pPr>
      <w:r>
        <w:rPr>
          <w:rFonts w:ascii="Times New Roman" w:cs="Times New Roman" w:eastAsia="Times New Roman" w:hAnsi="Times New Roman"/>
          <w:sz w:val="22"/>
          <w:szCs w:val="22"/>
          <w:color w:val="auto"/>
        </w:rPr>
        <w:t>Buyer is not and will not be required to obtain any consent from any Person in connection with the execution and delivery of this Agreement or the consummation or performance of any of the transactions contemplated hereby.</w:t>
      </w:r>
    </w:p>
    <w:p>
      <w:pPr>
        <w:spacing w:after="0" w:line="169" w:lineRule="exact"/>
        <w:rPr>
          <w:sz w:val="20"/>
          <w:szCs w:val="20"/>
          <w:color w:val="auto"/>
        </w:rPr>
      </w:pPr>
    </w:p>
    <w:p>
      <w:pPr>
        <w:jc w:val="both"/>
        <w:ind w:left="38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7.3Investment Intent</w:t>
      </w:r>
      <w:r>
        <w:rPr>
          <w:rFonts w:ascii="Times New Roman" w:cs="Times New Roman" w:eastAsia="Times New Roman" w:hAnsi="Times New Roman"/>
          <w:sz w:val="22"/>
          <w:szCs w:val="22"/>
          <w:color w:val="auto"/>
        </w:rPr>
        <w:t>. Buyer is acquiring the Company Shares for its own account and not with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view to their distribution within the meaning of Section 2(11) of the Securities Act.</w:t>
      </w:r>
    </w:p>
    <w:p>
      <w:pPr>
        <w:spacing w:after="0" w:line="150" w:lineRule="exact"/>
        <w:rPr>
          <w:sz w:val="20"/>
          <w:szCs w:val="20"/>
          <w:color w:val="auto"/>
        </w:rPr>
      </w:pPr>
    </w:p>
    <w:p>
      <w:pPr>
        <w:jc w:val="both"/>
        <w:ind w:left="38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7.4Certain Proceedings</w:t>
      </w:r>
      <w:r>
        <w:rPr>
          <w:rFonts w:ascii="Times New Roman" w:cs="Times New Roman" w:eastAsia="Times New Roman" w:hAnsi="Times New Roman"/>
          <w:sz w:val="22"/>
          <w:szCs w:val="22"/>
          <w:color w:val="auto"/>
        </w:rPr>
        <w:t>. There is no pending Proceeding that has been commenced against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Buyer and that challenges, or may have the effect of preventing, delaying, making illegal, or otherwise interfering with, any of the transactions contemplated hereby. To the Knowledge of the Buyer, no such Proceeding has been threatened against the Buyer.</w:t>
      </w:r>
    </w:p>
    <w:p>
      <w:pPr>
        <w:spacing w:after="0" w:line="172" w:lineRule="exact"/>
        <w:rPr>
          <w:sz w:val="20"/>
          <w:szCs w:val="20"/>
          <w:color w:val="auto"/>
        </w:rPr>
      </w:pPr>
    </w:p>
    <w:p>
      <w:pPr>
        <w:jc w:val="both"/>
        <w:ind w:left="380" w:firstLine="749"/>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7.5MICAR Compliance. </w:t>
      </w:r>
      <w:r>
        <w:rPr>
          <w:rFonts w:ascii="Times New Roman" w:cs="Times New Roman" w:eastAsia="Times New Roman" w:hAnsi="Times New Roman"/>
          <w:sz w:val="21"/>
          <w:szCs w:val="21"/>
          <w:color w:val="auto"/>
        </w:rPr>
        <w:t>In connection with the purchase of any SQD Tokens provided under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or otherwise, the Buyer complies, and has complied, at all times with Article 89 – 92 of the Regulation (EU) 2023/1114 of the European Parliament and of the Council of May 31, 2023, on Markets in Crypto-Assets, as amended, supplemented or replaced from time to time (“</w:t>
      </w:r>
      <w:r>
        <w:rPr>
          <w:rFonts w:ascii="Times New Roman" w:cs="Times New Roman" w:eastAsia="Times New Roman" w:hAnsi="Times New Roman"/>
          <w:sz w:val="21"/>
          <w:szCs w:val="21"/>
          <w:b w:val="1"/>
          <w:bCs w:val="1"/>
          <w:color w:val="auto"/>
        </w:rPr>
        <w:t>MICAR</w:t>
      </w:r>
      <w:r>
        <w:rPr>
          <w:rFonts w:ascii="Times New Roman" w:cs="Times New Roman" w:eastAsia="Times New Roman" w:hAnsi="Times New Roman"/>
          <w:sz w:val="21"/>
          <w:szCs w:val="21"/>
          <w:color w:val="auto"/>
        </w:rPr>
        <w:t>”), and the Buyer:</w:t>
      </w:r>
    </w:p>
    <w:p>
      <w:pPr>
        <w:spacing w:after="0" w:line="158" w:lineRule="exact"/>
        <w:rPr>
          <w:sz w:val="20"/>
          <w:szCs w:val="20"/>
          <w:color w:val="auto"/>
        </w:rPr>
      </w:pPr>
    </w:p>
    <w:p>
      <w:pPr>
        <w:jc w:val="both"/>
        <w:ind w:left="800" w:right="20"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will not engage in insider dealing (Article 89), including possessing inside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and using it to acquire or dispose of crypto-assets (directly or indirectly, for its own account or that of a third party), cancelling or amending orders placed before receipt of inside information, or recommending or inducing another to do any of the foregoing;</w:t>
      </w:r>
    </w:p>
    <w:p>
      <w:pPr>
        <w:spacing w:after="0" w:line="172" w:lineRule="exact"/>
        <w:rPr>
          <w:sz w:val="20"/>
          <w:szCs w:val="20"/>
          <w:color w:val="auto"/>
        </w:rPr>
      </w:pPr>
    </w:p>
    <w:p>
      <w:pPr>
        <w:jc w:val="both"/>
        <w:ind w:left="80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22"/>
          <w:szCs w:val="22"/>
          <w:color w:val="auto"/>
        </w:rPr>
        <w:t>will not unlawfully disclose inside information (Article 90 MICAR), including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onward disclosure of recommendations or inducements based on inside information outside the normal exercise of employment, profession or duties;</w:t>
      </w:r>
    </w:p>
    <w:p>
      <w:pPr>
        <w:spacing w:after="0" w:line="167" w:lineRule="exact"/>
        <w:rPr>
          <w:sz w:val="20"/>
          <w:szCs w:val="20"/>
          <w:color w:val="auto"/>
        </w:rPr>
      </w:pPr>
    </w:p>
    <w:p>
      <w:pPr>
        <w:jc w:val="both"/>
        <w:ind w:left="800"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22"/>
          <w:szCs w:val="22"/>
          <w:color w:val="auto"/>
        </w:rPr>
        <w:t>will not engage in market manipulation (Article 91 MICAR), including,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legitimate reason, entering into transactions or placing orders that give or are likely to give false or misleading signals as to the supply, demand or price of crypto-assets or secure prices at an abnormal or artificial level; employing fictitious devices or other deceptive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870585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40" w:right="719" w:bottom="1440" w:gutter="0" w:footer="0" w:header="0"/>
        </w:sectPr>
      </w:pPr>
    </w:p>
    <w:bookmarkStart w:id="86" w:name="page87"/>
    <w:bookmarkEnd w:id="86"/>
    <w:p>
      <w:pPr>
        <w:spacing w:after="0" w:line="185" w:lineRule="exact"/>
        <w:rPr>
          <w:sz w:val="20"/>
          <w:szCs w:val="20"/>
          <w:color w:val="auto"/>
        </w:rPr>
      </w:pPr>
    </w:p>
    <w:p>
      <w:pPr>
        <w:jc w:val="both"/>
        <w:ind w:left="800"/>
        <w:spacing w:after="0" w:line="238" w:lineRule="auto"/>
        <w:rPr>
          <w:sz w:val="20"/>
          <w:szCs w:val="20"/>
          <w:color w:val="auto"/>
        </w:rPr>
      </w:pPr>
      <w:r>
        <w:rPr>
          <w:rFonts w:ascii="Times New Roman" w:cs="Times New Roman" w:eastAsia="Times New Roman" w:hAnsi="Times New Roman"/>
          <w:sz w:val="22"/>
          <w:szCs w:val="22"/>
          <w:color w:val="auto"/>
        </w:rPr>
        <w:t>contrivances to affect crypto-asset prices; disseminating false or misleading information or rumours; securing a dominant position to fix prices or create unfair trading conditions; placing, cancelling or modifying orders to disrupt or delay trading-platform functioning, obscure genuine orders or create false signals; or leveraging media access to voice opinions without proper and effective disclosure of conflicts of interest; and</w:t>
      </w:r>
    </w:p>
    <w:p>
      <w:pPr>
        <w:spacing w:after="0" w:line="173" w:lineRule="exact"/>
        <w:rPr>
          <w:sz w:val="20"/>
          <w:szCs w:val="20"/>
          <w:color w:val="auto"/>
        </w:rPr>
      </w:pPr>
    </w:p>
    <w:p>
      <w:pPr>
        <w:jc w:val="both"/>
        <w:ind w:left="800" w:firstLine="1497"/>
        <w:spacing w:after="0" w:line="238" w:lineRule="auto"/>
        <w:rPr>
          <w:sz w:val="20"/>
          <w:szCs w:val="20"/>
          <w:color w:val="auto"/>
        </w:rPr>
      </w:pP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22"/>
          <w:szCs w:val="22"/>
          <w:color w:val="auto"/>
        </w:rPr>
        <w:t>if the Buyer qualifies as crypto asset service provider according to Article 9 (16)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MICAR, the Buyer has established and will maintain effective arrangements, systems and procedures to prevent and detect market abuse according to Article 92 MICAR and will report without delay to the relevant competent authority any reasonable suspicion of market abuse, including suspicious orders, transactions or anomalies in distributed-ledger mechanisms.</w:t>
      </w:r>
    </w:p>
    <w:p>
      <w:pPr>
        <w:spacing w:after="0" w:line="379" w:lineRule="exact"/>
        <w:rPr>
          <w:sz w:val="20"/>
          <w:szCs w:val="20"/>
          <w:color w:val="auto"/>
        </w:rPr>
      </w:pPr>
    </w:p>
    <w:p>
      <w:pPr>
        <w:ind w:left="1140" w:hanging="755"/>
        <w:spacing w:after="0"/>
        <w:tabs>
          <w:tab w:leader="none" w:pos="1140"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ovenants</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eller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color w:val="auto"/>
        </w:rPr>
        <w:t>8.1Pre-Closing covenants</w:t>
      </w:r>
      <w:r>
        <w:rPr>
          <w:rFonts w:ascii="Times New Roman" w:cs="Times New Roman" w:eastAsia="Times New Roman" w:hAnsi="Times New Roman"/>
          <w:sz w:val="22"/>
          <w:szCs w:val="22"/>
          <w:color w:val="auto"/>
        </w:rPr>
        <w:t>. Prior to Closing, the Seller shall (and shall procure that the Company</w:t>
      </w:r>
    </w:p>
    <w:p>
      <w:pPr>
        <w:spacing w:after="0" w:line="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shall):</w:t>
      </w:r>
    </w:p>
    <w:p>
      <w:pPr>
        <w:spacing w:after="0" w:line="178" w:lineRule="exact"/>
        <w:rPr>
          <w:sz w:val="20"/>
          <w:szCs w:val="20"/>
          <w:color w:val="auto"/>
        </w:rPr>
      </w:pPr>
    </w:p>
    <w:p>
      <w:pPr>
        <w:jc w:val="both"/>
        <w:ind w:left="80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ensure that the Buyer, its agents, and representatives are given access to the assets,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systems, books and records, auditors, professional advisers, employees, and customers of the Company as the Buyer may reasonably request;</w:t>
      </w:r>
    </w:p>
    <w:p>
      <w:pPr>
        <w:spacing w:after="0" w:line="167" w:lineRule="exact"/>
        <w:rPr>
          <w:sz w:val="20"/>
          <w:szCs w:val="20"/>
          <w:color w:val="auto"/>
        </w:rPr>
      </w:pPr>
    </w:p>
    <w:p>
      <w:pPr>
        <w:jc w:val="both"/>
        <w:ind w:left="80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provide information regarding any material developments in relation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of the Company; and</w:t>
      </w:r>
    </w:p>
    <w:p>
      <w:pPr>
        <w:spacing w:after="0" w:line="150" w:lineRule="exact"/>
        <w:rPr>
          <w:sz w:val="20"/>
          <w:szCs w:val="20"/>
          <w:color w:val="auto"/>
        </w:rPr>
      </w:pPr>
    </w:p>
    <w:p>
      <w:pPr>
        <w:jc w:val="both"/>
        <w:ind w:left="800" w:right="2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provide such additional financial and other information regarding the business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affairs of the Company as the Buyer may reasonably request.</w:t>
      </w:r>
    </w:p>
    <w:p>
      <w:pPr>
        <w:spacing w:after="0" w:line="150" w:lineRule="exact"/>
        <w:rPr>
          <w:sz w:val="20"/>
          <w:szCs w:val="20"/>
          <w:color w:val="auto"/>
        </w:rPr>
      </w:pPr>
    </w:p>
    <w:p>
      <w:pPr>
        <w:jc w:val="both"/>
        <w:ind w:left="38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8.2Company meetings</w:t>
      </w:r>
      <w:r>
        <w:rPr>
          <w:rFonts w:ascii="Times New Roman" w:cs="Times New Roman" w:eastAsia="Times New Roman" w:hAnsi="Times New Roman"/>
          <w:sz w:val="22"/>
          <w:szCs w:val="22"/>
          <w:color w:val="auto"/>
        </w:rPr>
        <w:t>. The Seller shall appoint the persons nominated by the Buyer as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 proxies for any and all meetings of the Company that will be held between the date of this Agreement and the date on which name of the Buyer is reflected in the register of members of each of the Company. The Seller agrees that it shall not attend and participate in any such meetings of the Company.</w:t>
      </w:r>
    </w:p>
    <w:p>
      <w:pPr>
        <w:spacing w:after="0" w:line="172" w:lineRule="exact"/>
        <w:rPr>
          <w:sz w:val="20"/>
          <w:szCs w:val="20"/>
          <w:color w:val="auto"/>
        </w:rPr>
      </w:pPr>
    </w:p>
    <w:p>
      <w:pPr>
        <w:jc w:val="both"/>
        <w:ind w:left="38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8.3Ordinary course</w:t>
      </w:r>
      <w:r>
        <w:rPr>
          <w:rFonts w:ascii="Times New Roman" w:cs="Times New Roman" w:eastAsia="Times New Roman" w:hAnsi="Times New Roman"/>
          <w:sz w:val="22"/>
          <w:szCs w:val="22"/>
          <w:color w:val="auto"/>
        </w:rPr>
        <w:t>. The Seller agrees that the Business of the Company shall be operated in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Ordinary Course of Business, from the date of this Agreement until the date on which name of the Buyer is reflected in the register of members of the Companies.</w:t>
      </w:r>
    </w:p>
    <w:p>
      <w:pPr>
        <w:spacing w:after="0" w:line="167" w:lineRule="exact"/>
        <w:rPr>
          <w:sz w:val="20"/>
          <w:szCs w:val="20"/>
          <w:color w:val="auto"/>
        </w:rPr>
      </w:pPr>
    </w:p>
    <w:p>
      <w:pPr>
        <w:jc w:val="both"/>
        <w:ind w:left="38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8.4Required Approvals</w:t>
      </w:r>
      <w:r>
        <w:rPr>
          <w:rFonts w:ascii="Times New Roman" w:cs="Times New Roman" w:eastAsia="Times New Roman" w:hAnsi="Times New Roman"/>
          <w:sz w:val="22"/>
          <w:szCs w:val="22"/>
          <w:color w:val="auto"/>
        </w:rPr>
        <w:t>. As promptly as practicable after Closing, the Seller will, and will cause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to, make all filings required by Legal Requirements to be made by them in connection with this Agreement the transactions contemplated hereby. Following the Closing Date, the Seller will make a commercially reasonable effort to cooperate with the Buyer with respect to all filings that the Buyer is required by Legal Requirements to make in connection with the transactions contemplated hereby.</w:t>
      </w:r>
    </w:p>
    <w:p>
      <w:pPr>
        <w:spacing w:after="0" w:line="177" w:lineRule="exact"/>
        <w:rPr>
          <w:sz w:val="20"/>
          <w:szCs w:val="20"/>
          <w:color w:val="auto"/>
        </w:rPr>
      </w:pPr>
    </w:p>
    <w:p>
      <w:pPr>
        <w:ind w:left="1140" w:hanging="755"/>
        <w:spacing w:after="0"/>
        <w:tabs>
          <w:tab w:leader="none" w:pos="1140" w:val="left"/>
        </w:tabs>
        <w:numPr>
          <w:ilvl w:val="0"/>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ovenants</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uyer</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1038225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40" w:right="719" w:bottom="1440" w:gutter="0" w:footer="0" w:header="0"/>
        </w:sectPr>
      </w:pPr>
    </w:p>
    <w:bookmarkStart w:id="87" w:name="page88"/>
    <w:bookmarkEnd w:id="87"/>
    <w:p>
      <w:pPr>
        <w:jc w:val="both"/>
        <w:ind w:left="380" w:firstLine="749"/>
        <w:spacing w:after="0" w:line="247" w:lineRule="auto"/>
        <w:rPr>
          <w:sz w:val="20"/>
          <w:szCs w:val="20"/>
          <w:color w:val="auto"/>
        </w:rPr>
      </w:pPr>
      <w:r>
        <w:rPr>
          <w:rFonts w:ascii="Times New Roman" w:cs="Times New Roman" w:eastAsia="Times New Roman" w:hAnsi="Times New Roman"/>
          <w:sz w:val="21"/>
          <w:szCs w:val="21"/>
          <w:b w:val="1"/>
          <w:bCs w:val="1"/>
          <w:color w:val="auto"/>
        </w:rPr>
        <w:t>9.1Approvals of Governmental Bodies</w:t>
      </w:r>
      <w:r>
        <w:rPr>
          <w:rFonts w:ascii="Times New Roman" w:cs="Times New Roman" w:eastAsia="Times New Roman" w:hAnsi="Times New Roman"/>
          <w:sz w:val="21"/>
          <w:szCs w:val="21"/>
          <w:color w:val="auto"/>
        </w:rPr>
        <w:t>. As promptly as practicable after Closing, the Buyer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will cause each of its Related Persons to, make all filings required by Legal Requirements to be made by it to consummate the transactions contemplated hereby. Following the date of this Agreement, the Buyer will, and will cause each Related Person to: (i) make a commercially reasonable effort to cooperate with the Seller with respect to all filings that the Seller is required by Legal Requirements to make in connection with the transactions contemplated hereby; and (ii) cooperate with the Seller in obtaining all consents Fairly Disclosed; provided that this Agreement will not require Buyer to dispose of or make any change in any portion of its business or to incur any other burden to obtain a Governmental Authorization.</w:t>
      </w:r>
    </w:p>
    <w:p>
      <w:pPr>
        <w:spacing w:after="0" w:line="172" w:lineRule="exact"/>
        <w:rPr>
          <w:sz w:val="20"/>
          <w:szCs w:val="20"/>
          <w:color w:val="auto"/>
        </w:rPr>
      </w:pPr>
    </w:p>
    <w:p>
      <w:pPr>
        <w:jc w:val="both"/>
        <w:ind w:left="38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9.2Tax indemnity provided by the Buyer</w:t>
      </w:r>
      <w:r>
        <w:rPr>
          <w:rFonts w:ascii="Times New Roman" w:cs="Times New Roman" w:eastAsia="Times New Roman" w:hAnsi="Times New Roman"/>
          <w:sz w:val="22"/>
          <w:szCs w:val="22"/>
          <w:color w:val="auto"/>
        </w:rPr>
        <w:t>. The Buyer covenants and undertakes to Sellers that 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refrain, from any action that would result in a requalification of the tax free capital gain made by Sellers in connection with the sale of the Company Shares into taxable income in accordance with article 20a Federal law on direct federal tax (DBG) and article 7a Federal Act</w:t>
      </w:r>
    </w:p>
    <w:p>
      <w:pPr>
        <w:spacing w:after="0" w:line="351" w:lineRule="exact"/>
        <w:rPr>
          <w:sz w:val="20"/>
          <w:szCs w:val="20"/>
          <w:color w:val="auto"/>
        </w:rPr>
      </w:pPr>
    </w:p>
    <w:p>
      <w:pPr>
        <w:jc w:val="both"/>
        <w:ind w:left="380"/>
        <w:spacing w:after="0" w:line="232" w:lineRule="auto"/>
        <w:rPr>
          <w:sz w:val="20"/>
          <w:szCs w:val="20"/>
          <w:color w:val="auto"/>
        </w:rPr>
      </w:pPr>
      <w:r>
        <w:rPr>
          <w:rFonts w:ascii="Times New Roman" w:cs="Times New Roman" w:eastAsia="Times New Roman" w:hAnsi="Times New Roman"/>
          <w:sz w:val="22"/>
          <w:szCs w:val="22"/>
          <w:color w:val="auto"/>
        </w:rPr>
        <w:t>on the Harmonization of Direct Taxes of the Cantons and Municipalities (StHG). The Buyer’s obligations in accordance with this Section 9.2 do not apply if and to the extent Buyer provides to Sellers binding tax rulings from all competent cantonal tax authorities confirming that the relevant transaction does not result in adverse tax consequences for Sellers. The Sellers shall use reasonable efforts to support, and cooperate with, the Buyer to obtain such tax rulings and shall provide powers of attorney to the Buyer so that the latter can file requests for such Tax rulings. If during the period from the Closing Date until the 5th anniversary thereof Buyer or any of its Affiliates engages in any transaction that results in an adverse tax consequence for Sellers pursuant to this Section 9.2, Buyer shall, regardless of whether there was any fault of Buyer or any of its Affiliates, fully indemnify Sellers for and hold them harmless from all income taxes, including but not limited to default interest, other damages resulting from such non-compliance and all reasonable legal fees, cost and expenses incurred in connection therewith. The Sellers agree to notify Buyer within 10 Business Days after they receive information including any provisional or final assessments or decisions resulting in an indirect partial liquidation; but in any event within such period as will afford Buyer reasonable opportunity to timely respond to, lodge, appeal against or otherwise challenge (or instruct the Sellers to do so) such assessment or decision. The Buyer undertakes to fully impose its obligations as per this Section 9.2 on any subsequent buyer of the Company Shares and remains jointly and severally liable for any and all claims arising out of, relating to or in connection with the tax indemnity in accordance with this Section 9.2.</w:t>
      </w:r>
    </w:p>
    <w:p>
      <w:pPr>
        <w:spacing w:after="0" w:line="184" w:lineRule="exact"/>
        <w:rPr>
          <w:sz w:val="20"/>
          <w:szCs w:val="20"/>
          <w:color w:val="auto"/>
        </w:rPr>
      </w:pPr>
    </w:p>
    <w:p>
      <w:pPr>
        <w:ind w:left="1140" w:hanging="755"/>
        <w:spacing w:after="0"/>
        <w:tabs>
          <w:tab w:leader="none" w:pos="1140" w:val="left"/>
        </w:tabs>
        <w:numPr>
          <w:ilvl w:val="0"/>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7"/>
          <w:szCs w:val="17"/>
          <w:b w:val="1"/>
          <w:bCs w:val="1"/>
          <w:color w:val="auto"/>
        </w:rPr>
        <w:t>EMEDIES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380"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10.1Survival; Liability</w:t>
      </w:r>
      <w:r>
        <w:rPr>
          <w:rFonts w:ascii="Times New Roman" w:cs="Times New Roman" w:eastAsia="Times New Roman" w:hAnsi="Times New Roman"/>
          <w:sz w:val="22"/>
          <w:szCs w:val="22"/>
          <w:color w:val="auto"/>
        </w:rPr>
        <w:t>. All representations and warranties in this Agreement will survive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Closing for a period of twelve (12) months following the Closing. All covenants, and obligations will survive the Closing until performance is completed in full. Unless any particular fact, situation or relevant information is Fairly Disclosed, the right to indemnification, payment of Damages or other remedy based on such representations, warranties, covenants, and obligations will not be affected by any investigation conducted with respect to, or any Knowledge acquired (or capable of being acquired) at any time, whether before or after the execution and delivery of this Agreement or the Closing Date, with respect to the accuracy or inaccuracy of or compliance with, any such representation, warranty, covenant, or obligation. The waiver of any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871855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04" w:right="719" w:bottom="1440" w:gutter="0" w:footer="0" w:header="0"/>
        </w:sectPr>
      </w:pPr>
    </w:p>
    <w:bookmarkStart w:id="88" w:name="page89"/>
    <w:bookmarkEnd w:id="88"/>
    <w:p>
      <w:pPr>
        <w:jc w:val="both"/>
        <w:ind w:left="380"/>
        <w:spacing w:after="0" w:line="261" w:lineRule="auto"/>
        <w:rPr>
          <w:sz w:val="20"/>
          <w:szCs w:val="20"/>
          <w:color w:val="auto"/>
        </w:rPr>
      </w:pPr>
      <w:r>
        <w:rPr>
          <w:rFonts w:ascii="Times New Roman" w:cs="Times New Roman" w:eastAsia="Times New Roman" w:hAnsi="Times New Roman"/>
          <w:sz w:val="21"/>
          <w:szCs w:val="21"/>
          <w:color w:val="auto"/>
        </w:rPr>
        <w:t>based on the accuracy of any representation or warranty, or on the performance of or compliance with any covenant or obligation, will not affect the right to indemnification, payment of Damages, or other remedy based on such representations, warranties, covenants, and obligations. Article 200 CO is expressly waived.</w:t>
      </w:r>
    </w:p>
    <w:p>
      <w:pPr>
        <w:spacing w:after="0" w:line="153" w:lineRule="exact"/>
        <w:rPr>
          <w:sz w:val="20"/>
          <w:szCs w:val="20"/>
          <w:color w:val="auto"/>
        </w:rPr>
      </w:pPr>
    </w:p>
    <w:p>
      <w:pPr>
        <w:jc w:val="both"/>
        <w:ind w:left="380"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10.2Notice of Breach</w:t>
      </w:r>
      <w:r>
        <w:rPr>
          <w:rFonts w:ascii="Times New Roman" w:cs="Times New Roman" w:eastAsia="Times New Roman" w:hAnsi="Times New Roman"/>
          <w:sz w:val="22"/>
          <w:szCs w:val="22"/>
          <w:color w:val="auto"/>
        </w:rPr>
        <w:t>. The Buyer shall deliver a written notice to the Seller which shall include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brief summary of the facts then known about any claim for misrepresentation or breach of warranty and which shall specify the representation or warranty allegedly breached and shall state, to the extent reasonably assessable, the amount of reasonably anticipated Damage relating to such claim, as well as disclosing to the Sellers all documents and information supporting such claim (“</w:t>
      </w:r>
      <w:r>
        <w:rPr>
          <w:rFonts w:ascii="Times New Roman" w:cs="Times New Roman" w:eastAsia="Times New Roman" w:hAnsi="Times New Roman"/>
          <w:sz w:val="22"/>
          <w:szCs w:val="22"/>
          <w:b w:val="1"/>
          <w:bCs w:val="1"/>
          <w:color w:val="auto"/>
        </w:rPr>
        <w:t>Notice of Breach</w:t>
      </w:r>
      <w:r>
        <w:rPr>
          <w:rFonts w:ascii="Times New Roman" w:cs="Times New Roman" w:eastAsia="Times New Roman" w:hAnsi="Times New Roman"/>
          <w:sz w:val="22"/>
          <w:szCs w:val="22"/>
          <w:color w:val="auto"/>
        </w:rPr>
        <w:t>”) on the earlier of:</w:t>
      </w:r>
    </w:p>
    <w:p>
      <w:pPr>
        <w:spacing w:after="0" w:line="179" w:lineRule="exact"/>
        <w:rPr>
          <w:sz w:val="20"/>
          <w:szCs w:val="20"/>
          <w:color w:val="auto"/>
        </w:rPr>
      </w:pPr>
    </w:p>
    <w:p>
      <w:pPr>
        <w:ind w:left="2640" w:hanging="757"/>
        <w:spacing w:after="0"/>
        <w:tabs>
          <w:tab w:leader="none" w:pos="2640" w:val="left"/>
        </w:tabs>
        <w:numPr>
          <w:ilvl w:val="1"/>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date not later than 30 Business Days after the Buyer becoming aware</w:t>
      </w:r>
    </w:p>
    <w:p>
      <w:pPr>
        <w:spacing w:after="0" w:line="14" w:lineRule="exact"/>
        <w:rPr>
          <w:rFonts w:ascii="Times New Roman" w:cs="Times New Roman" w:eastAsia="Times New Roman" w:hAnsi="Times New Roman"/>
          <w:sz w:val="22"/>
          <w:szCs w:val="22"/>
          <w:b w:val="1"/>
          <w:bCs w:val="1"/>
          <w:color w:val="auto"/>
        </w:rPr>
      </w:pPr>
    </w:p>
    <w:p>
      <w:pPr>
        <w:jc w:val="both"/>
        <w:ind w:left="380" w:firstLine="5"/>
        <w:spacing w:after="0" w:line="235" w:lineRule="auto"/>
        <w:tabs>
          <w:tab w:leader="none" w:pos="647"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a misrepresentation or breach of warranty or (ii) receipt by the Buyer of notice of any claim made or threatened in writing to be made by any third party which the Buyer believes is reasonably likely to give rise to a claim for misrepresentation or breach of a warranty; or</w:t>
      </w:r>
    </w:p>
    <w:p>
      <w:pPr>
        <w:spacing w:after="0" w:line="353" w:lineRule="exact"/>
        <w:rPr>
          <w:rFonts w:ascii="Times New Roman" w:cs="Times New Roman" w:eastAsia="Times New Roman" w:hAnsi="Times New Roman"/>
          <w:sz w:val="22"/>
          <w:szCs w:val="22"/>
          <w:color w:val="auto"/>
        </w:rPr>
      </w:pPr>
    </w:p>
    <w:p>
      <w:pPr>
        <w:jc w:val="both"/>
        <w:ind w:left="380" w:firstLine="1503"/>
        <w:spacing w:after="0" w:line="236" w:lineRule="auto"/>
        <w:tabs>
          <w:tab w:leader="none" w:pos="2425" w:val="left"/>
        </w:tabs>
        <w:numPr>
          <w:ilvl w:val="1"/>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upon the Buyer receiving any submission to, or a decision or order rendered by any court, arbitral tribunal or governmental or administrative body (including without limitation any taxation authority) which is reasonably likely to result in a claim based upon misrepresentation or the breach of a warranty, but in any event such notice shall be delivered to the Seller early enough so that the Seller has a reasonable opportunity to respond, or to require the Buyer to cause the Company to respond, to such submission or to submit a timely appeal or other challenge against such decision or order.</w:t>
      </w:r>
    </w:p>
    <w:p>
      <w:pPr>
        <w:spacing w:after="0" w:line="195" w:lineRule="exact"/>
        <w:rPr>
          <w:sz w:val="20"/>
          <w:szCs w:val="20"/>
          <w:color w:val="auto"/>
        </w:rPr>
      </w:pPr>
    </w:p>
    <w:p>
      <w:pPr>
        <w:jc w:val="both"/>
        <w:ind w:left="380"/>
        <w:spacing w:after="0" w:line="235" w:lineRule="auto"/>
        <w:rPr>
          <w:sz w:val="20"/>
          <w:szCs w:val="20"/>
          <w:color w:val="auto"/>
        </w:rPr>
      </w:pPr>
      <w:r>
        <w:rPr>
          <w:rFonts w:ascii="Times New Roman" w:cs="Times New Roman" w:eastAsia="Times New Roman" w:hAnsi="Times New Roman"/>
          <w:sz w:val="22"/>
          <w:szCs w:val="22"/>
          <w:color w:val="auto"/>
        </w:rPr>
        <w:t>Failure to give Notice of Breach within the time periods set forth in this Section 10.2 shall, if the notice has been given within the time limitation set out in Section 10.1, not exclude the Seller’s liability under this Agreement in connection with the relevant matter. The Seller’s liability shall, however, be reduced or, as the case may be, excluded altogether if a Damage has been caused or aggravated by virtue of Buyer’s failure to give timely notice in accordance with this Section 10.2. If, however, the Notice of Breach has not been given within the time limitation set out this Section 10.1, the Seller’s liability shall be excluded. The Parties expressly waive Buyer’s duty to immediately inspect and notify the Sellers pursuant to, and the application of, article 201 CO.</w:t>
      </w:r>
    </w:p>
    <w:p>
      <w:pPr>
        <w:spacing w:after="0" w:line="174" w:lineRule="exact"/>
        <w:rPr>
          <w:sz w:val="20"/>
          <w:szCs w:val="20"/>
          <w:color w:val="auto"/>
        </w:rPr>
      </w:pPr>
    </w:p>
    <w:p>
      <w:pPr>
        <w:jc w:val="both"/>
        <w:ind w:left="38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10.3Seller’s Right to Cure. </w:t>
      </w:r>
      <w:r>
        <w:rPr>
          <w:rFonts w:ascii="Times New Roman" w:cs="Times New Roman" w:eastAsia="Times New Roman" w:hAnsi="Times New Roman"/>
          <w:sz w:val="22"/>
          <w:szCs w:val="22"/>
          <w:color w:val="auto"/>
        </w:rPr>
        <w:t>With respect to any misrepresentation or breach of warranty notified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Buyer to the Seller pursuant to Section 10.2 which is capable of being cured, the Seller shall have the right, within a reasonable period of time not exceeding 60 Business Days after the receipt of the Notice of Breach and at its own expense, to put the Buyer in the same position in which it would have been if the representation or warranty had been complied with.</w:t>
      </w:r>
    </w:p>
    <w:p>
      <w:pPr>
        <w:spacing w:after="0" w:line="177" w:lineRule="exact"/>
        <w:rPr>
          <w:sz w:val="20"/>
          <w:szCs w:val="20"/>
          <w:color w:val="auto"/>
        </w:rPr>
      </w:pPr>
    </w:p>
    <w:p>
      <w:pPr>
        <w:jc w:val="both"/>
        <w:ind w:left="380"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10.4The Seller’s Liability. </w:t>
      </w:r>
      <w:r>
        <w:rPr>
          <w:rFonts w:ascii="Times New Roman" w:cs="Times New Roman" w:eastAsia="Times New Roman" w:hAnsi="Times New Roman"/>
          <w:sz w:val="22"/>
          <w:szCs w:val="22"/>
          <w:color w:val="auto"/>
        </w:rPr>
        <w:t>Provided that the Buyer delivered to the Seller a Notice of Breach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Section 10.2 and if and to the extent the cure as per Section 10.3 cannot be effected, or is not effected within the time period set forth in Section 10.3, the Seller shall be liable to Buyer, subject to the further exclusions and limitations set forth in this Agreement, for any damage, out of pocket cost or expense, including reasonable attorney’s fees caused by such breach of warranty or misrepresentation, to the exclusion of any punitive damages, exemplary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873125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08" w:right="719" w:bottom="1440" w:gutter="0" w:footer="0" w:header="0"/>
        </w:sectPr>
      </w:pPr>
    </w:p>
    <w:bookmarkStart w:id="89" w:name="page90"/>
    <w:bookmarkEnd w:id="89"/>
    <w:p>
      <w:pPr>
        <w:spacing w:after="0" w:line="185" w:lineRule="exact"/>
        <w:rPr>
          <w:sz w:val="20"/>
          <w:szCs w:val="20"/>
          <w:color w:val="auto"/>
        </w:rPr>
      </w:pPr>
    </w:p>
    <w:p>
      <w:pPr>
        <w:jc w:val="both"/>
        <w:ind w:left="380"/>
        <w:spacing w:after="0" w:line="258" w:lineRule="auto"/>
        <w:rPr>
          <w:sz w:val="20"/>
          <w:szCs w:val="20"/>
          <w:color w:val="auto"/>
        </w:rPr>
      </w:pPr>
      <w:r>
        <w:rPr>
          <w:rFonts w:ascii="Times New Roman" w:cs="Times New Roman" w:eastAsia="Times New Roman" w:hAnsi="Times New Roman"/>
          <w:sz w:val="22"/>
          <w:szCs w:val="22"/>
          <w:color w:val="auto"/>
        </w:rPr>
        <w:t>damages, aggravated damages, loss of goodwill, and any multiple portion of any multiplied damages (“</w:t>
      </w:r>
      <w:r>
        <w:rPr>
          <w:rFonts w:ascii="Times New Roman" w:cs="Times New Roman" w:eastAsia="Times New Roman" w:hAnsi="Times New Roman"/>
          <w:sz w:val="22"/>
          <w:szCs w:val="22"/>
          <w:b w:val="1"/>
          <w:bCs w:val="1"/>
          <w:color w:val="auto"/>
        </w:rPr>
        <w:t>Damage</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left="38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10.5Remedies Exclusive</w:t>
      </w:r>
      <w:r>
        <w:rPr>
          <w:rFonts w:ascii="Times New Roman" w:cs="Times New Roman" w:eastAsia="Times New Roman" w:hAnsi="Times New Roman"/>
          <w:sz w:val="22"/>
          <w:szCs w:val="22"/>
          <w:color w:val="auto"/>
        </w:rPr>
        <w:t>. The remedies provided in this Section 10.2 will be the Buyer’s sole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recourse with respect to any breach as specified in this Agreement and for any Damages arising from this Agreement, other than with respect to claims for injunctive relief, where applicable and shall exclude the remedies otherwise available to the Buyer under statutory law. All other remedies including, without limitation, the right to rescind this Agreement under articles 23 et seq. and 205 CO, are expressly waived.</w:t>
      </w:r>
    </w:p>
    <w:p>
      <w:pPr>
        <w:spacing w:after="0" w:line="177" w:lineRule="exact"/>
        <w:rPr>
          <w:sz w:val="20"/>
          <w:szCs w:val="20"/>
          <w:color w:val="auto"/>
        </w:rPr>
      </w:pPr>
    </w:p>
    <w:p>
      <w:pPr>
        <w:ind w:left="1140"/>
        <w:spacing w:after="0"/>
        <w:tabs>
          <w:tab w:leader="none" w:pos="1860" w:val="left"/>
        </w:tabs>
        <w:rPr>
          <w:sz w:val="20"/>
          <w:szCs w:val="20"/>
          <w:color w:val="auto"/>
        </w:rPr>
      </w:pPr>
      <w:r>
        <w:rPr>
          <w:rFonts w:ascii="Times New Roman" w:cs="Times New Roman" w:eastAsia="Times New Roman" w:hAnsi="Times New Roman"/>
          <w:sz w:val="22"/>
          <w:szCs w:val="22"/>
          <w:b w:val="1"/>
          <w:bCs w:val="1"/>
          <w:color w:val="auto"/>
        </w:rPr>
        <w:t>10.6</w:t>
      </w:r>
      <w:r>
        <w:rPr>
          <w:sz w:val="20"/>
          <w:szCs w:val="20"/>
          <w:color w:val="auto"/>
        </w:rPr>
        <w:tab/>
      </w:r>
      <w:r>
        <w:rPr>
          <w:rFonts w:ascii="Times New Roman" w:cs="Times New Roman" w:eastAsia="Times New Roman" w:hAnsi="Times New Roman"/>
          <w:sz w:val="21"/>
          <w:szCs w:val="21"/>
          <w:b w:val="1"/>
          <w:bCs w:val="1"/>
          <w:color w:val="auto"/>
        </w:rPr>
        <w:t>Omitted.</w:t>
      </w:r>
    </w:p>
    <w:p>
      <w:pPr>
        <w:spacing w:after="0" w:line="206" w:lineRule="exact"/>
        <w:rPr>
          <w:sz w:val="20"/>
          <w:szCs w:val="20"/>
          <w:color w:val="auto"/>
        </w:rPr>
      </w:pPr>
    </w:p>
    <w:p>
      <w:pPr>
        <w:ind w:left="1140"/>
        <w:spacing w:after="0"/>
        <w:tabs>
          <w:tab w:leader="none" w:pos="1860" w:val="left"/>
        </w:tabs>
        <w:rPr>
          <w:sz w:val="20"/>
          <w:szCs w:val="20"/>
          <w:color w:val="auto"/>
        </w:rPr>
      </w:pPr>
      <w:r>
        <w:rPr>
          <w:rFonts w:ascii="Times New Roman" w:cs="Times New Roman" w:eastAsia="Times New Roman" w:hAnsi="Times New Roman"/>
          <w:sz w:val="22"/>
          <w:szCs w:val="22"/>
          <w:b w:val="1"/>
          <w:bCs w:val="1"/>
          <w:color w:val="auto"/>
        </w:rPr>
        <w:t>10.7</w:t>
      </w:r>
      <w:r>
        <w:rPr>
          <w:sz w:val="20"/>
          <w:szCs w:val="20"/>
          <w:color w:val="auto"/>
        </w:rPr>
        <w:tab/>
      </w:r>
      <w:r>
        <w:rPr>
          <w:rFonts w:ascii="Times New Roman" w:cs="Times New Roman" w:eastAsia="Times New Roman" w:hAnsi="Times New Roman"/>
          <w:sz w:val="21"/>
          <w:szCs w:val="21"/>
          <w:b w:val="1"/>
          <w:bCs w:val="1"/>
          <w:color w:val="auto"/>
        </w:rPr>
        <w:t>Omitted.</w:t>
      </w:r>
    </w:p>
    <w:p>
      <w:pPr>
        <w:spacing w:after="0" w:line="206" w:lineRule="exact"/>
        <w:rPr>
          <w:sz w:val="20"/>
          <w:szCs w:val="20"/>
          <w:color w:val="auto"/>
        </w:rPr>
      </w:pPr>
    </w:p>
    <w:p>
      <w:pPr>
        <w:jc w:val="both"/>
        <w:ind w:left="380"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10.8Limitations on Amount - Seller</w:t>
      </w:r>
      <w:r>
        <w:rPr>
          <w:rFonts w:ascii="Times New Roman" w:cs="Times New Roman" w:eastAsia="Times New Roman" w:hAnsi="Times New Roman"/>
          <w:sz w:val="22"/>
          <w:szCs w:val="22"/>
          <w:color w:val="auto"/>
        </w:rPr>
        <w:t>. Except for Fundamental Warranties, the Seller’s liability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indemnification or otherwise) with respect to the matters described in Section 10 shall be limited to, and any Person seeking indemnification under Section 10.2 shall have recourse only to, an amount equal to USD 1,000,000 (one million US dollars) to satisfy any claim arising therefrom. The Seller’s liability for Fundamental Warranties shall be limited to USD 5,060,000 (five million and sixty thousand US dollars). Upon final determination of a claim for misrepresentation or breach of warranty against the Seller, the Seller's obligations shall be satisfied via transfer to the Buyer in cash, in cleared funds, the relevant amount to such bank account as may be notified by the Buyer to the Seller in writing. However, this Section 10.8 will not apply to any fraud by the Seller in connection with the breach of any representation or warranty or performance of any covenant hereunder.</w:t>
      </w:r>
    </w:p>
    <w:p>
      <w:pPr>
        <w:spacing w:after="0" w:line="179" w:lineRule="exact"/>
        <w:rPr>
          <w:sz w:val="20"/>
          <w:szCs w:val="20"/>
          <w:color w:val="auto"/>
        </w:rPr>
      </w:pPr>
    </w:p>
    <w:p>
      <w:pPr>
        <w:jc w:val="both"/>
        <w:ind w:left="38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10.9Exclusion or of Liability -- Seller</w:t>
      </w:r>
      <w:r>
        <w:rPr>
          <w:rFonts w:ascii="Times New Roman" w:cs="Times New Roman" w:eastAsia="Times New Roman" w:hAnsi="Times New Roman"/>
          <w:sz w:val="22"/>
          <w:szCs w:val="22"/>
          <w:color w:val="auto"/>
        </w:rPr>
        <w:t>. The Seller’s liability for misrepresentation or breach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warranty shall be reduced or excluded if and to the extent:</w:t>
      </w:r>
    </w:p>
    <w:p>
      <w:pPr>
        <w:spacing w:after="0" w:line="154" w:lineRule="exact"/>
        <w:rPr>
          <w:sz w:val="20"/>
          <w:szCs w:val="20"/>
          <w:color w:val="auto"/>
        </w:rPr>
      </w:pPr>
    </w:p>
    <w:p>
      <w:pPr>
        <w:jc w:val="both"/>
        <w:ind w:left="380" w:firstLine="1503"/>
        <w:spacing w:after="0" w:line="261" w:lineRule="auto"/>
        <w:tabs>
          <w:tab w:leader="none" w:pos="2425" w:val="left"/>
        </w:tabs>
        <w:numPr>
          <w:ilvl w:val="0"/>
          <w:numId w:val="13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Buyer or, following Closing, the Company shall have failed to use commercially reasonable best efforts to mitigate the Damage sustained by it in an amount equal to the amount of Damage that could have been avoided through such mitigation; (</w:t>
      </w:r>
      <w:r>
        <w:rPr>
          <w:rFonts w:ascii="Times New Roman" w:cs="Times New Roman" w:eastAsia="Times New Roman" w:hAnsi="Times New Roman"/>
          <w:sz w:val="21"/>
          <w:szCs w:val="21"/>
          <w:i w:val="1"/>
          <w:iCs w:val="1"/>
          <w:color w:val="auto"/>
        </w:rPr>
        <w:t>Schadensminderungspflicht gemäss OR</w:t>
      </w:r>
      <w:r>
        <w:rPr>
          <w:rFonts w:ascii="Times New Roman" w:cs="Times New Roman" w:eastAsia="Times New Roman" w:hAnsi="Times New Roman"/>
          <w:sz w:val="21"/>
          <w:szCs w:val="21"/>
          <w:color w:val="auto"/>
        </w:rPr>
        <w:t>);</w:t>
      </w:r>
    </w:p>
    <w:p>
      <w:pPr>
        <w:spacing w:after="0" w:line="157" w:lineRule="exact"/>
        <w:rPr>
          <w:rFonts w:ascii="Times New Roman" w:cs="Times New Roman" w:eastAsia="Times New Roman" w:hAnsi="Times New Roman"/>
          <w:sz w:val="21"/>
          <w:szCs w:val="21"/>
          <w:b w:val="1"/>
          <w:bCs w:val="1"/>
          <w:color w:val="auto"/>
        </w:rPr>
      </w:pPr>
    </w:p>
    <w:p>
      <w:pPr>
        <w:jc w:val="both"/>
        <w:ind w:left="380" w:firstLine="1503"/>
        <w:spacing w:after="0" w:line="239" w:lineRule="auto"/>
        <w:tabs>
          <w:tab w:leader="none" w:pos="2425"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Buyer or the Company shall have recovered any amount in respect of such Damage from any third person, including but not limited to an insurer, in an amount equal to the amount of such actual or potential recovery, after deduction of all duly documented costs and expenses incurred in making such recovery (including reasonable attorney’s fees);</w:t>
      </w:r>
    </w:p>
    <w:p>
      <w:pPr>
        <w:spacing w:after="0" w:line="180" w:lineRule="exact"/>
        <w:rPr>
          <w:rFonts w:ascii="Times New Roman" w:cs="Times New Roman" w:eastAsia="Times New Roman" w:hAnsi="Times New Roman"/>
          <w:sz w:val="22"/>
          <w:szCs w:val="22"/>
          <w:b w:val="1"/>
          <w:bCs w:val="1"/>
          <w:color w:val="auto"/>
        </w:rPr>
      </w:pPr>
    </w:p>
    <w:p>
      <w:pPr>
        <w:jc w:val="both"/>
        <w:ind w:left="380" w:firstLine="1503"/>
        <w:spacing w:after="0" w:line="244" w:lineRule="auto"/>
        <w:tabs>
          <w:tab w:leader="none" w:pos="2425"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and to the extent a specific provision, reserve or valuation allowance has expressly been or is made or included in the Financial Statements covering such claim, in an amount equal to the amount of such provision, reserve or valuation allowance; and</w:t>
      </w:r>
    </w:p>
    <w:p>
      <w:pPr>
        <w:spacing w:after="0" w:line="173" w:lineRule="exact"/>
        <w:rPr>
          <w:rFonts w:ascii="Times New Roman" w:cs="Times New Roman" w:eastAsia="Times New Roman" w:hAnsi="Times New Roman"/>
          <w:sz w:val="22"/>
          <w:szCs w:val="22"/>
          <w:b w:val="1"/>
          <w:bCs w:val="1"/>
          <w:color w:val="auto"/>
        </w:rPr>
      </w:pPr>
    </w:p>
    <w:p>
      <w:pPr>
        <w:jc w:val="both"/>
        <w:ind w:left="380" w:firstLine="1503"/>
        <w:spacing w:after="0" w:line="238" w:lineRule="auto"/>
        <w:tabs>
          <w:tab w:leader="none" w:pos="2425"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such claim arises or is increased as a result of any legislation, regulation, rule of law or practice not in force at the date hereof or the withdrawal after Closing of any concession previously made by any relevant authority or as a result of any change made or introduced on or after the date hereof in any legislation, regulation, rule of law or practice of any relevant authority, whether or not such change or withdrawal purports to be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871220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40" w:right="719" w:bottom="1440" w:gutter="0" w:footer="0" w:header="0"/>
        </w:sectPr>
      </w:pPr>
    </w:p>
    <w:bookmarkStart w:id="90" w:name="page91"/>
    <w:bookmarkEnd w:id="90"/>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retrospectively in whole or part.</w:t>
      </w:r>
    </w:p>
    <w:p>
      <w:pPr>
        <w:spacing w:after="0" w:line="202" w:lineRule="exact"/>
        <w:rPr>
          <w:sz w:val="20"/>
          <w:szCs w:val="20"/>
          <w:color w:val="auto"/>
        </w:rPr>
      </w:pPr>
    </w:p>
    <w:p>
      <w:pPr>
        <w:jc w:val="both"/>
        <w:ind w:left="38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10.10</w:t>
      </w:r>
      <w:r>
        <w:rPr>
          <w:rFonts w:ascii="Times New Roman" w:cs="Times New Roman" w:eastAsia="Times New Roman" w:hAnsi="Times New Roman"/>
          <w:sz w:val="22"/>
          <w:szCs w:val="22"/>
          <w:color w:val="auto"/>
        </w:rPr>
        <w:t>The Seller shall have no liability for Damages if such liability is attributable to any 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omission, transaction or arrangement of the Buyer (other than one to which the Sellers consented, or one which is required under the provisions of this Agreement, or in order to comply with applicable law under an enforceable court order) after the signing of this Agreement.</w:t>
      </w:r>
    </w:p>
    <w:p>
      <w:pPr>
        <w:spacing w:after="0" w:line="172" w:lineRule="exact"/>
        <w:rPr>
          <w:sz w:val="20"/>
          <w:szCs w:val="20"/>
          <w:color w:val="auto"/>
        </w:rPr>
      </w:pPr>
    </w:p>
    <w:p>
      <w:pPr>
        <w:jc w:val="both"/>
        <w:ind w:left="380"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10.11Limitations on Amount -- Buyer</w:t>
      </w:r>
      <w:r>
        <w:rPr>
          <w:rFonts w:ascii="Times New Roman" w:cs="Times New Roman" w:eastAsia="Times New Roman" w:hAnsi="Times New Roman"/>
          <w:sz w:val="22"/>
          <w:szCs w:val="22"/>
          <w:color w:val="auto"/>
        </w:rPr>
        <w:t>. The Buyer’s liability (for indemnification or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the matters described in Section 7 shall be limited to, and any Person bringing a claim under Section 7 shall have recourse only to, the Company Shares to satisfy any claim arising therefrom. Upon final determination of a claim against the Buyer for misrepresentation or breach of warranty or otherwise under Section 7, the Buyer’s obligations shall be satisfied only via transfer to the Seller of the number of Company Shares that represent the amount awarded to the Seller, taking into account the assumption that the value of the Company Shares shall be USD$25,300 per Company Share. However, this Section 10.9 will not apply to any fraud by the Buyer in connection with the breach of any representation or warranty or performance of any covenant hereunder.</w:t>
      </w:r>
    </w:p>
    <w:p>
      <w:pPr>
        <w:spacing w:after="0" w:line="349" w:lineRule="exact"/>
        <w:rPr>
          <w:sz w:val="20"/>
          <w:szCs w:val="20"/>
          <w:color w:val="auto"/>
        </w:rPr>
      </w:pPr>
    </w:p>
    <w:p>
      <w:pPr>
        <w:ind w:left="1140"/>
        <w:spacing w:after="0"/>
        <w:tabs>
          <w:tab w:leader="none" w:pos="1860" w:val="left"/>
        </w:tabs>
        <w:rPr>
          <w:sz w:val="20"/>
          <w:szCs w:val="20"/>
          <w:color w:val="auto"/>
        </w:rPr>
      </w:pPr>
      <w:r>
        <w:rPr>
          <w:rFonts w:ascii="Times New Roman" w:cs="Times New Roman" w:eastAsia="Times New Roman" w:hAnsi="Times New Roman"/>
          <w:sz w:val="22"/>
          <w:szCs w:val="22"/>
          <w:b w:val="1"/>
          <w:bCs w:val="1"/>
          <w:color w:val="auto"/>
        </w:rPr>
        <w:t>10.12</w:t>
      </w:r>
      <w:r>
        <w:rPr>
          <w:sz w:val="20"/>
          <w:szCs w:val="20"/>
          <w:color w:val="auto"/>
        </w:rPr>
        <w:tab/>
      </w:r>
      <w:r>
        <w:rPr>
          <w:rFonts w:ascii="Times New Roman" w:cs="Times New Roman" w:eastAsia="Times New Roman" w:hAnsi="Times New Roman"/>
          <w:sz w:val="21"/>
          <w:szCs w:val="21"/>
          <w:b w:val="1"/>
          <w:bCs w:val="1"/>
          <w:color w:val="auto"/>
        </w:rPr>
        <w:t>Omitted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140"/>
        <w:spacing w:after="0"/>
        <w:tabs>
          <w:tab w:leader="none" w:pos="1860" w:val="left"/>
        </w:tabs>
        <w:rPr>
          <w:sz w:val="20"/>
          <w:szCs w:val="20"/>
          <w:color w:val="auto"/>
        </w:rPr>
      </w:pPr>
      <w:r>
        <w:rPr>
          <w:rFonts w:ascii="Times New Roman" w:cs="Times New Roman" w:eastAsia="Times New Roman" w:hAnsi="Times New Roman"/>
          <w:sz w:val="22"/>
          <w:szCs w:val="22"/>
          <w:b w:val="1"/>
          <w:bCs w:val="1"/>
          <w:color w:val="auto"/>
        </w:rPr>
        <w:t>10.13</w:t>
      </w:r>
      <w:r>
        <w:rPr>
          <w:sz w:val="20"/>
          <w:szCs w:val="20"/>
          <w:color w:val="auto"/>
        </w:rPr>
        <w:tab/>
      </w:r>
      <w:r>
        <w:rPr>
          <w:rFonts w:ascii="Times New Roman" w:cs="Times New Roman" w:eastAsia="Times New Roman" w:hAnsi="Times New Roman"/>
          <w:sz w:val="21"/>
          <w:szCs w:val="21"/>
          <w:b w:val="1"/>
          <w:bCs w:val="1"/>
          <w:color w:val="auto"/>
        </w:rPr>
        <w:t>Procedure for Third Party Claims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380" w:firstLine="1503"/>
        <w:spacing w:after="0" w:line="235" w:lineRule="auto"/>
        <w:tabs>
          <w:tab w:leader="none" w:pos="2425"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Promptly after receipt by a party of notice of the commencement of any Proceeding against it by a third party, which may be subject to the provisions under Sections 6 or 7, such party (the "</w:t>
      </w:r>
      <w:r>
        <w:rPr>
          <w:rFonts w:ascii="Times New Roman" w:cs="Times New Roman" w:eastAsia="Times New Roman" w:hAnsi="Times New Roman"/>
          <w:sz w:val="22"/>
          <w:szCs w:val="22"/>
          <w:b w:val="1"/>
          <w:bCs w:val="1"/>
          <w:color w:val="auto"/>
        </w:rPr>
        <w:t>Claiming Party</w:t>
      </w:r>
      <w:r>
        <w:rPr>
          <w:rFonts w:ascii="Times New Roman" w:cs="Times New Roman" w:eastAsia="Times New Roman" w:hAnsi="Times New Roman"/>
          <w:sz w:val="22"/>
          <w:szCs w:val="22"/>
          <w:color w:val="auto"/>
        </w:rPr>
        <w:t>") will, if a claim is to be made against an the other party under such Section, give notice to the other party (the "</w:t>
      </w:r>
      <w:r>
        <w:rPr>
          <w:rFonts w:ascii="Times New Roman" w:cs="Times New Roman" w:eastAsia="Times New Roman" w:hAnsi="Times New Roman"/>
          <w:sz w:val="22"/>
          <w:szCs w:val="22"/>
          <w:b w:val="1"/>
          <w:bCs w:val="1"/>
          <w:color w:val="auto"/>
        </w:rPr>
        <w:t>Defending Party</w:t>
      </w:r>
      <w:r>
        <w:rPr>
          <w:rFonts w:ascii="Times New Roman" w:cs="Times New Roman" w:eastAsia="Times New Roman" w:hAnsi="Times New Roman"/>
          <w:sz w:val="22"/>
          <w:szCs w:val="22"/>
          <w:color w:val="auto"/>
        </w:rPr>
        <w:t>") of the commencement of such claim from a third party, but the failure to notify the Defending Party will not relieve the Defending Party of any liability that it may have to the Claiming Party, except to the extent that the Defending Party demonstrates that the defense of such action is prejudiced by the Claiming Party’s failure to give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875665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40" w:right="719" w:bottom="1440" w:gutter="0" w:footer="0" w:header="0"/>
        </w:sectPr>
      </w:pPr>
    </w:p>
    <w:bookmarkStart w:id="91" w:name="page92"/>
    <w:bookmarkEnd w:id="91"/>
    <w:p>
      <w:pPr>
        <w:spacing w:after="0" w:line="185" w:lineRule="exact"/>
        <w:rPr>
          <w:sz w:val="20"/>
          <w:szCs w:val="20"/>
          <w:color w:val="auto"/>
        </w:rPr>
      </w:pPr>
    </w:p>
    <w:p>
      <w:pPr>
        <w:jc w:val="both"/>
        <w:ind w:left="380" w:firstLine="1503"/>
        <w:spacing w:after="0" w:line="243" w:lineRule="auto"/>
        <w:tabs>
          <w:tab w:leader="none" w:pos="2425" w:val="left"/>
        </w:tabs>
        <w:numPr>
          <w:ilvl w:val="0"/>
          <w:numId w:val="13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any Proceeding referred to in Section 10.13(a) is brought against a Claiming Party and it gives notice to the Defending Party of the commencement of such Proceeding, the Defending Party will, unless the claim involves Taxes, be entitled to participate in such Proceeding and, to the extent that it wishes (unless (i) the Defending Party is also a party to such Proceeding and the Claiming Party determines in good faith that joint representation would be inappropriate, or (ii) the Defending Party fails to provide reasonable assurance to the Claiming Party of its financial capacity to defend such Proceeding and provide indemnification with respect to such Proceeding), to assume the defense of such Proceeding with counsel satisfactory to the Claiming Party and, after notice from the Defending Party to the Claiming Party of its election to assume the defense of such Proceeding, the Defending Party will not, as long as it diligently conducts such defense, be liable to the Claiming Party under this Section 10 for any fees of other counsel or any other expenses with respect to the defense of such Proceeding, in each case subsequently incurred by the Claiming Party in connection with the defense of such Proceeding, other than reasonable costs of investigation. If the Defending Party assumes the defense of a Proceeding, (i) it will be conclusively established for purposes of this Agreement that the claims made in that Proceeding are within the scope of and subject to Sections 6 or 7; (ii) no compromise or settlement of such claims may be effected by the Defending Party without the Claiming Party's consent unless (A) there is no finding or admission of any violation of Legal Requirements or any violation of the rights of any Person and no effect on any other claims that may be made against the Claiming Party, and (B) the sole relief provided is monetary damages that are paid in full by the Defending Party; and (iii) the Claiming Party will have no liability with respect to any compromise or settlement of such claims effected without its consent. If notice is given to an Defending Party of the commencement of any Proceeding and the Defending Party does not, within ten days after the Claiming Party's notice is given, give notice to the Claiming Party of its election to assume the defense of such Proceeding, the Defending Party will be bound by any determination made in such Proceeding or any compromise or settlement effected by the Claiming Party.</w:t>
      </w:r>
    </w:p>
    <w:p>
      <w:pPr>
        <w:spacing w:after="0" w:line="176" w:lineRule="exact"/>
        <w:rPr>
          <w:sz w:val="20"/>
          <w:szCs w:val="20"/>
          <w:color w:val="auto"/>
        </w:rPr>
      </w:pPr>
    </w:p>
    <w:p>
      <w:pPr>
        <w:ind w:left="380" w:right="14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10.14Procedure for Other Claims</w:t>
      </w:r>
      <w:r>
        <w:rPr>
          <w:rFonts w:ascii="Times New Roman" w:cs="Times New Roman" w:eastAsia="Times New Roman" w:hAnsi="Times New Roman"/>
          <w:sz w:val="22"/>
          <w:szCs w:val="22"/>
          <w:color w:val="auto"/>
        </w:rPr>
        <w:t>. A claim for any matter not involving a third-party claim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asserted by notice to the party against whom the claim is made.</w:t>
      </w:r>
    </w:p>
    <w:p>
      <w:pPr>
        <w:spacing w:after="0" w:line="150" w:lineRule="exact"/>
        <w:rPr>
          <w:sz w:val="20"/>
          <w:szCs w:val="20"/>
          <w:color w:val="auto"/>
        </w:rPr>
      </w:pPr>
    </w:p>
    <w:p>
      <w:pPr>
        <w:ind w:left="1140" w:hanging="755"/>
        <w:spacing w:after="0"/>
        <w:tabs>
          <w:tab w:leader="none" w:pos="1140"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eller</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elease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380"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11.1</w:t>
      </w:r>
      <w:r>
        <w:rPr>
          <w:rFonts w:ascii="Times New Roman" w:cs="Times New Roman" w:eastAsia="Times New Roman" w:hAnsi="Times New Roman"/>
          <w:sz w:val="22"/>
          <w:szCs w:val="22"/>
          <w:color w:val="auto"/>
        </w:rPr>
        <w:t>Effective as of the Closing, the Seller, on behalf of himself, and his Related Persons,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agents, representatives, successors and assigns (collectively, the “</w:t>
      </w:r>
      <w:r>
        <w:rPr>
          <w:rFonts w:ascii="Times New Roman" w:cs="Times New Roman" w:eastAsia="Times New Roman" w:hAnsi="Times New Roman"/>
          <w:sz w:val="22"/>
          <w:szCs w:val="22"/>
          <w:b w:val="1"/>
          <w:bCs w:val="1"/>
          <w:i w:val="1"/>
          <w:iCs w:val="1"/>
          <w:color w:val="auto"/>
        </w:rPr>
        <w:t>Seller Releasing Parties</w:t>
      </w:r>
      <w:r>
        <w:rPr>
          <w:rFonts w:ascii="Times New Roman" w:cs="Times New Roman" w:eastAsia="Times New Roman" w:hAnsi="Times New Roman"/>
          <w:sz w:val="22"/>
          <w:szCs w:val="22"/>
          <w:color w:val="auto"/>
        </w:rPr>
        <w:t>”) hereby unconditionally and irrevocably waives, releases and forever discharges the the Company and its partners, members, predecessors, directors, officers, employees, agents, representatives, successors and assigns (each a “</w:t>
      </w:r>
      <w:r>
        <w:rPr>
          <w:rFonts w:ascii="Times New Roman" w:cs="Times New Roman" w:eastAsia="Times New Roman" w:hAnsi="Times New Roman"/>
          <w:sz w:val="22"/>
          <w:szCs w:val="22"/>
          <w:b w:val="1"/>
          <w:bCs w:val="1"/>
          <w:i w:val="1"/>
          <w:iCs w:val="1"/>
          <w:color w:val="auto"/>
        </w:rPr>
        <w:t>Releasee</w:t>
      </w:r>
      <w:r>
        <w:rPr>
          <w:rFonts w:ascii="Times New Roman" w:cs="Times New Roman" w:eastAsia="Times New Roman" w:hAnsi="Times New Roman"/>
          <w:sz w:val="22"/>
          <w:szCs w:val="22"/>
          <w:color w:val="auto"/>
        </w:rPr>
        <w:t>”) from any and all claims, demands and causes of action, whether known or unknown, liquidated or contingent, relating to or arising in connection with the operation of the business of the Company on or prior to the Closing Date; provided, however, that such release shall not operate to release any such Releasee from any of the terms, conditions or other obligations that arise under this Agreement.</w:t>
      </w:r>
    </w:p>
    <w:p>
      <w:pPr>
        <w:spacing w:after="0" w:line="174" w:lineRule="exact"/>
        <w:rPr>
          <w:sz w:val="20"/>
          <w:szCs w:val="20"/>
          <w:color w:val="auto"/>
        </w:rPr>
      </w:pPr>
    </w:p>
    <w:p>
      <w:pPr>
        <w:ind w:left="1140" w:hanging="755"/>
        <w:spacing w:after="0"/>
        <w:tabs>
          <w:tab w:leader="none" w:pos="1140" w:val="left"/>
        </w:tabs>
        <w:numPr>
          <w:ilvl w:val="0"/>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rovisions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38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12.1Payments</w:t>
      </w:r>
      <w:r>
        <w:rPr>
          <w:rFonts w:ascii="Times New Roman" w:cs="Times New Roman" w:eastAsia="Times New Roman" w:hAnsi="Times New Roman"/>
          <w:sz w:val="22"/>
          <w:szCs w:val="22"/>
          <w:color w:val="auto"/>
        </w:rPr>
        <w:t>. All sums payable by the Buyer to the Seller under this Agreement shall be paid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free of all deductions or withholdings, save that the Buyer shall be entitled to set off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856615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40" w:right="719" w:bottom="1440" w:gutter="0" w:footer="0" w:header="0"/>
        </w:sectPr>
      </w:pPr>
    </w:p>
    <w:bookmarkStart w:id="92" w:name="page93"/>
    <w:bookmarkEnd w:id="92"/>
    <w:p>
      <w:pPr>
        <w:ind w:left="380"/>
        <w:spacing w:after="0"/>
        <w:rPr>
          <w:sz w:val="20"/>
          <w:szCs w:val="20"/>
          <w:color w:val="auto"/>
        </w:rPr>
      </w:pPr>
      <w:r>
        <w:rPr>
          <w:rFonts w:ascii="Times New Roman" w:cs="Times New Roman" w:eastAsia="Times New Roman" w:hAnsi="Times New Roman"/>
          <w:sz w:val="22"/>
          <w:szCs w:val="22"/>
          <w:color w:val="auto"/>
        </w:rPr>
        <w:t>any payments it is to make to the Seller any claims it may have against the Seller.</w:t>
      </w:r>
    </w:p>
    <w:p>
      <w:pPr>
        <w:spacing w:after="0" w:line="202" w:lineRule="exact"/>
        <w:rPr>
          <w:sz w:val="20"/>
          <w:szCs w:val="20"/>
          <w:color w:val="auto"/>
        </w:rPr>
      </w:pPr>
    </w:p>
    <w:p>
      <w:pPr>
        <w:jc w:val="both"/>
        <w:ind w:left="380"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12.2Expenses</w:t>
      </w:r>
      <w:r>
        <w:rPr>
          <w:rFonts w:ascii="Times New Roman" w:cs="Times New Roman" w:eastAsia="Times New Roman" w:hAnsi="Times New Roman"/>
          <w:sz w:val="22"/>
          <w:szCs w:val="22"/>
          <w:color w:val="auto"/>
        </w:rPr>
        <w:t>. Except as otherwise expressly provided in this Agreement, each party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will bear its respective expenses incurred in connection with the preparation, execution, and performance of this Agreement and the transactions contemplated hereby, including all fees and expenses of agents, representatives, counsel, and accountants. The Seller will cause the Company not to incur any out-of-pocket expenses in connection with this Agreement. In the event of termination of this Agreement, the obligation of each party to pay its own expenses will be subject to any rights of such party arising from a breach of this Agreement by another party.</w:t>
      </w:r>
    </w:p>
    <w:p>
      <w:pPr>
        <w:spacing w:after="0" w:line="176" w:lineRule="exact"/>
        <w:rPr>
          <w:sz w:val="20"/>
          <w:szCs w:val="20"/>
          <w:color w:val="auto"/>
        </w:rPr>
      </w:pPr>
    </w:p>
    <w:p>
      <w:pPr>
        <w:jc w:val="both"/>
        <w:ind w:left="380"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12.3Public Announcements</w:t>
      </w:r>
      <w:r>
        <w:rPr>
          <w:rFonts w:ascii="Times New Roman" w:cs="Times New Roman" w:eastAsia="Times New Roman" w:hAnsi="Times New Roman"/>
          <w:sz w:val="22"/>
          <w:szCs w:val="22"/>
          <w:color w:val="auto"/>
        </w:rPr>
        <w:t>. Any public announcement or similar publicity with respect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the transactions contemplated hereby will be issued, if at all, at such time and in such manner as the Buyer determines, subject to any restrictions or requirements under MICAR. Unless consented to by the Buyer in advance or required by Legal Requirements, the Seller shall, and shall prior to the Closing cause the Company to, keep this Agreement strictly confidential and may not make any disclosure of this Agreement to any Person. The Seller and the Buyer will consult with each other concerning the means by which the Company’s employees, customers, and suppliers and others having dealings with the Company will be informed of the transactions contemplated hereby, and Buyer will have the right to be present for any such communication.</w:t>
      </w:r>
    </w:p>
    <w:p>
      <w:pPr>
        <w:spacing w:after="0" w:line="174" w:lineRule="exact"/>
        <w:rPr>
          <w:sz w:val="20"/>
          <w:szCs w:val="20"/>
          <w:color w:val="auto"/>
        </w:rPr>
      </w:pPr>
    </w:p>
    <w:p>
      <w:pPr>
        <w:jc w:val="both"/>
        <w:ind w:left="380" w:right="2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12.4Notices</w:t>
      </w:r>
      <w:r>
        <w:rPr>
          <w:rFonts w:ascii="Times New Roman" w:cs="Times New Roman" w:eastAsia="Times New Roman" w:hAnsi="Times New Roman"/>
          <w:sz w:val="22"/>
          <w:szCs w:val="22"/>
          <w:color w:val="auto"/>
        </w:rPr>
        <w:t>. All notices, consents, waivers, and other communications under this Agreement must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in writing and will be deemed to have been duly given when: (a) delivered by hand, (b) sent by email to the appropriate email address set forth below (or to such other email address as a party may designate by notice in writing to the other parties):</w:t>
      </w:r>
    </w:p>
    <w:p>
      <w:pPr>
        <w:spacing w:after="0" w:line="176" w:lineRule="exact"/>
        <w:rPr>
          <w:sz w:val="20"/>
          <w:szCs w:val="20"/>
          <w:color w:val="auto"/>
        </w:rPr>
      </w:pPr>
    </w:p>
    <w:p>
      <w:pPr>
        <w:ind w:left="1140"/>
        <w:spacing w:after="0"/>
        <w:tabs>
          <w:tab w:leader="none" w:pos="1980" w:val="left"/>
        </w:tabs>
        <w:rPr>
          <w:sz w:val="20"/>
          <w:szCs w:val="20"/>
          <w:color w:val="auto"/>
        </w:rPr>
      </w:pPr>
      <w:r>
        <w:rPr>
          <w:rFonts w:ascii="Times New Roman" w:cs="Times New Roman" w:eastAsia="Times New Roman" w:hAnsi="Times New Roman"/>
          <w:sz w:val="22"/>
          <w:szCs w:val="22"/>
          <w:color w:val="auto"/>
        </w:rPr>
        <w:t>Seller:</w:t>
        <w:tab/>
        <w:t>Marcel Fohrmann</w:t>
      </w:r>
    </w:p>
    <w:p>
      <w:pPr>
        <w:spacing w:after="0" w:line="16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Email Address:</w:t>
      </w:r>
    </w:p>
    <w:p>
      <w:pPr>
        <w:spacing w:after="0" w:line="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Buyer:</w:t>
      </w:r>
    </w:p>
    <w:p>
      <w:pPr>
        <w:spacing w:after="0" w:line="98" w:lineRule="exact"/>
        <w:rPr>
          <w:sz w:val="20"/>
          <w:szCs w:val="20"/>
          <w:color w:val="auto"/>
        </w:rPr>
      </w:pPr>
    </w:p>
    <w:p>
      <w:pPr>
        <w:ind w:left="2640"/>
        <w:spacing w:after="0"/>
        <w:tabs>
          <w:tab w:leader="none" w:pos="390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Dan Wagner</w:t>
      </w:r>
    </w:p>
    <w:p>
      <w:pPr>
        <w:spacing w:after="0" w:line="1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Email Address :</w:t>
      </w:r>
    </w:p>
    <w:p>
      <w:pPr>
        <w:spacing w:after="0" w:line="7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with a copy to:</w:t>
      </w:r>
    </w:p>
    <w:p>
      <w:pPr>
        <w:spacing w:after="0" w:line="98" w:lineRule="exact"/>
        <w:rPr>
          <w:sz w:val="20"/>
          <w:szCs w:val="20"/>
          <w:color w:val="auto"/>
        </w:rPr>
      </w:pPr>
    </w:p>
    <w:p>
      <w:pPr>
        <w:ind w:left="2640"/>
        <w:spacing w:after="0"/>
        <w:tabs>
          <w:tab w:leader="none" w:pos="390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Raymond McKeeve</w:t>
      </w:r>
    </w:p>
    <w:p>
      <w:pPr>
        <w:spacing w:after="0" w:line="1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Email Address:</w:t>
      </w:r>
    </w:p>
    <w:p>
      <w:pPr>
        <w:spacing w:after="0" w:line="178" w:lineRule="exact"/>
        <w:rPr>
          <w:sz w:val="20"/>
          <w:szCs w:val="20"/>
          <w:color w:val="auto"/>
        </w:rPr>
      </w:pPr>
    </w:p>
    <w:p>
      <w:pPr>
        <w:jc w:val="both"/>
        <w:ind w:left="380"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12.5Jurisdiction; Service of Process</w:t>
      </w:r>
      <w:r>
        <w:rPr>
          <w:rFonts w:ascii="Times New Roman" w:cs="Times New Roman" w:eastAsia="Times New Roman" w:hAnsi="Times New Roman"/>
          <w:sz w:val="22"/>
          <w:szCs w:val="22"/>
          <w:color w:val="auto"/>
        </w:rPr>
        <w:t>. Any action or proceeding seeking to enforce any provision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or based on any right arising out of, this Agreement may be brought against any of the parties in the courts at the seat of the Company, and each of the parties consents to the jurisdiction of such courts (and of the appropriate appellate courts) in any such action or proceeding and waives any objection to venue laid therein. Process in any action or proceeding referred to in the preceding sentence may be served on any party anywhere in the world.</w:t>
      </w:r>
    </w:p>
    <w:p>
      <w:pPr>
        <w:spacing w:after="0" w:line="175" w:lineRule="exact"/>
        <w:rPr>
          <w:sz w:val="20"/>
          <w:szCs w:val="20"/>
          <w:color w:val="auto"/>
        </w:rPr>
      </w:pPr>
    </w:p>
    <w:p>
      <w:pPr>
        <w:jc w:val="both"/>
        <w:ind w:left="38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12.6Further Assurances</w:t>
      </w:r>
      <w:r>
        <w:rPr>
          <w:rFonts w:ascii="Times New Roman" w:cs="Times New Roman" w:eastAsia="Times New Roman" w:hAnsi="Times New Roman"/>
          <w:sz w:val="22"/>
          <w:szCs w:val="22"/>
          <w:color w:val="auto"/>
        </w:rPr>
        <w:t>. The Parties agree: (a) to furnish upon request to each other such further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(b) to execute and deliver to each other such other documents, (c) to do such other acts and things, all as the other party may reasonably request for the purpose of carrying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868045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08" w:right="719" w:bottom="1440" w:gutter="0" w:footer="0" w:header="0"/>
        </w:sectPr>
      </w:pPr>
    </w:p>
    <w:bookmarkStart w:id="93" w:name="page94"/>
    <w:bookmarkEnd w:id="93"/>
    <w:p>
      <w:pPr>
        <w:spacing w:after="0" w:line="185" w:lineRule="exact"/>
        <w:rPr>
          <w:sz w:val="20"/>
          <w:szCs w:val="20"/>
          <w:color w:val="auto"/>
        </w:rPr>
      </w:pPr>
    </w:p>
    <w:p>
      <w:pPr>
        <w:jc w:val="both"/>
        <w:ind w:left="380"/>
        <w:spacing w:after="0" w:line="238" w:lineRule="auto"/>
        <w:rPr>
          <w:sz w:val="20"/>
          <w:szCs w:val="20"/>
          <w:color w:val="auto"/>
        </w:rPr>
      </w:pPr>
      <w:r>
        <w:rPr>
          <w:rFonts w:ascii="Times New Roman" w:cs="Times New Roman" w:eastAsia="Times New Roman" w:hAnsi="Times New Roman"/>
          <w:sz w:val="22"/>
          <w:szCs w:val="22"/>
          <w:color w:val="auto"/>
        </w:rPr>
        <w:t>out the intent of this Agreement and the documents referred to in this Agreement, and (d) cooperate in good faith with the Buyer with respect to representations and warranties reasonably requested in connection with a future sale transaction for the Company, and which in either case shall be limited in scope, duration, survivability and indemnification to, and consistent with, the representations and warranties in this Agreement.</w:t>
      </w:r>
    </w:p>
    <w:p>
      <w:pPr>
        <w:spacing w:after="0" w:line="173" w:lineRule="exact"/>
        <w:rPr>
          <w:sz w:val="20"/>
          <w:szCs w:val="20"/>
          <w:color w:val="auto"/>
        </w:rPr>
      </w:pPr>
    </w:p>
    <w:p>
      <w:pPr>
        <w:jc w:val="both"/>
        <w:ind w:left="380"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12.7Waiver</w:t>
      </w:r>
      <w:r>
        <w:rPr>
          <w:rFonts w:ascii="Times New Roman" w:cs="Times New Roman" w:eastAsia="Times New Roman" w:hAnsi="Times New Roman"/>
          <w:sz w:val="22"/>
          <w:szCs w:val="22"/>
          <w:color w:val="auto"/>
        </w:rPr>
        <w:t>. The rights and remedies of the parties to this Agreement are cumulative and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alternative. Neither the failure nor any delay by any party in exercising any right, power, or privilege under this Agreement or the documents referred to in this Agreement will operate as a waiver of such right, power, or privilege, and no single or partial exercise of any such right, power, or privilege will preclude any other or further exercise of such right, power, or privilege or the exercise of any other right, power, or privilege. To the maximum extent permitted by applicable law: (a) no claim or right arising out of this Agreement or the documents referred to in this Agreement can be discharged by one party, in whole or in part, by a waiver or renunciation of the claim or right unless in writing signed by the other party; (b) no waiver that may be given by a party will be applicable except in the specific instance for which it is given; and (c) no notice to or demand on one party will be deemed to be a waiver of any obligation of such party or of the right of the party giving such notice or demand to take further action without notice or demand as provided in this Agreement or the documents referred to in this Agreement.</w:t>
      </w:r>
    </w:p>
    <w:p>
      <w:pPr>
        <w:spacing w:after="0" w:line="185" w:lineRule="exact"/>
        <w:rPr>
          <w:sz w:val="20"/>
          <w:szCs w:val="20"/>
          <w:color w:val="auto"/>
        </w:rPr>
      </w:pPr>
    </w:p>
    <w:p>
      <w:pPr>
        <w:jc w:val="both"/>
        <w:ind w:left="38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12.8Entire Agreement and Modification</w:t>
      </w:r>
      <w:r>
        <w:rPr>
          <w:rFonts w:ascii="Times New Roman" w:cs="Times New Roman" w:eastAsia="Times New Roman" w:hAnsi="Times New Roman"/>
          <w:sz w:val="22"/>
          <w:szCs w:val="22"/>
          <w:color w:val="auto"/>
        </w:rPr>
        <w:t>. This Agreement supersedes all prior agreements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parties with respect to its subject matter and constitutes (along with the documents referred to in this Agreement) a complete and exclusive statement of the terms of the agreement between the parties with respect to its subject matter. This Agreement may not be amended except by a written agreement executed by the party to be charged with the amendment.</w:t>
      </w:r>
    </w:p>
    <w:p>
      <w:pPr>
        <w:spacing w:after="0" w:line="177" w:lineRule="exact"/>
        <w:rPr>
          <w:sz w:val="20"/>
          <w:szCs w:val="20"/>
          <w:color w:val="auto"/>
        </w:rPr>
      </w:pPr>
    </w:p>
    <w:p>
      <w:pPr>
        <w:ind w:left="1140"/>
        <w:spacing w:after="0"/>
        <w:tabs>
          <w:tab w:leader="none" w:pos="1860" w:val="left"/>
        </w:tabs>
        <w:rPr>
          <w:sz w:val="20"/>
          <w:szCs w:val="20"/>
          <w:color w:val="auto"/>
        </w:rPr>
      </w:pPr>
      <w:r>
        <w:rPr>
          <w:rFonts w:ascii="Times New Roman" w:cs="Times New Roman" w:eastAsia="Times New Roman" w:hAnsi="Times New Roman"/>
          <w:sz w:val="22"/>
          <w:szCs w:val="22"/>
          <w:b w:val="1"/>
          <w:bCs w:val="1"/>
          <w:color w:val="auto"/>
        </w:rPr>
        <w:t>12.9</w:t>
      </w:r>
      <w:r>
        <w:rPr>
          <w:sz w:val="20"/>
          <w:szCs w:val="20"/>
          <w:color w:val="auto"/>
        </w:rPr>
        <w:tab/>
      </w:r>
      <w:r>
        <w:rPr>
          <w:rFonts w:ascii="Times New Roman" w:cs="Times New Roman" w:eastAsia="Times New Roman" w:hAnsi="Times New Roman"/>
          <w:sz w:val="21"/>
          <w:szCs w:val="21"/>
          <w:b w:val="1"/>
          <w:bCs w:val="1"/>
          <w:color w:val="auto"/>
        </w:rPr>
        <w:t>Omitted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380"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12.10Assignments, Successors, and no Third-Party Rights</w:t>
      </w:r>
      <w:r>
        <w:rPr>
          <w:rFonts w:ascii="Times New Roman" w:cs="Times New Roman" w:eastAsia="Times New Roman" w:hAnsi="Times New Roman"/>
          <w:sz w:val="22"/>
          <w:szCs w:val="22"/>
          <w:color w:val="auto"/>
        </w:rPr>
        <w:t>. No Party may assign any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under this Agreement without the prior consent of the other Parties, which will not be unreasonably withheld, except that the Buyer may assign any of its rights under this Agreement to any Subsidiary of the Buyer. Subject to the preceding sentence, this Agreement will apply to, be binding in all respects upon, and inure to the benefit of the successors and permitted assigns of the parties. Nothing expressed or referred to in this Agreement will be construed to give any Person other than the parties to this Agreement any legal or equitable right, remedy, or claim under or with respect to this Agreement or any provision of this Agreement. This Agreement and all of its provisions and conditions are for the sole and exclusive benefit of the parties to this Agreement and their successors and assigns.</w:t>
      </w:r>
    </w:p>
    <w:p>
      <w:pPr>
        <w:spacing w:after="0" w:line="174" w:lineRule="exact"/>
        <w:rPr>
          <w:sz w:val="20"/>
          <w:szCs w:val="20"/>
          <w:color w:val="auto"/>
        </w:rPr>
      </w:pPr>
    </w:p>
    <w:p>
      <w:pPr>
        <w:jc w:val="both"/>
        <w:ind w:left="38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12.11Severability</w:t>
      </w:r>
      <w:r>
        <w:rPr>
          <w:rFonts w:ascii="Times New Roman" w:cs="Times New Roman" w:eastAsia="Times New Roman" w:hAnsi="Times New Roman"/>
          <w:sz w:val="22"/>
          <w:szCs w:val="22"/>
          <w:color w:val="auto"/>
        </w:rPr>
        <w:t>. If any provision of this Agreement is held invalid or unenforceable by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court of competent jurisdiction, the other provisions of this Agreement will remain in full force and effect. Any provision of this Agreement held invalid or unenforceable only in part or degree will remain in full force and effect to the extent not held invalid or unenforceable.</w:t>
      </w:r>
    </w:p>
    <w:p>
      <w:pPr>
        <w:spacing w:after="0" w:line="172" w:lineRule="exact"/>
        <w:rPr>
          <w:sz w:val="20"/>
          <w:szCs w:val="20"/>
          <w:color w:val="auto"/>
        </w:rPr>
      </w:pPr>
    </w:p>
    <w:p>
      <w:pPr>
        <w:jc w:val="both"/>
        <w:ind w:left="38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12.12Section Headings, Construction</w:t>
      </w:r>
      <w:r>
        <w:rPr>
          <w:rFonts w:ascii="Times New Roman" w:cs="Times New Roman" w:eastAsia="Times New Roman" w:hAnsi="Times New Roman"/>
          <w:sz w:val="22"/>
          <w:szCs w:val="22"/>
          <w:color w:val="auto"/>
        </w:rPr>
        <w:t>. The headings of Sections in this Agreement are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convenience only and will not affect its construction or interpretation. All references to “Section” or “Sections” refer to the corresponding Section or Sections of this Agreement.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868045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40" w:right="719" w:bottom="1440" w:gutter="0" w:footer="0" w:header="0"/>
        </w:sectPr>
      </w:pPr>
    </w:p>
    <w:bookmarkStart w:id="94" w:name="page95"/>
    <w:bookmarkEnd w:id="94"/>
    <w:p>
      <w:pPr>
        <w:spacing w:after="0" w:line="185"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22"/>
          <w:szCs w:val="22"/>
          <w:color w:val="auto"/>
        </w:rPr>
        <w:t>words used in this Agreement will be construed to be of such gender or number as the circumstances require. Unless otherwise expressly provided, the word “including” does not limit the preceding words or terms.</w:t>
      </w:r>
    </w:p>
    <w:p>
      <w:pPr>
        <w:spacing w:after="0" w:line="169" w:lineRule="exact"/>
        <w:rPr>
          <w:sz w:val="20"/>
          <w:szCs w:val="20"/>
          <w:color w:val="auto"/>
        </w:rPr>
      </w:pPr>
    </w:p>
    <w:p>
      <w:pPr>
        <w:jc w:val="both"/>
        <w:ind w:left="38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12.13Time of Essence</w:t>
      </w:r>
      <w:r>
        <w:rPr>
          <w:rFonts w:ascii="Times New Roman" w:cs="Times New Roman" w:eastAsia="Times New Roman" w:hAnsi="Times New Roman"/>
          <w:sz w:val="22"/>
          <w:szCs w:val="22"/>
          <w:color w:val="auto"/>
        </w:rPr>
        <w:t>. With regard to all dates and time periods set forth or referred to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time is of the essence.</w:t>
      </w:r>
    </w:p>
    <w:p>
      <w:pPr>
        <w:spacing w:after="0" w:line="150" w:lineRule="exact"/>
        <w:rPr>
          <w:sz w:val="20"/>
          <w:szCs w:val="20"/>
          <w:color w:val="auto"/>
        </w:rPr>
      </w:pPr>
    </w:p>
    <w:p>
      <w:pPr>
        <w:jc w:val="both"/>
        <w:ind w:left="38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12.14Governing Law</w:t>
      </w:r>
      <w:r>
        <w:rPr>
          <w:rFonts w:ascii="Times New Roman" w:cs="Times New Roman" w:eastAsia="Times New Roman" w:hAnsi="Times New Roman"/>
          <w:sz w:val="22"/>
          <w:szCs w:val="22"/>
          <w:color w:val="auto"/>
        </w:rPr>
        <w:t>. This Agreement will be governed by the laws of Switzerland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regard to conflicts of laws principles.</w:t>
      </w:r>
    </w:p>
    <w:p>
      <w:pPr>
        <w:spacing w:after="0" w:line="150" w:lineRule="exact"/>
        <w:rPr>
          <w:sz w:val="20"/>
          <w:szCs w:val="20"/>
          <w:color w:val="auto"/>
        </w:rPr>
      </w:pPr>
    </w:p>
    <w:p>
      <w:pPr>
        <w:jc w:val="both"/>
        <w:ind w:left="38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12.15Counterparts</w:t>
      </w:r>
      <w:r>
        <w:rPr>
          <w:rFonts w:ascii="Times New Roman" w:cs="Times New Roman" w:eastAsia="Times New Roman" w:hAnsi="Times New Roman"/>
          <w:sz w:val="22"/>
          <w:szCs w:val="22"/>
          <w:color w:val="auto"/>
        </w:rPr>
        <w:t>. This Agreement may be executed in one or more counterparts, each of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deemed to be an original copy of this Agreement and all of which, when taken together, will be deemed to constitute one and the same agreement.</w:t>
      </w:r>
    </w:p>
    <w:p>
      <w:pPr>
        <w:spacing w:after="0" w:line="167" w:lineRule="exact"/>
        <w:rPr>
          <w:sz w:val="20"/>
          <w:szCs w:val="20"/>
          <w:color w:val="auto"/>
        </w:rPr>
      </w:pPr>
    </w:p>
    <w:p>
      <w:pPr>
        <w:jc w:val="both"/>
        <w:ind w:left="38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12.16Execution</w:t>
      </w:r>
      <w:r>
        <w:rPr>
          <w:rFonts w:ascii="Times New Roman" w:cs="Times New Roman" w:eastAsia="Times New Roman" w:hAnsi="Times New Roman"/>
          <w:sz w:val="22"/>
          <w:szCs w:val="22"/>
          <w:color w:val="auto"/>
        </w:rPr>
        <w:t>. This Agreement and any amendments or supplements thereto or mutually agreed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cancellation thereof, shall be treated as a handwritten original delivered in person, to the extent that they are executed (i) using an electronic signature (such as DocuSign, Skribble or Adobe Sign, whether or not the electronic signature is issued by a provider recognized or accredited under applicable law) or (ii) by email delivery of a hand-signed 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873760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40" w:right="719" w:bottom="1440" w:gutter="0" w:footer="0" w:header="0"/>
        </w:sectPr>
      </w:pPr>
    </w:p>
    <w:bookmarkStart w:id="95" w:name="page96"/>
    <w:bookmarkEnd w:id="95"/>
    <w:p>
      <w:pPr>
        <w:spacing w:after="0" w:line="200" w:lineRule="exact"/>
        <w:rPr>
          <w:sz w:val="20"/>
          <w:szCs w:val="20"/>
          <w:color w:val="auto"/>
        </w:rPr>
      </w:pPr>
    </w:p>
    <w:p>
      <w:pPr>
        <w:spacing w:after="0" w:line="372" w:lineRule="exact"/>
        <w:rPr>
          <w:sz w:val="20"/>
          <w:szCs w:val="20"/>
          <w:color w:val="auto"/>
        </w:rPr>
      </w:pPr>
    </w:p>
    <w:p>
      <w:pPr>
        <w:ind w:left="38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color w:val="auto"/>
        </w:rPr>
        <w:t>, the parties have executed and delivered this Agreement as of the date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above.</w:t>
      </w:r>
    </w:p>
    <w:p>
      <w:pPr>
        <w:spacing w:after="0" w:line="1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4"/>
          <w:szCs w:val="14"/>
          <w:b w:val="1"/>
          <w:bCs w:val="1"/>
          <w:color w:val="auto"/>
        </w:rPr>
        <w:t>uyer</w:t>
      </w:r>
      <w:r>
        <w:rPr>
          <w:rFonts w:ascii="Times New Roman" w:cs="Times New Roman" w:eastAsia="Times New Roman" w:hAnsi="Times New Roman"/>
          <w:sz w:val="22"/>
          <w:szCs w:val="22"/>
          <w:b w:val="1"/>
          <w:bCs w:val="1"/>
          <w:color w:val="auto"/>
        </w:rPr>
        <w:t>:</w:t>
      </w:r>
    </w:p>
    <w:p>
      <w:pPr>
        <w:spacing w:after="0" w:line="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ezolve ai</w:t>
      </w:r>
    </w:p>
    <w:p>
      <w:pPr>
        <w:ind w:left="1140"/>
        <w:spacing w:after="0"/>
        <w:rPr>
          <w:sz w:val="20"/>
          <w:szCs w:val="20"/>
          <w:color w:val="auto"/>
        </w:rPr>
      </w:pPr>
      <w:r>
        <w:rPr>
          <w:rFonts w:ascii="Times New Roman" w:cs="Times New Roman" w:eastAsia="Times New Roman" w:hAnsi="Times New Roman"/>
          <w:sz w:val="22"/>
          <w:szCs w:val="22"/>
          <w:b w:val="1"/>
          <w:bCs w:val="1"/>
          <w:color w:val="auto"/>
        </w:rPr>
        <w:t>PLC</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:/s/</w:t>
      </w:r>
      <w:r>
        <w:rPr>
          <w:rFonts w:ascii="Times New Roman" w:cs="Times New Roman" w:eastAsia="Times New Roman" w:hAnsi="Times New Roman"/>
          <w:sz w:val="22"/>
          <w:szCs w:val="22"/>
          <w:color w:val="auto"/>
        </w:rPr>
        <w:t xml:space="preserve"> </w:t>
      </w:r>
      <w:r>
        <w:rPr>
          <w:rFonts w:ascii="Arial" w:cs="Arial" w:eastAsia="Arial" w:hAnsi="Arial"/>
          <w:sz w:val="17"/>
          <w:szCs w:val="17"/>
          <w:color w:val="030303"/>
        </w:rPr>
        <w:t>Dan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1047750</wp:posOffset>
            </wp:positionH>
            <wp:positionV relativeFrom="paragraph">
              <wp:posOffset>-13970</wp:posOffset>
            </wp:positionV>
            <wp:extent cx="8775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77570" cy="8255"/>
                    </a:xfrm>
                    <a:prstGeom prst="rect">
                      <a:avLst/>
                    </a:prstGeom>
                    <a:noFill/>
                  </pic:spPr>
                </pic:pic>
              </a:graphicData>
            </a:graphic>
          </wp:anchor>
        </w:drawing>
      </w:r>
    </w:p>
    <w:p>
      <w:pPr>
        <w:spacing w:after="0" w:line="18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 xml:space="preserve">Its: </w:t>
      </w:r>
      <w:r>
        <w:rPr>
          <w:rFonts w:ascii="Arial" w:cs="Arial" w:eastAsia="Arial" w:hAnsi="Arial"/>
          <w:sz w:val="17"/>
          <w:szCs w:val="17"/>
          <w:color w:val="030303"/>
        </w:rPr>
        <w:t>Chairman and CEO</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eller</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/s/ Marcel Fohrmann</w:t>
      </w:r>
    </w:p>
    <w:p>
      <w:pPr>
        <w:spacing w:after="0" w:line="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arcel</w:t>
      </w:r>
      <w:r>
        <w:rPr>
          <w:rFonts w:ascii="Times New Roman" w:cs="Times New Roman" w:eastAsia="Times New Roman" w:hAnsi="Times New Roman"/>
          <w:sz w:val="22"/>
          <w:szCs w:val="22"/>
          <w:b w:val="1"/>
          <w:bCs w:val="1"/>
          <w:color w:val="auto"/>
        </w:rPr>
        <w:t xml:space="preserve"> F</w:t>
      </w:r>
      <w:r>
        <w:rPr>
          <w:rFonts w:ascii="Times New Roman" w:cs="Times New Roman" w:eastAsia="Times New Roman" w:hAnsi="Times New Roman"/>
          <w:sz w:val="14"/>
          <w:szCs w:val="14"/>
          <w:b w:val="1"/>
          <w:bCs w:val="1"/>
          <w:color w:val="auto"/>
        </w:rPr>
        <w:t>ohrmann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1148715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20"/>
          </w:cols>
          <w:pgMar w:left="1440" w:top="1440" w:right="9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Rezolve Ai Acquires Smartpay to Power Global Digital Asset Payment Infrastructure</w:t>
      </w:r>
    </w:p>
    <w:p>
      <w:pPr>
        <w:spacing w:after="0" w:line="258" w:lineRule="exact"/>
        <w:rPr>
          <w:sz w:val="20"/>
          <w:szCs w:val="20"/>
          <w:color w:val="auto"/>
        </w:rPr>
      </w:pPr>
    </w:p>
    <w:p>
      <w:pPr>
        <w:jc w:val="center"/>
        <w:ind w:left="340" w:right="180"/>
        <w:spacing w:after="0" w:line="285" w:lineRule="auto"/>
        <w:rPr>
          <w:sz w:val="20"/>
          <w:szCs w:val="20"/>
          <w:color w:val="auto"/>
        </w:rPr>
      </w:pPr>
      <w:r>
        <w:rPr>
          <w:rFonts w:ascii="Times New Roman" w:cs="Times New Roman" w:eastAsia="Times New Roman" w:hAnsi="Times New Roman"/>
          <w:sz w:val="25"/>
          <w:szCs w:val="25"/>
          <w:i w:val="1"/>
          <w:iCs w:val="1"/>
          <w:color w:val="auto"/>
        </w:rPr>
        <w:t>Over $1B in annual USDT transaction volume provides the foundation for Rezolve’s multi-asset, merchant-fee-free payments initiative with Tether.</w:t>
      </w:r>
    </w:p>
    <w:p>
      <w:pPr>
        <w:spacing w:after="0" w:line="1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New York – October 7, 2025 </w:t>
      </w:r>
      <w:r>
        <w:rPr>
          <w:rFonts w:ascii="Times New Roman" w:cs="Times New Roman" w:eastAsia="Times New Roman" w:hAnsi="Times New Roman"/>
          <w:sz w:val="20"/>
          <w:szCs w:val="20"/>
          <w:color w:val="auto"/>
        </w:rPr>
        <w:t>– Rezolve Ai (NASDAQ: RZLV), the category-defining platform at the intersection of AI, commerce,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payments, today announced the acquisition of </w:t>
      </w:r>
      <w:r>
        <w:rPr>
          <w:rFonts w:ascii="Times New Roman" w:cs="Times New Roman" w:eastAsia="Times New Roman" w:hAnsi="Times New Roman"/>
          <w:sz w:val="20"/>
          <w:szCs w:val="20"/>
          <w:b w:val="1"/>
          <w:bCs w:val="1"/>
          <w:color w:val="auto"/>
        </w:rPr>
        <w:t>Smartpay</w:t>
      </w:r>
      <w:r>
        <w:rPr>
          <w:rFonts w:ascii="Times New Roman" w:cs="Times New Roman" w:eastAsia="Times New Roman" w:hAnsi="Times New Roman"/>
          <w:sz w:val="20"/>
          <w:szCs w:val="20"/>
          <w:color w:val="auto"/>
        </w:rPr>
        <w:t xml:space="preserve">, one of the world’s most advanced digital asset payment platforms, which has processed </w:t>
      </w:r>
      <w:r>
        <w:rPr>
          <w:rFonts w:ascii="Times New Roman" w:cs="Times New Roman" w:eastAsia="Times New Roman" w:hAnsi="Times New Roman"/>
          <w:sz w:val="20"/>
          <w:szCs w:val="20"/>
          <w:b w:val="1"/>
          <w:bCs w:val="1"/>
          <w:color w:val="auto"/>
        </w:rPr>
        <w:t>over 19 million commercial transactions, with an aggregate value of more than $1 billion,</w:t>
      </w:r>
      <w:r>
        <w:rPr>
          <w:rFonts w:ascii="Times New Roman" w:cs="Times New Roman" w:eastAsia="Times New Roman" w:hAnsi="Times New Roman"/>
          <w:sz w:val="20"/>
          <w:szCs w:val="20"/>
          <w:color w:val="auto"/>
        </w:rPr>
        <w:t xml:space="preserve"> in the twelve months ending September 30, 2025.</w:t>
      </w:r>
    </w:p>
    <w:p>
      <w:pPr>
        <w:spacing w:after="0" w:line="18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20"/>
          <w:szCs w:val="20"/>
          <w:color w:val="auto"/>
        </w:rPr>
        <w:t xml:space="preserve">The acquisition provides the </w:t>
      </w:r>
      <w:r>
        <w:rPr>
          <w:rFonts w:ascii="Times New Roman" w:cs="Times New Roman" w:eastAsia="Times New Roman" w:hAnsi="Times New Roman"/>
          <w:sz w:val="20"/>
          <w:szCs w:val="20"/>
          <w:b w:val="1"/>
          <w:bCs w:val="1"/>
          <w:color w:val="auto"/>
        </w:rPr>
        <w:t>operational foundation</w:t>
      </w:r>
      <w:r>
        <w:rPr>
          <w:rFonts w:ascii="Times New Roman" w:cs="Times New Roman" w:eastAsia="Times New Roman" w:hAnsi="Times New Roman"/>
          <w:sz w:val="20"/>
          <w:szCs w:val="20"/>
          <w:color w:val="auto"/>
        </w:rPr>
        <w:t xml:space="preserve"> for Rezolve’s </w:t>
      </w:r>
      <w:r>
        <w:rPr>
          <w:rFonts w:ascii="Times New Roman" w:cs="Times New Roman" w:eastAsia="Times New Roman" w:hAnsi="Times New Roman"/>
          <w:sz w:val="20"/>
          <w:szCs w:val="20"/>
          <w:b w:val="1"/>
          <w:bCs w:val="1"/>
          <w:color w:val="auto"/>
        </w:rPr>
        <w:t>strategic initiative with Tether</w:t>
      </w:r>
      <w:r>
        <w:rPr>
          <w:rFonts w:ascii="Times New Roman" w:cs="Times New Roman" w:eastAsia="Times New Roman" w:hAnsi="Times New Roman"/>
          <w:sz w:val="20"/>
          <w:szCs w:val="20"/>
          <w:color w:val="auto"/>
        </w:rPr>
        <w:t xml:space="preserve">, focused on integrating </w:t>
      </w:r>
      <w:r>
        <w:rPr>
          <w:rFonts w:ascii="Times New Roman" w:cs="Times New Roman" w:eastAsia="Times New Roman" w:hAnsi="Times New Roman"/>
          <w:sz w:val="20"/>
          <w:szCs w:val="20"/>
          <w:b w:val="1"/>
          <w:bCs w:val="1"/>
          <w:color w:val="auto"/>
        </w:rPr>
        <w:t>digital assets,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including USDT, BTC, and ETH, into mainstream retail payments</w:t>
      </w:r>
      <w:r>
        <w:rPr>
          <w:rFonts w:ascii="Times New Roman" w:cs="Times New Roman" w:eastAsia="Times New Roman" w:hAnsi="Times New Roman"/>
          <w:sz w:val="20"/>
          <w:szCs w:val="20"/>
          <w:color w:val="auto"/>
        </w:rPr>
        <w:t>. Through this initiative, Rezolve is developing a</w:t>
      </w:r>
      <w:r>
        <w:rPr>
          <w:rFonts w:ascii="Times New Roman" w:cs="Times New Roman" w:eastAsia="Times New Roman" w:hAnsi="Times New Roman"/>
          <w:sz w:val="20"/>
          <w:szCs w:val="20"/>
          <w:b w:val="1"/>
          <w:bCs w:val="1"/>
          <w:color w:val="auto"/>
        </w:rPr>
        <w:t xml:space="preserve"> merchant-fee-free, blockchain-based payment network </w:t>
      </w:r>
      <w:r>
        <w:rPr>
          <w:rFonts w:ascii="Times New Roman" w:cs="Times New Roman" w:eastAsia="Times New Roman" w:hAnsi="Times New Roman"/>
          <w:sz w:val="20"/>
          <w:szCs w:val="20"/>
          <w:color w:val="auto"/>
        </w:rPr>
        <w:t>that will enable consumers to pay using digital assets while merchants will receive</w:t>
      </w:r>
      <w:r>
        <w:rPr>
          <w:rFonts w:ascii="Times New Roman" w:cs="Times New Roman" w:eastAsia="Times New Roman" w:hAnsi="Times New Roman"/>
          <w:sz w:val="20"/>
          <w:szCs w:val="20"/>
          <w:b w:val="1"/>
          <w:bCs w:val="1"/>
          <w:color w:val="auto"/>
        </w:rPr>
        <w:t xml:space="preserve"> instant fiat settlement </w:t>
      </w:r>
      <w:r>
        <w:rPr>
          <w:rFonts w:ascii="Times New Roman" w:cs="Times New Roman" w:eastAsia="Times New Roman" w:hAnsi="Times New Roman"/>
          <w:sz w:val="20"/>
          <w:szCs w:val="20"/>
          <w:color w:val="auto"/>
        </w:rPr>
        <w:t>through Rezolve’s</w:t>
      </w:r>
      <w:r>
        <w:rPr>
          <w:rFonts w:ascii="Times New Roman" w:cs="Times New Roman" w:eastAsia="Times New Roman" w:hAnsi="Times New Roman"/>
          <w:sz w:val="20"/>
          <w:szCs w:val="20"/>
          <w:b w:val="1"/>
          <w:bCs w:val="1"/>
          <w:color w:val="auto"/>
        </w:rPr>
        <w:t xml:space="preserve"> Brain Checkout </w:t>
      </w:r>
      <w:r>
        <w:rPr>
          <w:rFonts w:ascii="Times New Roman" w:cs="Times New Roman" w:eastAsia="Times New Roman" w:hAnsi="Times New Roman"/>
          <w:sz w:val="20"/>
          <w:szCs w:val="20"/>
          <w:color w:val="auto"/>
        </w:rPr>
        <w:t>technology.</w:t>
      </w:r>
    </w:p>
    <w:p>
      <w:pPr>
        <w:spacing w:after="0" w:line="18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color w:val="auto"/>
        </w:rPr>
        <w:t xml:space="preserve">Smartpay’s infrastructure, live across </w:t>
      </w:r>
      <w:r>
        <w:rPr>
          <w:rFonts w:ascii="Times New Roman" w:cs="Times New Roman" w:eastAsia="Times New Roman" w:hAnsi="Times New Roman"/>
          <w:sz w:val="20"/>
          <w:szCs w:val="20"/>
          <w:b w:val="1"/>
          <w:bCs w:val="1"/>
          <w:color w:val="auto"/>
        </w:rPr>
        <w:t>Brazil, Argentina, Colombia, and Angola,</w:t>
      </w:r>
      <w:r>
        <w:rPr>
          <w:rFonts w:ascii="Times New Roman" w:cs="Times New Roman" w:eastAsia="Times New Roman" w:hAnsi="Times New Roman"/>
          <w:sz w:val="20"/>
          <w:szCs w:val="20"/>
          <w:color w:val="auto"/>
        </w:rPr>
        <w:t xml:space="preserve"> already handles tens of millions of stablecoin transactions annually, making it one of the largest real-world digital asset commerce networks in operation today and instantly extends Rezolve’s payment capabilities across key emerging markets. Rezolve believes that this provides a working model and tested transaction framework for </w:t>
      </w:r>
      <w:r>
        <w:rPr>
          <w:rFonts w:ascii="Times New Roman" w:cs="Times New Roman" w:eastAsia="Times New Roman" w:hAnsi="Times New Roman"/>
          <w:sz w:val="20"/>
          <w:szCs w:val="20"/>
          <w:b w:val="1"/>
          <w:bCs w:val="1"/>
          <w:color w:val="auto"/>
        </w:rPr>
        <w:t>scaling digital asset payments globally</w:t>
      </w:r>
      <w:r>
        <w:rPr>
          <w:rFonts w:ascii="Times New Roman" w:cs="Times New Roman" w:eastAsia="Times New Roman" w:hAnsi="Times New Roman"/>
          <w:sz w:val="20"/>
          <w:szCs w:val="20"/>
          <w:color w:val="auto"/>
        </w:rPr>
        <w:t>, from Latin America to North America, Asia and Europe.</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b w:val="1"/>
          <w:bCs w:val="1"/>
          <w:color w:val="auto"/>
        </w:rPr>
        <w:t>Rocelo Lopes</w:t>
      </w:r>
      <w:r>
        <w:rPr>
          <w:rFonts w:ascii="Times New Roman" w:cs="Times New Roman" w:eastAsia="Times New Roman" w:hAnsi="Times New Roman"/>
          <w:sz w:val="20"/>
          <w:szCs w:val="20"/>
          <w:color w:val="auto"/>
        </w:rPr>
        <w:t>, Smartpay’s founder and one of Latin America’s foremost digital asset innovators, will lead</w:t>
      </w:r>
      <w:r>
        <w:rPr>
          <w:rFonts w:ascii="Times New Roman" w:cs="Times New Roman" w:eastAsia="Times New Roman" w:hAnsi="Times New Roman"/>
          <w:sz w:val="20"/>
          <w:szCs w:val="20"/>
          <w:b w:val="1"/>
          <w:bCs w:val="1"/>
          <w:color w:val="auto"/>
        </w:rPr>
        <w:t xml:space="preserve"> Rezolve’s Digital Currency Initiative</w:t>
      </w:r>
      <w:r>
        <w:rPr>
          <w:rFonts w:ascii="Times New Roman" w:cs="Times New Roman" w:eastAsia="Times New Roman" w:hAnsi="Times New Roman"/>
          <w:sz w:val="20"/>
          <w:szCs w:val="20"/>
          <w:color w:val="auto"/>
        </w:rPr>
        <w:t>, leading the global expansion of this multi-asset payment system. Lopes has a long-standing relationship with Tether and is widely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recognized for his leadership in advancing digital asset adoption for real-world transactions.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Daniel M. Wagner, CEO of Rezolve AI</w:t>
      </w:r>
      <w:r>
        <w:rPr>
          <w:rFonts w:ascii="Times New Roman" w:cs="Times New Roman" w:eastAsia="Times New Roman" w:hAnsi="Times New Roman"/>
          <w:sz w:val="20"/>
          <w:szCs w:val="20"/>
          <w:color w:val="auto"/>
        </w:rPr>
        <w:t>, said:</w:t>
      </w:r>
    </w:p>
    <w:p>
      <w:pPr>
        <w:spacing w:after="0" w:line="26" w:lineRule="exact"/>
        <w:rPr>
          <w:sz w:val="20"/>
          <w:szCs w:val="20"/>
          <w:color w:val="auto"/>
        </w:rPr>
      </w:pPr>
    </w:p>
    <w:p>
      <w:pPr>
        <w:ind w:right="560"/>
        <w:spacing w:after="0" w:line="242" w:lineRule="auto"/>
        <w:rPr>
          <w:sz w:val="20"/>
          <w:szCs w:val="20"/>
          <w:color w:val="auto"/>
        </w:rPr>
      </w:pPr>
      <w:r>
        <w:rPr>
          <w:rFonts w:ascii="Times New Roman" w:cs="Times New Roman" w:eastAsia="Times New Roman" w:hAnsi="Times New Roman"/>
          <w:sz w:val="20"/>
          <w:szCs w:val="20"/>
          <w:color w:val="auto"/>
        </w:rPr>
        <w:t>"Smartpay gives Rezolve a proven, transaction-tested foundation to scale our digital asset payment initiative globally. By combining Smartpay’s live payment rails with Rezolve’s Brain Checkout technology, we can deliver merchants a fast, simple, and fee-free way to accept digital assets, bridging the gap between blockchain and everyday commerce."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Rocelo Lopes, CEO of Rezolve’s Tether Initiative</w:t>
      </w:r>
      <w:r>
        <w:rPr>
          <w:rFonts w:ascii="Times New Roman" w:cs="Times New Roman" w:eastAsia="Times New Roman" w:hAnsi="Times New Roman"/>
          <w:sz w:val="20"/>
          <w:szCs w:val="20"/>
          <w:color w:val="auto"/>
        </w:rPr>
        <w:t>, added:</w:t>
      </w:r>
    </w:p>
    <w:p>
      <w:pPr>
        <w:spacing w:after="0" w:line="26" w:lineRule="exact"/>
        <w:rPr>
          <w:sz w:val="20"/>
          <w:szCs w:val="20"/>
          <w:color w:val="auto"/>
        </w:rPr>
      </w:pPr>
    </w:p>
    <w:p>
      <w:pPr>
        <w:ind w:right="280"/>
        <w:spacing w:after="0" w:line="242" w:lineRule="auto"/>
        <w:rPr>
          <w:sz w:val="20"/>
          <w:szCs w:val="20"/>
          <w:color w:val="auto"/>
        </w:rPr>
      </w:pPr>
      <w:r>
        <w:rPr>
          <w:rFonts w:ascii="Times New Roman" w:cs="Times New Roman" w:eastAsia="Times New Roman" w:hAnsi="Times New Roman"/>
          <w:sz w:val="20"/>
          <w:szCs w:val="20"/>
          <w:color w:val="auto"/>
        </w:rPr>
        <w:t>"Smartpay has already proven that digital assets can move at the speed of commerce. By joining forces with Rezolve, we can bring this model to scale worldwide, enabling merchants to eliminate fees, consumers to pay instantly, and the entire ecosystem to benefit from real-time value exchange across borders."</w:t>
      </w:r>
    </w:p>
    <w:p>
      <w:pPr>
        <w:spacing w:after="0" w:line="196"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20"/>
          <w:szCs w:val="20"/>
          <w:color w:val="auto"/>
        </w:rPr>
        <w:t xml:space="preserve">By integrating Smartpay’s live network into its ecosystem, Rezolve is </w:t>
      </w:r>
      <w:r>
        <w:rPr>
          <w:rFonts w:ascii="Times New Roman" w:cs="Times New Roman" w:eastAsia="Times New Roman" w:hAnsi="Times New Roman"/>
          <w:sz w:val="20"/>
          <w:szCs w:val="20"/>
          <w:b w:val="1"/>
          <w:bCs w:val="1"/>
          <w:color w:val="auto"/>
        </w:rPr>
        <w:t>positioned to accelerate the global rollout</w:t>
      </w:r>
      <w:r>
        <w:rPr>
          <w:rFonts w:ascii="Times New Roman" w:cs="Times New Roman" w:eastAsia="Times New Roman" w:hAnsi="Times New Roman"/>
          <w:sz w:val="20"/>
          <w:szCs w:val="20"/>
          <w:color w:val="auto"/>
        </w:rPr>
        <w:t xml:space="preserve"> of its digital asset payments initiative, creating a scalable infrastructure that connects </w:t>
      </w:r>
      <w:r>
        <w:rPr>
          <w:rFonts w:ascii="Times New Roman" w:cs="Times New Roman" w:eastAsia="Times New Roman" w:hAnsi="Times New Roman"/>
          <w:sz w:val="20"/>
          <w:szCs w:val="20"/>
          <w:b w:val="1"/>
          <w:bCs w:val="1"/>
          <w:color w:val="auto"/>
        </w:rPr>
        <w:t>digital assets, fiat, and AI-driven commerce</w:t>
      </w:r>
      <w:r>
        <w:rPr>
          <w:rFonts w:ascii="Times New Roman" w:cs="Times New Roman" w:eastAsia="Times New Roman" w:hAnsi="Times New Roman"/>
          <w:sz w:val="20"/>
          <w:szCs w:val="20"/>
          <w:color w:val="auto"/>
        </w:rPr>
        <w:t xml:space="preserve"> into a unified real-time payment architecture.</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This acquisition also accelerates Rezolve’s roadmap toward </w:t>
      </w:r>
      <w:r>
        <w:rPr>
          <w:rFonts w:ascii="Times New Roman" w:cs="Times New Roman" w:eastAsia="Times New Roman" w:hAnsi="Times New Roman"/>
          <w:sz w:val="20"/>
          <w:szCs w:val="20"/>
          <w:b w:val="1"/>
          <w:bCs w:val="1"/>
          <w:color w:val="auto"/>
        </w:rPr>
        <w:t>Agentic Commerce,</w:t>
      </w:r>
      <w:r>
        <w:rPr>
          <w:rFonts w:ascii="Times New Roman" w:cs="Times New Roman" w:eastAsia="Times New Roman" w:hAnsi="Times New Roman"/>
          <w:sz w:val="20"/>
          <w:szCs w:val="20"/>
          <w:color w:val="auto"/>
        </w:rPr>
        <w:t xml:space="preserve"> an emerging frontier where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1101090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7" w:name="page98"/>
    <w:bookmarkEnd w:id="97"/>
    <w:p>
      <w:pPr>
        <w:jc w:val="both"/>
        <w:ind w:right="220"/>
        <w:spacing w:after="0" w:line="274" w:lineRule="auto"/>
        <w:rPr>
          <w:sz w:val="20"/>
          <w:szCs w:val="20"/>
          <w:color w:val="auto"/>
        </w:rPr>
      </w:pPr>
      <w:r>
        <w:rPr>
          <w:rFonts w:ascii="Times New Roman" w:cs="Times New Roman" w:eastAsia="Times New Roman" w:hAnsi="Times New Roman"/>
          <w:sz w:val="19"/>
          <w:szCs w:val="19"/>
          <w:color w:val="auto"/>
        </w:rPr>
        <w:t xml:space="preserve">agents act autonomously on behalf of consumers and businesses. With Smartpay’s digital asset infrastructure, Rezolve is building the first platform where these AI agents can not only discover and compare products across retailers but also </w:t>
      </w:r>
      <w:r>
        <w:rPr>
          <w:rFonts w:ascii="Times New Roman" w:cs="Times New Roman" w:eastAsia="Times New Roman" w:hAnsi="Times New Roman"/>
          <w:sz w:val="19"/>
          <w:szCs w:val="19"/>
          <w:b w:val="1"/>
          <w:bCs w:val="1"/>
          <w:color w:val="auto"/>
        </w:rPr>
        <w:t>negotiate and complete transactions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instantly using digital assets</w:t>
      </w:r>
      <w:r>
        <w:rPr>
          <w:rFonts w:ascii="Times New Roman" w:cs="Times New Roman" w:eastAsia="Times New Roman" w:hAnsi="Times New Roman"/>
          <w:sz w:val="19"/>
          <w:szCs w:val="19"/>
          <w:color w:val="auto"/>
        </w:rPr>
        <w:t>. This marks a foundational step toward an economy driven by intelligent, self-executing commerce.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Rezolve Ai</w:t>
      </w:r>
    </w:p>
    <w:p>
      <w:pPr>
        <w:spacing w:after="0" w:line="2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Rezolve Ai (NASDAQ: RZLV) is a global leader in AI-driven commerce, providing retailers and brands with proprietary technology that powers search, personalization, checkout, and omni-channel engagement. Its solutions enable businesses to harness AI for smarter customer experiences and operational efficiency. With foundational partnerships with Microsoft, Google, and Tether, Rezolve Ai is positioned to drive innovation across the $30 trillion global retail market. For more information, visit www.rezolve.com.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9"/>
          <w:szCs w:val="19"/>
          <w:color w:val="auto"/>
        </w:rPr>
        <w:t>This press release contains forward-looking statements, including expectations regarding Rezolve Ai’s acquisition of Smartpay and the development of Rezolve’s global digital asset payment infrastructure. Forward-looking statements are subject to risks and uncertainties that could cause actual results to differ materially. There is no assurance that Rezolve will be able to roll out its digital asset payments initiative on the timeframe discussed in this release or at all . Additional information regarding risks and uncertainties facing Rezolve Ai is included in the Company’s filings with the SEC. Rezolve Ai undertakes no obligation to update forward-looking statements, except as required by law.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investors@rezolve.com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Rezolve Ai</w:t>
      </w:r>
    </w:p>
    <w:p>
      <w:pPr>
        <w:spacing w:after="0"/>
        <w:rPr>
          <w:sz w:val="20"/>
          <w:szCs w:val="20"/>
          <w:color w:val="auto"/>
        </w:rPr>
      </w:pPr>
      <w:r>
        <w:rPr>
          <w:rFonts w:ascii="Times New Roman" w:cs="Times New Roman" w:eastAsia="Times New Roman" w:hAnsi="Times New Roman"/>
          <w:sz w:val="20"/>
          <w:szCs w:val="20"/>
          <w:color w:val="auto"/>
        </w:rPr>
        <w:t>Urmee Khan - Global Head of Communications</w:t>
      </w:r>
    </w:p>
    <w:p>
      <w:pPr>
        <w:spacing w:after="0"/>
        <w:rPr>
          <w:sz w:val="20"/>
          <w:szCs w:val="20"/>
          <w:color w:val="auto"/>
        </w:rPr>
      </w:pPr>
      <w:r>
        <w:rPr>
          <w:rFonts w:ascii="Times New Roman" w:cs="Times New Roman" w:eastAsia="Times New Roman" w:hAnsi="Times New Roman"/>
          <w:sz w:val="20"/>
          <w:szCs w:val="20"/>
          <w:color w:val="auto"/>
        </w:rPr>
        <w:t>urmeekhan@rezolve.com</w:t>
      </w:r>
    </w:p>
    <w:p>
      <w:pPr>
        <w:spacing w:after="0"/>
        <w:rPr>
          <w:sz w:val="20"/>
          <w:szCs w:val="20"/>
          <w:color w:val="auto"/>
        </w:rPr>
      </w:pPr>
      <w:r>
        <w:rPr>
          <w:rFonts w:ascii="Times New Roman" w:cs="Times New Roman" w:eastAsia="Times New Roman" w:hAnsi="Times New Roman"/>
          <w:sz w:val="20"/>
          <w:szCs w:val="20"/>
          <w:color w:val="auto"/>
        </w:rPr>
        <w:t>+44 7576 094 040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20"/>
          <w:szCs w:val="20"/>
          <w:b w:val="1"/>
          <w:bCs w:val="1"/>
          <w:color w:val="auto"/>
        </w:rPr>
        <w:t>Exhibit 99.2</w:t>
      </w:r>
    </w:p>
    <w:p>
      <w:pPr>
        <w:spacing w:after="0" w:line="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9"/>
          <w:szCs w:val="29"/>
          <w:b w:val="1"/>
          <w:bCs w:val="1"/>
          <w:color w:val="auto"/>
        </w:rPr>
        <w:t>Rezolve Ai Acquires Subsquid: Building the Data and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Payments Backbone for the AI Economy</w:t>
      </w:r>
    </w:p>
    <w:p>
      <w:pPr>
        <w:spacing w:after="0" w:line="2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i w:val="1"/>
          <w:iCs w:val="1"/>
          <w:color w:val="auto"/>
        </w:rPr>
        <w:t>Acquisition unites blockchain data science, decentralized data lakes,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and digital-asset payment rails into a single intelligent commerce infrastructure.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Key Highlights</w:t>
      </w:r>
    </w:p>
    <w:p>
      <w:pPr>
        <w:spacing w:after="0" w:line="20" w:lineRule="exact"/>
        <w:rPr>
          <w:sz w:val="20"/>
          <w:szCs w:val="20"/>
          <w:color w:val="auto"/>
        </w:rPr>
      </w:pPr>
    </w:p>
    <w:p>
      <w:pPr>
        <w:ind w:left="760" w:right="500"/>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 xml:space="preserve">Rezolve Ai acquires Subsquid (SQD): </w:t>
      </w:r>
      <w:r>
        <w:rPr>
          <w:rFonts w:ascii="Times New Roman" w:cs="Times New Roman" w:eastAsia="Times New Roman" w:hAnsi="Times New Roman"/>
          <w:sz w:val="22"/>
          <w:szCs w:val="22"/>
          <w:i w:val="1"/>
          <w:iCs w:val="1"/>
          <w:color w:val="auto"/>
        </w:rPr>
        <w:t>a leading decentralized data-infrastructure platform powering Web3 and AI</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innovation.</w:t>
      </w:r>
    </w:p>
    <w:p>
      <w:pPr>
        <w:spacing w:after="0" w:line="1" w:lineRule="exact"/>
        <w:rPr>
          <w:sz w:val="20"/>
          <w:szCs w:val="20"/>
          <w:color w:val="auto"/>
        </w:rPr>
      </w:pPr>
    </w:p>
    <w:p>
      <w:pPr>
        <w:ind w:left="760" w:right="40"/>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 xml:space="preserve">Data Layer: </w:t>
      </w:r>
      <w:r>
        <w:rPr>
          <w:rFonts w:ascii="Times New Roman" w:cs="Times New Roman" w:eastAsia="Times New Roman" w:hAnsi="Times New Roman"/>
          <w:sz w:val="22"/>
          <w:szCs w:val="22"/>
          <w:i w:val="1"/>
          <w:iCs w:val="1"/>
          <w:color w:val="auto"/>
        </w:rPr>
        <w:t>Subsquid’s decentralized data lake and query engine make blockchain data instantly searchable and usable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for AI systems</w:t>
      </w:r>
      <w:r>
        <w:rPr>
          <w:rFonts w:ascii="Times New Roman" w:cs="Times New Roman" w:eastAsia="Times New Roman" w:hAnsi="Times New Roman"/>
          <w:sz w:val="22"/>
          <w:szCs w:val="22"/>
          <w:b w:val="1"/>
          <w:bCs w:val="1"/>
          <w:i w:val="1"/>
          <w:iCs w:val="1"/>
          <w:color w:val="auto"/>
        </w:rPr>
        <w:t>.</w:t>
      </w:r>
    </w:p>
    <w:p>
      <w:pPr>
        <w:spacing w:after="0" w:line="1" w:lineRule="exact"/>
        <w:rPr>
          <w:sz w:val="20"/>
          <w:szCs w:val="20"/>
          <w:color w:val="auto"/>
        </w:rPr>
      </w:pPr>
    </w:p>
    <w:p>
      <w:pPr>
        <w:ind w:left="760" w:right="80"/>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 xml:space="preserve">Payment layer: </w:t>
      </w:r>
      <w:r>
        <w:rPr>
          <w:rFonts w:ascii="Times New Roman" w:cs="Times New Roman" w:eastAsia="Times New Roman" w:hAnsi="Times New Roman"/>
          <w:sz w:val="22"/>
          <w:szCs w:val="22"/>
          <w:i w:val="1"/>
          <w:iCs w:val="1"/>
          <w:color w:val="auto"/>
        </w:rPr>
        <w:t>Together with</w:t>
      </w:r>
      <w:r>
        <w:rPr>
          <w:rFonts w:ascii="Times New Roman" w:cs="Times New Roman" w:eastAsia="Times New Roman" w:hAnsi="Times New Roman"/>
          <w:sz w:val="22"/>
          <w:szCs w:val="22"/>
          <w:b w:val="1"/>
          <w:bCs w:val="1"/>
          <w:i w:val="1"/>
          <w:iCs w:val="1"/>
          <w:color w:val="auto"/>
        </w:rPr>
        <w:t xml:space="preserve"> Smartpay’s digital-asset checkout rails</w:t>
      </w:r>
      <w:r>
        <w:rPr>
          <w:rFonts w:ascii="Times New Roman" w:cs="Times New Roman" w:eastAsia="Times New Roman" w:hAnsi="Times New Roman"/>
          <w:sz w:val="22"/>
          <w:szCs w:val="22"/>
          <w:i w:val="1"/>
          <w:iCs w:val="1"/>
          <w:color w:val="auto"/>
        </w:rPr>
        <w:t>, Rezolve now connects the data, intelligence,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payments pillars of AI-commerce.</w:t>
      </w:r>
    </w:p>
    <w:p>
      <w:pPr>
        <w:spacing w:after="0" w:line="1" w:lineRule="exact"/>
        <w:rPr>
          <w:sz w:val="20"/>
          <w:szCs w:val="20"/>
          <w:color w:val="auto"/>
        </w:rPr>
      </w:pPr>
    </w:p>
    <w:p>
      <w:pPr>
        <w:ind w:left="380"/>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 xml:space="preserve">Token rebrand: </w:t>
      </w:r>
      <w:r>
        <w:rPr>
          <w:rFonts w:ascii="Times New Roman" w:cs="Times New Roman" w:eastAsia="Times New Roman" w:hAnsi="Times New Roman"/>
          <w:sz w:val="22"/>
          <w:szCs w:val="22"/>
          <w:i w:val="1"/>
          <w:iCs w:val="1"/>
          <w:color w:val="auto"/>
        </w:rPr>
        <w:t>The</w:t>
      </w:r>
      <w:r>
        <w:rPr>
          <w:rFonts w:ascii="Times New Roman" w:cs="Times New Roman" w:eastAsia="Times New Roman" w:hAnsi="Times New Roman"/>
          <w:sz w:val="22"/>
          <w:szCs w:val="22"/>
          <w:b w:val="1"/>
          <w:bCs w:val="1"/>
          <w:i w:val="1"/>
          <w:iCs w:val="1"/>
          <w:color w:val="auto"/>
        </w:rPr>
        <w:t xml:space="preserve"> SQD </w:t>
      </w:r>
      <w:r>
        <w:rPr>
          <w:rFonts w:ascii="Times New Roman" w:cs="Times New Roman" w:eastAsia="Times New Roman" w:hAnsi="Times New Roman"/>
          <w:sz w:val="22"/>
          <w:szCs w:val="22"/>
          <w:i w:val="1"/>
          <w:iCs w:val="1"/>
          <w:color w:val="auto"/>
        </w:rPr>
        <w:t>utility token will be rebranded in due course (currently trades as SQD).</w:t>
      </w:r>
    </w:p>
    <w:p>
      <w:pPr>
        <w:ind w:left="760" w:right="20"/>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Treasury strategy: </w:t>
      </w:r>
      <w:r>
        <w:rPr>
          <w:rFonts w:ascii="Times New Roman" w:cs="Times New Roman" w:eastAsia="Times New Roman" w:hAnsi="Times New Roman"/>
          <w:sz w:val="22"/>
          <w:szCs w:val="22"/>
          <w:i w:val="1"/>
          <w:iCs w:val="1"/>
          <w:color w:val="auto"/>
        </w:rPr>
        <w:t>Rezolve intends to acquire</w:t>
      </w:r>
      <w:r>
        <w:rPr>
          <w:rFonts w:ascii="Times New Roman" w:cs="Times New Roman" w:eastAsia="Times New Roman" w:hAnsi="Times New Roman"/>
          <w:sz w:val="22"/>
          <w:szCs w:val="22"/>
          <w:b w:val="1"/>
          <w:bCs w:val="1"/>
          <w:i w:val="1"/>
          <w:iCs w:val="1"/>
          <w:color w:val="auto"/>
        </w:rPr>
        <w:t xml:space="preserve"> SQD tokens equivalent to at least 1 % of annual revenues, </w:t>
      </w:r>
      <w:r>
        <w:rPr>
          <w:rFonts w:ascii="Times New Roman" w:cs="Times New Roman" w:eastAsia="Times New Roman" w:hAnsi="Times New Roman"/>
          <w:sz w:val="22"/>
          <w:szCs w:val="22"/>
          <w:i w:val="1"/>
          <w:iCs w:val="1"/>
          <w:color w:val="auto"/>
        </w:rPr>
        <w:t>aligning long-term participation with ecosystem growth.</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Building the AI Commerce Stack for the $100 Trillion Global Economy</w:t>
      </w:r>
    </w:p>
    <w:p>
      <w:pPr>
        <w:spacing w:after="0" w:line="26"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New York – October 9, 2025 </w:t>
      </w:r>
      <w:r>
        <w:rPr>
          <w:rFonts w:ascii="Times New Roman" w:cs="Times New Roman" w:eastAsia="Times New Roman" w:hAnsi="Times New Roman"/>
          <w:sz w:val="20"/>
          <w:szCs w:val="20"/>
          <w:color w:val="auto"/>
        </w:rPr>
        <w:t>– Rezolve Ai (NASDAQ: RZLV), the category-defining platform at the intersection of AI, commerce,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payments, today announced the acquisition of </w:t>
      </w:r>
      <w:r>
        <w:rPr>
          <w:rFonts w:ascii="Times New Roman" w:cs="Times New Roman" w:eastAsia="Times New Roman" w:hAnsi="Times New Roman"/>
          <w:sz w:val="20"/>
          <w:szCs w:val="20"/>
          <w:b w:val="1"/>
          <w:bCs w:val="1"/>
          <w:color w:val="auto"/>
        </w:rPr>
        <w:t>SQD (Subsquid)</w:t>
      </w:r>
      <w:r>
        <w:rPr>
          <w:rFonts w:ascii="Times New Roman" w:cs="Times New Roman" w:eastAsia="Times New Roman" w:hAnsi="Times New Roman"/>
          <w:sz w:val="20"/>
          <w:szCs w:val="20"/>
          <w:color w:val="auto"/>
        </w:rPr>
        <w:t xml:space="preserve">, a decentralized blockchain data platform whose token, currently trading as </w:t>
      </w:r>
      <w:r>
        <w:rPr>
          <w:rFonts w:ascii="Times New Roman" w:cs="Times New Roman" w:eastAsia="Times New Roman" w:hAnsi="Times New Roman"/>
          <w:sz w:val="20"/>
          <w:szCs w:val="20"/>
          <w:b w:val="1"/>
          <w:bCs w:val="1"/>
          <w:color w:val="auto"/>
        </w:rPr>
        <w:t xml:space="preserve">SQD </w:t>
      </w:r>
      <w:r>
        <w:rPr>
          <w:rFonts w:ascii="Times New Roman" w:cs="Times New Roman" w:eastAsia="Times New Roman" w:hAnsi="Times New Roman"/>
          <w:sz w:val="20"/>
          <w:szCs w:val="20"/>
          <w:color w:val="auto"/>
        </w:rPr>
        <w:t>on major exchanges including</w:t>
      </w:r>
      <w:r>
        <w:rPr>
          <w:rFonts w:ascii="Times New Roman" w:cs="Times New Roman" w:eastAsia="Times New Roman" w:hAnsi="Times New Roman"/>
          <w:sz w:val="20"/>
          <w:szCs w:val="20"/>
          <w:b w:val="1"/>
          <w:bCs w:val="1"/>
          <w:color w:val="auto"/>
        </w:rPr>
        <w:t xml:space="preserve"> Coinbase, Binance, and Crypto.com</w:t>
      </w:r>
      <w:r>
        <w:rPr>
          <w:rFonts w:ascii="Times New Roman" w:cs="Times New Roman" w:eastAsia="Times New Roman" w:hAnsi="Times New Roman"/>
          <w:sz w:val="20"/>
          <w:szCs w:val="20"/>
          <w:color w:val="auto"/>
        </w:rPr>
        <w:t>, will be</w:t>
      </w:r>
      <w:r>
        <w:rPr>
          <w:rFonts w:ascii="Times New Roman" w:cs="Times New Roman" w:eastAsia="Times New Roman" w:hAnsi="Times New Roman"/>
          <w:sz w:val="20"/>
          <w:szCs w:val="20"/>
          <w:b w:val="1"/>
          <w:bCs w:val="1"/>
          <w:color w:val="auto"/>
        </w:rPr>
        <w:t xml:space="preserve"> rebranded </w:t>
      </w:r>
      <w:r>
        <w:rPr>
          <w:rFonts w:ascii="Times New Roman" w:cs="Times New Roman" w:eastAsia="Times New Roman" w:hAnsi="Times New Roman"/>
          <w:sz w:val="20"/>
          <w:szCs w:val="20"/>
          <w:color w:val="auto"/>
        </w:rPr>
        <w:t>in due course following regulatory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exchange approvals.</w:t>
      </w:r>
    </w:p>
    <w:p>
      <w:pPr>
        <w:spacing w:after="0" w:line="202"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The acquisition unites blockchain data science, decentralized data lakes, and digital-asset payment rails into a single intelligent commerce infrastructure.</w:t>
      </w:r>
    </w:p>
    <w:p>
      <w:pPr>
        <w:spacing w:after="0" w:line="169"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 xml:space="preserve">Subsquid already operates at remarkable scale with </w:t>
      </w:r>
      <w:r>
        <w:rPr>
          <w:rFonts w:ascii="Times New Roman" w:cs="Times New Roman" w:eastAsia="Times New Roman" w:hAnsi="Times New Roman"/>
          <w:sz w:val="20"/>
          <w:szCs w:val="20"/>
          <w:b w:val="1"/>
          <w:bCs w:val="1"/>
          <w:color w:val="auto"/>
        </w:rPr>
        <w:t>over 2,500 active nodes</w:t>
      </w:r>
      <w:r>
        <w:rPr>
          <w:rFonts w:ascii="Times New Roman" w:cs="Times New Roman" w:eastAsia="Times New Roman" w:hAnsi="Times New Roman"/>
          <w:sz w:val="20"/>
          <w:szCs w:val="20"/>
          <w:color w:val="auto"/>
        </w:rPr>
        <w:t xml:space="preserve">, making it one of the </w:t>
      </w:r>
      <w:r>
        <w:rPr>
          <w:rFonts w:ascii="Times New Roman" w:cs="Times New Roman" w:eastAsia="Times New Roman" w:hAnsi="Times New Roman"/>
          <w:sz w:val="20"/>
          <w:szCs w:val="20"/>
          <w:b w:val="1"/>
          <w:bCs w:val="1"/>
          <w:color w:val="auto"/>
        </w:rPr>
        <w:t>largest decentralized data networks</w:t>
      </w:r>
      <w:r>
        <w:rPr>
          <w:rFonts w:ascii="Times New Roman" w:cs="Times New Roman" w:eastAsia="Times New Roman" w:hAnsi="Times New Roman"/>
          <w:sz w:val="20"/>
          <w:szCs w:val="20"/>
          <w:color w:val="auto"/>
        </w:rPr>
        <w:t xml:space="preserve"> in the world. The platform manages more than </w:t>
      </w:r>
      <w:r>
        <w:rPr>
          <w:rFonts w:ascii="Times New Roman" w:cs="Times New Roman" w:eastAsia="Times New Roman" w:hAnsi="Times New Roman"/>
          <w:sz w:val="20"/>
          <w:szCs w:val="20"/>
          <w:b w:val="1"/>
          <w:bCs w:val="1"/>
          <w:color w:val="auto"/>
        </w:rPr>
        <w:t>2.1 petabytes of blockchain data</w:t>
      </w:r>
      <w:r>
        <w:rPr>
          <w:rFonts w:ascii="Times New Roman" w:cs="Times New Roman" w:eastAsia="Times New Roman" w:hAnsi="Times New Roman"/>
          <w:sz w:val="20"/>
          <w:szCs w:val="20"/>
          <w:color w:val="auto"/>
        </w:rPr>
        <w:t xml:space="preserve">, handles </w:t>
      </w:r>
      <w:r>
        <w:rPr>
          <w:rFonts w:ascii="Times New Roman" w:cs="Times New Roman" w:eastAsia="Times New Roman" w:hAnsi="Times New Roman"/>
          <w:sz w:val="20"/>
          <w:szCs w:val="20"/>
          <w:b w:val="1"/>
          <w:bCs w:val="1"/>
          <w:color w:val="auto"/>
        </w:rPr>
        <w:t>over 5 million daily queries</w:t>
      </w:r>
      <w:r>
        <w:rPr>
          <w:rFonts w:ascii="Times New Roman" w:cs="Times New Roman" w:eastAsia="Times New Roman" w:hAnsi="Times New Roman"/>
          <w:sz w:val="20"/>
          <w:szCs w:val="20"/>
          <w:color w:val="auto"/>
        </w:rPr>
        <w:t xml:space="preserve">, and supports </w:t>
      </w:r>
      <w:r>
        <w:rPr>
          <w:rFonts w:ascii="Times New Roman" w:cs="Times New Roman" w:eastAsia="Times New Roman" w:hAnsi="Times New Roman"/>
          <w:sz w:val="20"/>
          <w:szCs w:val="20"/>
          <w:b w:val="1"/>
          <w:bCs w:val="1"/>
          <w:color w:val="auto"/>
        </w:rPr>
        <w:t>over 150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blockchain projects and clients</w:t>
      </w:r>
      <w:r>
        <w:rPr>
          <w:rFonts w:ascii="Times New Roman" w:cs="Times New Roman" w:eastAsia="Times New Roman" w:hAnsi="Times New Roman"/>
          <w:sz w:val="20"/>
          <w:szCs w:val="20"/>
          <w:color w:val="auto"/>
        </w:rPr>
        <w:t>. Subsquid’s network underpins applications across DeFi, analytics, and AI innovation, serving top-tier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players including </w:t>
      </w:r>
      <w:r>
        <w:rPr>
          <w:rFonts w:ascii="Times New Roman" w:cs="Times New Roman" w:eastAsia="Times New Roman" w:hAnsi="Times New Roman"/>
          <w:sz w:val="20"/>
          <w:szCs w:val="20"/>
          <w:b w:val="1"/>
          <w:bCs w:val="1"/>
          <w:color w:val="auto"/>
        </w:rPr>
        <w:t>PancakeSwap</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Morpho</w:t>
      </w:r>
      <w:r>
        <w:rPr>
          <w:rFonts w:ascii="Times New Roman" w:cs="Times New Roman" w:eastAsia="Times New Roman" w:hAnsi="Times New Roman"/>
          <w:sz w:val="20"/>
          <w:szCs w:val="20"/>
          <w:color w:val="auto"/>
        </w:rPr>
        <w:t xml:space="preserve">, and a strategic partnership with </w:t>
      </w:r>
      <w:r>
        <w:rPr>
          <w:rFonts w:ascii="Times New Roman" w:cs="Times New Roman" w:eastAsia="Times New Roman" w:hAnsi="Times New Roman"/>
          <w:sz w:val="20"/>
          <w:szCs w:val="20"/>
          <w:b w:val="1"/>
          <w:bCs w:val="1"/>
          <w:color w:val="auto"/>
        </w:rPr>
        <w:t>Deutsche Telekom</w:t>
      </w:r>
      <w:r>
        <w:rPr>
          <w:rFonts w:ascii="Times New Roman" w:cs="Times New Roman" w:eastAsia="Times New Roman" w:hAnsi="Times New Roman"/>
          <w:sz w:val="20"/>
          <w:szCs w:val="20"/>
          <w:color w:val="auto"/>
        </w:rPr>
        <w:t xml:space="preserve">. </w:t>
      </w:r>
      <w:r>
        <w:rPr>
          <w:rFonts w:ascii="Arial" w:cs="Arial" w:eastAsia="Arial" w:hAnsi="Arial"/>
          <w:sz w:val="21"/>
          <w:szCs w:val="21"/>
          <w:color w:val="auto"/>
        </w:rPr>
        <w:t>Protocols with over USD 15 billion</w:t>
      </w:r>
      <w:r>
        <w:rPr>
          <w:rFonts w:ascii="Times New Roman" w:cs="Times New Roman" w:eastAsia="Times New Roman" w:hAnsi="Times New Roman"/>
          <w:sz w:val="20"/>
          <w:szCs w:val="20"/>
          <w:color w:val="auto"/>
        </w:rPr>
        <w:t xml:space="preserve"> </w:t>
      </w:r>
      <w:r>
        <w:rPr>
          <w:rFonts w:ascii="Arial" w:cs="Arial" w:eastAsia="Arial" w:hAnsi="Arial"/>
          <w:sz w:val="21"/>
          <w:szCs w:val="21"/>
          <w:color w:val="auto"/>
        </w:rPr>
        <w:t>in combined Total Value Locked rely on Subsquid’s infrastructure, further underscoring its critical role in the Web3 data ecosystem.</w:t>
      </w:r>
    </w:p>
    <w:p>
      <w:pPr>
        <w:spacing w:after="0" w:line="18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 xml:space="preserve">This acquisition builds on Rezolve’s recent purchase of </w:t>
      </w:r>
      <w:r>
        <w:rPr>
          <w:rFonts w:ascii="Times New Roman" w:cs="Times New Roman" w:eastAsia="Times New Roman" w:hAnsi="Times New Roman"/>
          <w:sz w:val="20"/>
          <w:szCs w:val="20"/>
          <w:b w:val="1"/>
          <w:bCs w:val="1"/>
          <w:color w:val="auto"/>
        </w:rPr>
        <w:t>Smartpay</w:t>
      </w:r>
      <w:r>
        <w:rPr>
          <w:rFonts w:ascii="Times New Roman" w:cs="Times New Roman" w:eastAsia="Times New Roman" w:hAnsi="Times New Roman"/>
          <w:sz w:val="20"/>
          <w:szCs w:val="20"/>
          <w:color w:val="auto"/>
        </w:rPr>
        <w:t xml:space="preserve">, the Brazil-based digital-asset payments company led by </w:t>
      </w:r>
      <w:r>
        <w:rPr>
          <w:rFonts w:ascii="Times New Roman" w:cs="Times New Roman" w:eastAsia="Times New Roman" w:hAnsi="Times New Roman"/>
          <w:sz w:val="20"/>
          <w:szCs w:val="20"/>
          <w:b w:val="1"/>
          <w:bCs w:val="1"/>
          <w:color w:val="auto"/>
        </w:rPr>
        <w:t>Rocelo Lopes</w:t>
      </w:r>
      <w:r>
        <w:rPr>
          <w:rFonts w:ascii="Times New Roman" w:cs="Times New Roman" w:eastAsia="Times New Roman" w:hAnsi="Times New Roman"/>
          <w:sz w:val="20"/>
          <w:szCs w:val="20"/>
          <w:color w:val="auto"/>
        </w:rPr>
        <w:t xml:space="preserve">, a long-time collaborator of </w:t>
      </w:r>
      <w:r>
        <w:rPr>
          <w:rFonts w:ascii="Times New Roman" w:cs="Times New Roman" w:eastAsia="Times New Roman" w:hAnsi="Times New Roman"/>
          <w:sz w:val="20"/>
          <w:szCs w:val="20"/>
          <w:b w:val="1"/>
          <w:bCs w:val="1"/>
          <w:color w:val="auto"/>
        </w:rPr>
        <w:t>Tether</w:t>
      </w:r>
      <w:r>
        <w:rPr>
          <w:rFonts w:ascii="Times New Roman" w:cs="Times New Roman" w:eastAsia="Times New Roman" w:hAnsi="Times New Roman"/>
          <w:sz w:val="20"/>
          <w:szCs w:val="20"/>
          <w:color w:val="auto"/>
        </w:rPr>
        <w:t xml:space="preserve"> and one of Latin America’s foremost digital asset innovators. Together, Smartpay and Subsquid advance Rezolve’s strategy to connect </w:t>
      </w:r>
      <w:r>
        <w:rPr>
          <w:rFonts w:ascii="Times New Roman" w:cs="Times New Roman" w:eastAsia="Times New Roman" w:hAnsi="Times New Roman"/>
          <w:sz w:val="20"/>
          <w:szCs w:val="20"/>
          <w:b w:val="1"/>
          <w:bCs w:val="1"/>
          <w:color w:val="auto"/>
        </w:rPr>
        <w:t>AI, digital-asset payments, and on-chain data infrastructure</w:t>
      </w:r>
      <w:r>
        <w:rPr>
          <w:rFonts w:ascii="Times New Roman" w:cs="Times New Roman" w:eastAsia="Times New Roman" w:hAnsi="Times New Roman"/>
          <w:sz w:val="20"/>
          <w:szCs w:val="20"/>
          <w:color w:val="auto"/>
        </w:rPr>
        <w:t xml:space="preserve"> enabling intelligent, real-time, agentic commerce. This marks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9" w:name="page100"/>
    <w:bookmarkEnd w:id="99"/>
    <w:p>
      <w:pPr>
        <w:jc w:val="both"/>
        <w:ind w:right="140"/>
        <w:spacing w:after="0" w:line="254" w:lineRule="auto"/>
        <w:rPr>
          <w:sz w:val="20"/>
          <w:szCs w:val="20"/>
          <w:color w:val="auto"/>
        </w:rPr>
      </w:pPr>
      <w:r>
        <w:rPr>
          <w:rFonts w:ascii="Times New Roman" w:cs="Times New Roman" w:eastAsia="Times New Roman" w:hAnsi="Times New Roman"/>
          <w:sz w:val="20"/>
          <w:szCs w:val="20"/>
          <w:color w:val="auto"/>
        </w:rPr>
        <w:t>of the first major bridges between traditional finance and decentralized data networks, a step toward uniting enterprise-grade AI commerce with the transparency and efficiency of Web3. It demonstrates how enterprise-grade AI and proven commercial scale can combine with the transparency and innovation of decentralized technologies.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Data That Powers the AI Economy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AI is only as powerful as the data it runs on and </w:t>
      </w:r>
      <w:r>
        <w:rPr>
          <w:rFonts w:ascii="Times New Roman" w:cs="Times New Roman" w:eastAsia="Times New Roman" w:hAnsi="Times New Roman"/>
          <w:sz w:val="20"/>
          <w:szCs w:val="20"/>
          <w:b w:val="1"/>
          <w:bCs w:val="1"/>
          <w:color w:val="auto"/>
        </w:rPr>
        <w:t>Subsquid makes blockchain data accessible, searchable, and usable at scale.</w:t>
      </w:r>
    </w:p>
    <w:p>
      <w:pPr>
        <w:spacing w:after="0" w:line="20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Subsquid’s decentralized data lake aggregates, cleans, and structures blockchain data from multiple networks, making it instantly searchable through a flexible query engine. This allows AI models and analytics platforms to transform raw blockchain activity into actionable intelligence for real-time, data-driven commerce.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Foundation of Agentic Commerce and Finance</w:t>
      </w:r>
    </w:p>
    <w:p>
      <w:pPr>
        <w:spacing w:after="0" w:line="26"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 xml:space="preserve">Agentic commerce describes how AI systems act on behalf of people and businesses, searching, negotiating, and completing transactions automatically. The acquisition of Smartpay and Subsquid completes the three essential layers of Rezolve’s vision for </w:t>
      </w:r>
      <w:r>
        <w:rPr>
          <w:rFonts w:ascii="Times New Roman" w:cs="Times New Roman" w:eastAsia="Times New Roman" w:hAnsi="Times New Roman"/>
          <w:sz w:val="20"/>
          <w:szCs w:val="20"/>
          <w:i w:val="1"/>
          <w:iCs w:val="1"/>
          <w:color w:val="auto"/>
        </w:rPr>
        <w:t>agentic commerce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finance</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ind w:left="760" w:hanging="378"/>
        <w:spacing w:after="0" w:line="253" w:lineRule="auto"/>
        <w:tabs>
          <w:tab w:leader="none" w:pos="76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Subsquid supplies the data layer, </w:t>
      </w:r>
      <w:r>
        <w:rPr>
          <w:rFonts w:ascii="Times New Roman" w:cs="Times New Roman" w:eastAsia="Times New Roman" w:hAnsi="Times New Roman"/>
          <w:sz w:val="20"/>
          <w:szCs w:val="20"/>
          <w:color w:val="auto"/>
        </w:rPr>
        <w:t>the decentralized, queryable, and verifiable infrastructure that autonomous AI agents depend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reason, transact, and learn from real-time data.</w:t>
      </w:r>
    </w:p>
    <w:p>
      <w:pPr>
        <w:ind w:left="760" w:hanging="378"/>
        <w:spacing w:after="0"/>
        <w:tabs>
          <w:tab w:leader="none" w:pos="76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Smartpay provides the payment rails, </w:t>
      </w:r>
      <w:r>
        <w:rPr>
          <w:rFonts w:ascii="Times New Roman" w:cs="Times New Roman" w:eastAsia="Times New Roman" w:hAnsi="Times New Roman"/>
          <w:sz w:val="20"/>
          <w:szCs w:val="20"/>
          <w:color w:val="auto"/>
        </w:rPr>
        <w:t>enabling digital-asset checkout and settlement across currencies and stablecoins.</w:t>
      </w:r>
    </w:p>
    <w:p>
      <w:pPr>
        <w:ind w:left="760" w:right="200" w:hanging="378"/>
        <w:spacing w:after="0" w:line="246" w:lineRule="auto"/>
        <w:tabs>
          <w:tab w:leader="none" w:pos="76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Rezolve’s proprietary brainpowa LLM supplies the intelligence layer, </w:t>
      </w:r>
      <w:r>
        <w:rPr>
          <w:rFonts w:ascii="Times New Roman" w:cs="Times New Roman" w:eastAsia="Times New Roman" w:hAnsi="Times New Roman"/>
          <w:sz w:val="20"/>
          <w:szCs w:val="20"/>
          <w:color w:val="auto"/>
        </w:rPr>
        <w:t>providing contextual understanding, decision-making,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conversational interfaces that turn transactions into relationships.</w:t>
      </w:r>
    </w:p>
    <w:p>
      <w:pPr>
        <w:spacing w:after="0" w:line="19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0"/>
          <w:szCs w:val="20"/>
          <w:color w:val="auto"/>
        </w:rPr>
        <w:t xml:space="preserve">Together, these layers form the </w:t>
      </w:r>
      <w:r>
        <w:rPr>
          <w:rFonts w:ascii="Times New Roman" w:cs="Times New Roman" w:eastAsia="Times New Roman" w:hAnsi="Times New Roman"/>
          <w:sz w:val="20"/>
          <w:szCs w:val="20"/>
          <w:b w:val="1"/>
          <w:bCs w:val="1"/>
          <w:color w:val="auto"/>
        </w:rPr>
        <w:t>core architecture for AI driven commerce,</w:t>
      </w:r>
      <w:r>
        <w:rPr>
          <w:rFonts w:ascii="Times New Roman" w:cs="Times New Roman" w:eastAsia="Times New Roman" w:hAnsi="Times New Roman"/>
          <w:sz w:val="20"/>
          <w:szCs w:val="20"/>
          <w:color w:val="auto"/>
        </w:rPr>
        <w:t xml:space="preserve"> a new paradigm where AI agents autonomously </w:t>
      </w:r>
      <w:r>
        <w:rPr>
          <w:rFonts w:ascii="Times New Roman" w:cs="Times New Roman" w:eastAsia="Times New Roman" w:hAnsi="Times New Roman"/>
          <w:sz w:val="20"/>
          <w:szCs w:val="20"/>
          <w:b w:val="1"/>
          <w:bCs w:val="1"/>
          <w:color w:val="auto"/>
        </w:rPr>
        <w:t>search,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negotiate, and transact </w:t>
      </w:r>
      <w:r>
        <w:rPr>
          <w:rFonts w:ascii="Times New Roman" w:cs="Times New Roman" w:eastAsia="Times New Roman" w:hAnsi="Times New Roman"/>
          <w:sz w:val="20"/>
          <w:szCs w:val="20"/>
          <w:color w:val="auto"/>
        </w:rPr>
        <w:t>across decentralized networks, reshaping how retail and finance operate in real time. By combining proven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enterprise AI capabilities with decentralized data and payment technologies, Rezolve demonstrates how real commercial scale can meet the openness of decentralized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b w:val="1"/>
          <w:bCs w:val="1"/>
          <w:color w:val="auto"/>
        </w:rPr>
        <w:t>Owning the Indispensable Infrastructure of the New Economy</w:t>
      </w:r>
    </w:p>
    <w:p>
      <w:pPr>
        <w:spacing w:after="0" w:line="26"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color w:val="auto"/>
        </w:rPr>
        <w:t xml:space="preserve">“Data is the currency of the AI economy,” said </w:t>
      </w:r>
      <w:r>
        <w:rPr>
          <w:rFonts w:ascii="Times New Roman" w:cs="Times New Roman" w:eastAsia="Times New Roman" w:hAnsi="Times New Roman"/>
          <w:sz w:val="20"/>
          <w:szCs w:val="20"/>
          <w:b w:val="1"/>
          <w:bCs w:val="1"/>
          <w:color w:val="auto"/>
        </w:rPr>
        <w:t>Daniel M. Wagner</w:t>
      </w:r>
      <w:r>
        <w:rPr>
          <w:rFonts w:ascii="Times New Roman" w:cs="Times New Roman" w:eastAsia="Times New Roman" w:hAnsi="Times New Roman"/>
          <w:sz w:val="20"/>
          <w:szCs w:val="20"/>
          <w:color w:val="auto"/>
        </w:rPr>
        <w:t xml:space="preserve">, Founder &amp; CEO of Rezolve Ai. “Every technological era has been defined by one company that built the indispensable infrastructure of its time. </w:t>
      </w:r>
      <w:r>
        <w:rPr>
          <w:rFonts w:ascii="Times New Roman" w:cs="Times New Roman" w:eastAsia="Times New Roman" w:hAnsi="Times New Roman"/>
          <w:sz w:val="20"/>
          <w:szCs w:val="20"/>
          <w:b w:val="1"/>
          <w:bCs w:val="1"/>
          <w:color w:val="auto"/>
        </w:rPr>
        <w:t>Oracle owned databases. AWS owned the cloud. Snowflake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redefined analytics</w:t>
      </w:r>
      <w:r>
        <w:rPr>
          <w:rFonts w:ascii="Times New Roman" w:cs="Times New Roman" w:eastAsia="Times New Roman" w:hAnsi="Times New Roman"/>
          <w:sz w:val="20"/>
          <w:szCs w:val="20"/>
          <w:color w:val="auto"/>
        </w:rPr>
        <w:t>. With Smartpay and Subsquid, Rezolve Ai unites the complete infrastructure for autonomous commerce, data,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intelligence, and payments in one ecosystem, positioning us to power global commerce in the blockchain economy. The SQD utility token, which is planned to be renamed, continues to power the Subsquid network; the planned rebrand simply aligns the network’s identity with Rezolve’s expanding AI-commerce ecosystem.”</w:t>
      </w:r>
    </w:p>
    <w:p>
      <w:pPr>
        <w:spacing w:after="0" w:line="201"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9"/>
          <w:szCs w:val="19"/>
          <w:color w:val="auto"/>
        </w:rPr>
        <w:t xml:space="preserve">“Subsquid was built to remove the barriers to accessing and using blockchain data,” said </w:t>
      </w:r>
      <w:r>
        <w:rPr>
          <w:rFonts w:ascii="Times New Roman" w:cs="Times New Roman" w:eastAsia="Times New Roman" w:hAnsi="Times New Roman"/>
          <w:sz w:val="19"/>
          <w:szCs w:val="19"/>
          <w:b w:val="1"/>
          <w:bCs w:val="1"/>
          <w:color w:val="auto"/>
        </w:rPr>
        <w:t>Marcel Fohrmann, Founder of SQD</w:t>
      </w:r>
      <w:r>
        <w:rPr>
          <w:rFonts w:ascii="Times New Roman" w:cs="Times New Roman" w:eastAsia="Times New Roman" w:hAnsi="Times New Roman"/>
          <w:sz w:val="19"/>
          <w:szCs w:val="19"/>
          <w:color w:val="auto"/>
        </w:rPr>
        <w:t>. “By joining forces with Rezolve, we can accelerate our mission to make that data instantly usable for developers, enterprises, and AI systems building the decentralized data layer that connects AI, payments, and blockchain and forms the core infrastructure for agentic commerce at global scale.”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From Checkout to Data: One Intelligent Commerce Platform</w:t>
      </w:r>
    </w:p>
    <w:p>
      <w:pPr>
        <w:spacing w:after="0" w:line="26" w:lineRule="exact"/>
        <w:rPr>
          <w:sz w:val="20"/>
          <w:szCs w:val="20"/>
          <w:color w:val="auto"/>
        </w:rPr>
      </w:pPr>
    </w:p>
    <w:p>
      <w:pPr>
        <w:ind w:right="260"/>
        <w:spacing w:after="0" w:line="242" w:lineRule="auto"/>
        <w:rPr>
          <w:sz w:val="20"/>
          <w:szCs w:val="20"/>
          <w:color w:val="auto"/>
        </w:rPr>
      </w:pPr>
      <w:r>
        <w:rPr>
          <w:rFonts w:ascii="Times New Roman" w:cs="Times New Roman" w:eastAsia="Times New Roman" w:hAnsi="Times New Roman"/>
          <w:sz w:val="20"/>
          <w:szCs w:val="20"/>
          <w:color w:val="auto"/>
        </w:rPr>
        <w:t xml:space="preserve">Rezolve’s </w:t>
      </w:r>
      <w:r>
        <w:rPr>
          <w:rFonts w:ascii="Times New Roman" w:cs="Times New Roman" w:eastAsia="Times New Roman" w:hAnsi="Times New Roman"/>
          <w:sz w:val="20"/>
          <w:szCs w:val="20"/>
          <w:b w:val="1"/>
          <w:bCs w:val="1"/>
          <w:color w:val="auto"/>
        </w:rPr>
        <w:t>digital-asset checkout</w:t>
      </w:r>
      <w:r>
        <w:rPr>
          <w:rFonts w:ascii="Times New Roman" w:cs="Times New Roman" w:eastAsia="Times New Roman" w:hAnsi="Times New Roman"/>
          <w:sz w:val="20"/>
          <w:szCs w:val="20"/>
          <w:color w:val="auto"/>
        </w:rPr>
        <w:t xml:space="preserve"> now becomes even </w:t>
      </w:r>
      <w:r>
        <w:rPr>
          <w:rFonts w:ascii="Times New Roman" w:cs="Times New Roman" w:eastAsia="Times New Roman" w:hAnsi="Times New Roman"/>
          <w:sz w:val="20"/>
          <w:szCs w:val="20"/>
          <w:b w:val="1"/>
          <w:bCs w:val="1"/>
          <w:color w:val="auto"/>
        </w:rPr>
        <w:t>smarter, faster, and more adaptive</w:t>
      </w:r>
      <w:r>
        <w:rPr>
          <w:rFonts w:ascii="Times New Roman" w:cs="Times New Roman" w:eastAsia="Times New Roman" w:hAnsi="Times New Roman"/>
          <w:sz w:val="20"/>
          <w:szCs w:val="20"/>
          <w:color w:val="auto"/>
        </w:rPr>
        <w:t xml:space="preserve"> powered by Subsquid’s real-time data. For merchants and payment providers, this means </w:t>
      </w:r>
      <w:r>
        <w:rPr>
          <w:rFonts w:ascii="Times New Roman" w:cs="Times New Roman" w:eastAsia="Times New Roman" w:hAnsi="Times New Roman"/>
          <w:sz w:val="20"/>
          <w:szCs w:val="20"/>
          <w:b w:val="1"/>
          <w:bCs w:val="1"/>
          <w:color w:val="auto"/>
        </w:rPr>
        <w:t>instant settlement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lower transaction costs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AI-driven insights</w:t>
      </w:r>
      <w:r>
        <w:rPr>
          <w:rFonts w:ascii="Times New Roman" w:cs="Times New Roman" w:eastAsia="Times New Roman" w:hAnsi="Times New Roman"/>
          <w:sz w:val="20"/>
          <w:szCs w:val="20"/>
          <w:color w:val="auto"/>
        </w:rPr>
        <w:t xml:space="preserve"> that personalize offers and manage risk connecting the $100 trillion traditional finance system with the emerging decentralized economy.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Benchmark-Validated Performance</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Independent testing showed Subsquid’s indexing engine to be </w:t>
      </w:r>
      <w:r>
        <w:rPr>
          <w:rFonts w:ascii="Times New Roman" w:cs="Times New Roman" w:eastAsia="Times New Roman" w:hAnsi="Times New Roman"/>
          <w:sz w:val="20"/>
          <w:szCs w:val="20"/>
          <w:b w:val="1"/>
          <w:bCs w:val="1"/>
          <w:color w:val="auto"/>
        </w:rPr>
        <w:t>over 2,000× faster in disaster recovery</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2× faster in real-time indexing</w:t>
      </w:r>
      <w:r>
        <w:rPr>
          <w:rFonts w:ascii="Times New Roman" w:cs="Times New Roman" w:eastAsia="Times New Roman" w:hAnsi="Times New Roman"/>
          <w:sz w:val="20"/>
          <w:szCs w:val="20"/>
          <w:color w:val="auto"/>
        </w:rPr>
        <w:t xml:space="preserve"> than leading alternatives such as The Graph, while maintaining comparable query responsiveness. For commerce and retail, these gains translate into </w:t>
      </w:r>
      <w:r>
        <w:rPr>
          <w:rFonts w:ascii="Times New Roman" w:cs="Times New Roman" w:eastAsia="Times New Roman" w:hAnsi="Times New Roman"/>
          <w:sz w:val="20"/>
          <w:szCs w:val="20"/>
          <w:b w:val="1"/>
          <w:bCs w:val="1"/>
          <w:color w:val="auto"/>
        </w:rPr>
        <w:t>lower infrastructure costs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faster deployment</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fresher transaction data</w:t>
      </w:r>
      <w:r>
        <w:rPr>
          <w:rFonts w:ascii="Times New Roman" w:cs="Times New Roman" w:eastAsia="Times New Roman" w:hAnsi="Times New Roman"/>
          <w:sz w:val="20"/>
          <w:szCs w:val="20"/>
          <w:color w:val="auto"/>
        </w:rPr>
        <w:t>, delivering measurable value to AI-driven enterprises.</w:t>
      </w:r>
    </w:p>
    <w:p>
      <w:pPr>
        <w:spacing w:after="0" w:line="202"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Rezolve expects the acquisition to accelerate development of its Brain Suite architecture, integrating real-time blockchain data for improved prediction, personalization, and transaction intelligence across retail and financial verticals.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SQD Utility Token and Treasury Strategy</w:t>
      </w:r>
    </w:p>
    <w:p>
      <w:pPr>
        <w:spacing w:after="0" w:line="26" w:lineRule="exact"/>
        <w:rPr>
          <w:sz w:val="20"/>
          <w:szCs w:val="20"/>
          <w:color w:val="auto"/>
        </w:rPr>
      </w:pPr>
    </w:p>
    <w:p>
      <w:pPr>
        <w:ind w:right="780"/>
        <w:spacing w:after="0" w:line="246" w:lineRule="auto"/>
        <w:rPr>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color w:val="auto"/>
        </w:rPr>
        <w:t>SQD token</w:t>
      </w:r>
      <w:r>
        <w:rPr>
          <w:rFonts w:ascii="Times New Roman" w:cs="Times New Roman" w:eastAsia="Times New Roman" w:hAnsi="Times New Roman"/>
          <w:sz w:val="20"/>
          <w:szCs w:val="20"/>
          <w:color w:val="auto"/>
        </w:rPr>
        <w:t xml:space="preserve"> is a </w:t>
      </w:r>
      <w:r>
        <w:rPr>
          <w:rFonts w:ascii="Times New Roman" w:cs="Times New Roman" w:eastAsia="Times New Roman" w:hAnsi="Times New Roman"/>
          <w:sz w:val="20"/>
          <w:szCs w:val="20"/>
          <w:b w:val="1"/>
          <w:bCs w:val="1"/>
          <w:color w:val="auto"/>
        </w:rPr>
        <w:t>utility token</w:t>
      </w:r>
      <w:r>
        <w:rPr>
          <w:rFonts w:ascii="Times New Roman" w:cs="Times New Roman" w:eastAsia="Times New Roman" w:hAnsi="Times New Roman"/>
          <w:sz w:val="20"/>
          <w:szCs w:val="20"/>
          <w:color w:val="auto"/>
        </w:rPr>
        <w:t xml:space="preserve"> for the Subsquid network supporting participation, access, and usage within its decentralized data ecosystem.</w:t>
      </w:r>
    </w:p>
    <w:p>
      <w:pPr>
        <w:spacing w:after="0" w:line="19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0"/>
          <w:szCs w:val="20"/>
          <w:color w:val="auto"/>
        </w:rPr>
        <w:t xml:space="preserve">Rezolve intends to acquire </w:t>
      </w:r>
      <w:r>
        <w:rPr>
          <w:rFonts w:ascii="Times New Roman" w:cs="Times New Roman" w:eastAsia="Times New Roman" w:hAnsi="Times New Roman"/>
          <w:sz w:val="20"/>
          <w:szCs w:val="20"/>
          <w:b w:val="1"/>
          <w:bCs w:val="1"/>
          <w:color w:val="auto"/>
        </w:rPr>
        <w:t>SQD tokens (</w:t>
      </w:r>
      <w:r>
        <w:rPr>
          <w:rFonts w:ascii="Times New Roman" w:cs="Times New Roman" w:eastAsia="Times New Roman" w:hAnsi="Times New Roman"/>
          <w:sz w:val="20"/>
          <w:szCs w:val="20"/>
          <w:color w:val="auto"/>
        </w:rPr>
        <w:t xml:space="preserve">which will be rebranded in due course) </w:t>
      </w:r>
      <w:r>
        <w:rPr>
          <w:rFonts w:ascii="Times New Roman" w:cs="Times New Roman" w:eastAsia="Times New Roman" w:hAnsi="Times New Roman"/>
          <w:sz w:val="20"/>
          <w:szCs w:val="20"/>
          <w:b w:val="1"/>
          <w:bCs w:val="1"/>
          <w:color w:val="auto"/>
        </w:rPr>
        <w:t>equivalent to at least 1% of annual company revenues</w:t>
      </w:r>
      <w:r>
        <w:rPr>
          <w:rFonts w:ascii="Times New Roman" w:cs="Times New Roman" w:eastAsia="Times New Roman" w:hAnsi="Times New Roman"/>
          <w:sz w:val="20"/>
          <w:szCs w:val="20"/>
          <w:color w:val="auto"/>
        </w:rPr>
        <w:t xml:space="preserve"> each year, subject to applicable laws and market conditions, building a strategic treasury position aligned with the adoption of on-chain data and agentic commerce.</w:t>
      </w:r>
    </w:p>
    <w:p>
      <w:pPr>
        <w:spacing w:after="0" w:line="186" w:lineRule="exact"/>
        <w:rPr>
          <w:sz w:val="20"/>
          <w:szCs w:val="20"/>
          <w:color w:val="auto"/>
        </w:rPr>
      </w:pPr>
    </w:p>
    <w:p>
      <w:pPr>
        <w:ind w:right="620"/>
        <w:spacing w:after="0" w:line="269" w:lineRule="auto"/>
        <w:rPr>
          <w:sz w:val="20"/>
          <w:szCs w:val="20"/>
          <w:color w:val="auto"/>
        </w:rPr>
      </w:pPr>
      <w:r>
        <w:rPr>
          <w:rFonts w:ascii="Times New Roman" w:cs="Times New Roman" w:eastAsia="Times New Roman" w:hAnsi="Times New Roman"/>
          <w:sz w:val="20"/>
          <w:szCs w:val="20"/>
          <w:color w:val="auto"/>
        </w:rPr>
        <w:t>The acquisition underscores the growing importance of decentralized data infrastructure as a catalyst for AI-driven commerce, linking enterprise adoption with the innovation energy of Web3.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1176020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2"/>
          <w:szCs w:val="22"/>
          <w:b w:val="1"/>
          <w:bCs w:val="1"/>
          <w:color w:val="auto"/>
        </w:rPr>
        <w:t>About Rezolve Ai</w:t>
      </w:r>
    </w:p>
    <w:p>
      <w:pPr>
        <w:spacing w:after="0" w:line="2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Rezolve Ai (NASDAQ: RZLV) is a global leader in AI-driven commerce, providing retailers and brands with proprietary technology that powers search, personalization, checkout, and omni-channel engagement. Its solutions enable businesses to harness AI for smarter customer experiences and operational efficiency. With foundational partnerships with Microsoft, Google, and Tether, Rezolve Ai is positioned to drive innovation across the $30 trillion global retail market. For more information, visit www.rezolve.com.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0"/>
          <w:szCs w:val="20"/>
          <w:color w:val="auto"/>
        </w:rPr>
        <w:t>This press release contains forward-looking statements, including expectations regarding Rezolve Ai’s revenue performance, market opportunity, and comparisons to peer companies. Forward-looking statements are subject to risks and uncertainties that could cause actual results to differ materially. Comparisons to other companies are provided for illustrative purposes only; such companies differ from Rezolve Ai in scale, business model, funding, and risk profile. There is no assurance that similar valuation multiples will apply to Rezolve Ai. Additional information regarding risks and uncertainties facing Rezolve Ai is included in the Company’s filings with the SEC. Rezolve Ai undertakes no obligation to update forward-looking statements, except as required by law.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investors@rezolve.com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Rezolve Ai</w:t>
      </w:r>
    </w:p>
    <w:p>
      <w:pPr>
        <w:spacing w:after="0"/>
        <w:rPr>
          <w:sz w:val="20"/>
          <w:szCs w:val="20"/>
          <w:color w:val="auto"/>
        </w:rPr>
      </w:pPr>
      <w:r>
        <w:rPr>
          <w:rFonts w:ascii="Times New Roman" w:cs="Times New Roman" w:eastAsia="Times New Roman" w:hAnsi="Times New Roman"/>
          <w:sz w:val="20"/>
          <w:szCs w:val="20"/>
          <w:color w:val="auto"/>
        </w:rPr>
        <w:t>Urmee Khan - Global Head of Communications</w:t>
      </w:r>
    </w:p>
    <w:p>
      <w:pPr>
        <w:spacing w:after="0"/>
        <w:rPr>
          <w:sz w:val="20"/>
          <w:szCs w:val="20"/>
          <w:color w:val="auto"/>
        </w:rPr>
      </w:pPr>
      <w:r>
        <w:rPr>
          <w:rFonts w:ascii="Times New Roman" w:cs="Times New Roman" w:eastAsia="Times New Roman" w:hAnsi="Times New Roman"/>
          <w:sz w:val="20"/>
          <w:szCs w:val="20"/>
          <w:color w:val="auto"/>
        </w:rPr>
        <w:t>urmeekhan@rezolve.com</w:t>
      </w:r>
    </w:p>
    <w:p>
      <w:pPr>
        <w:spacing w:after="0"/>
        <w:rPr>
          <w:sz w:val="20"/>
          <w:szCs w:val="20"/>
          <w:color w:val="auto"/>
        </w:rPr>
      </w:pPr>
      <w:r>
        <w:rPr>
          <w:rFonts w:ascii="Times New Roman" w:cs="Times New Roman" w:eastAsia="Times New Roman" w:hAnsi="Times New Roman"/>
          <w:sz w:val="20"/>
          <w:szCs w:val="20"/>
          <w:color w:val="auto"/>
        </w:rPr>
        <w:t>+44 7576 094 040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180"/>
      </w:cols>
      <w:pgMar w:left="320" w:top="140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2C296BD"/>
    <w:multiLevelType w:val="hybridMultilevel"/>
    <w:lvl w:ilvl="0">
      <w:lvlJc w:val="left"/>
      <w:lvlText w:val="(%1)"/>
      <w:numFmt w:val="lowerRoman"/>
      <w:start w:val="1"/>
    </w:lvl>
  </w:abstractNum>
  <w:abstractNum w:abstractNumId="1">
    <w:nsid w:val="168E121F"/>
    <w:multiLevelType w:val="hybridMultilevel"/>
    <w:lvl w:ilvl="0">
      <w:lvlJc w:val="left"/>
      <w:lvlText w:val="%1"/>
      <w:numFmt w:val="lowerLetter"/>
      <w:start w:val="1"/>
    </w:lvl>
    <w:lvl w:ilvl="1">
      <w:lvlJc w:val="left"/>
      <w:lvlText w:val="(%2)"/>
      <w:numFmt w:val="lowerLetter"/>
      <w:start w:val="35"/>
    </w:lvl>
  </w:abstractNum>
  <w:abstractNum w:abstractNumId="2">
    <w:nsid w:val="1EBA5D23"/>
    <w:multiLevelType w:val="hybridMultilevel"/>
    <w:lvl w:ilvl="0">
      <w:lvlJc w:val="left"/>
      <w:lvlText w:val="(%1)"/>
      <w:numFmt w:val="lowerLetter"/>
      <w:start w:val="2"/>
    </w:lvl>
    <w:lvl w:ilvl="1">
      <w:lvlJc w:val="left"/>
      <w:lvlText w:val="%2"/>
      <w:numFmt w:val="lowerLetter"/>
      <w:start w:val="1"/>
    </w:lvl>
  </w:abstractNum>
  <w:abstractNum w:abstractNumId="3">
    <w:nsid w:val="661E3F1E"/>
    <w:multiLevelType w:val="hybridMultilevel"/>
    <w:lvl w:ilvl="0">
      <w:lvlJc w:val="left"/>
      <w:lvlText w:val="(%1)"/>
      <w:numFmt w:val="lowerLetter"/>
      <w:start w:val="1"/>
    </w:lvl>
    <w:lvl w:ilvl="1">
      <w:lvlJc w:val="left"/>
      <w:lvlText w:val="(%2)"/>
      <w:numFmt w:val="lowerLetter"/>
      <w:start w:val="9"/>
    </w:lvl>
  </w:abstractNum>
  <w:abstractNum w:abstractNumId="4">
    <w:nsid w:val="5DC79EA8"/>
    <w:multiLevelType w:val="hybridMultilevel"/>
    <w:lvl w:ilvl="0">
      <w:lvlJc w:val="left"/>
      <w:lvlText w:val="(%1)"/>
      <w:numFmt w:val="lowerLetter"/>
      <w:start w:val="2"/>
    </w:lvl>
    <w:lvl w:ilvl="1">
      <w:lvlJc w:val="left"/>
      <w:lvlText w:val="(%2)"/>
      <w:numFmt w:val="lowerLetter"/>
      <w:start w:val="9"/>
    </w:lvl>
  </w:abstractNum>
  <w:abstractNum w:abstractNumId="5">
    <w:nsid w:val="540A471C"/>
    <w:multiLevelType w:val="hybridMultilevel"/>
    <w:lvl w:ilvl="0">
      <w:lvlJc w:val="left"/>
      <w:lvlText w:val="(%1)"/>
      <w:numFmt w:val="lowerLetter"/>
      <w:start w:val="3"/>
    </w:lvl>
    <w:lvl w:ilvl="1">
      <w:lvlJc w:val="left"/>
      <w:lvlText w:val="(%2)"/>
      <w:numFmt w:val="lowerRoman"/>
      <w:start w:val="1"/>
    </w:lvl>
  </w:abstractNum>
  <w:abstractNum w:abstractNumId="6">
    <w:nsid w:val="7BD3EE7B"/>
    <w:multiLevelType w:val="hybridMultilevel"/>
    <w:lvl w:ilvl="0">
      <w:lvlJc w:val="left"/>
      <w:lvlText w:val="(%1)"/>
      <w:numFmt w:val="lowerLetter"/>
      <w:start w:val="4"/>
    </w:lvl>
  </w:abstractNum>
  <w:abstractNum w:abstractNumId="7">
    <w:nsid w:val="51D9C564"/>
    <w:multiLevelType w:val="hybridMultilevel"/>
    <w:lvl w:ilvl="0">
      <w:lvlJc w:val="left"/>
      <w:lvlText w:val="%1"/>
      <w:numFmt w:val="lowerLetter"/>
      <w:start w:val="1"/>
    </w:lvl>
    <w:lvl w:ilvl="1">
      <w:lvlJc w:val="left"/>
      <w:lvlText w:val="(%2)"/>
      <w:numFmt w:val="lowerLetter"/>
      <w:start w:val="9"/>
    </w:lvl>
  </w:abstractNum>
  <w:abstractNum w:abstractNumId="8">
    <w:nsid w:val="613EFDC5"/>
    <w:multiLevelType w:val="hybridMultilevel"/>
    <w:lvl w:ilvl="0">
      <w:lvlJc w:val="left"/>
      <w:lvlText w:val="(%1)"/>
      <w:numFmt w:val="lowerLetter"/>
      <w:start w:val="5"/>
    </w:lvl>
    <w:lvl w:ilvl="1">
      <w:lvlJc w:val="left"/>
      <w:lvlText w:val="(%2)"/>
      <w:numFmt w:val="lowerLetter"/>
      <w:start w:val="9"/>
    </w:lvl>
  </w:abstractNum>
  <w:abstractNum w:abstractNumId="9">
    <w:nsid w:val="BF72B14"/>
    <w:multiLevelType w:val="hybridMultilevel"/>
    <w:lvl w:ilvl="0">
      <w:lvlJc w:val="left"/>
      <w:lvlText w:val="(%1)"/>
      <w:numFmt w:val="lowerRoman"/>
      <w:start w:val="2"/>
    </w:lvl>
  </w:abstractNum>
  <w:abstractNum w:abstractNumId="10">
    <w:nsid w:val="11447B73"/>
    <w:multiLevelType w:val="hybridMultilevel"/>
    <w:lvl w:ilvl="0">
      <w:lvlJc w:val="left"/>
      <w:lvlText w:val="(%1)"/>
      <w:numFmt w:val="lowerRoman"/>
      <w:start w:val="5"/>
    </w:lvl>
  </w:abstractNum>
  <w:abstractNum w:abstractNumId="11">
    <w:nsid w:val="42963E5A"/>
    <w:multiLevelType w:val="hybridMultilevel"/>
    <w:lvl w:ilvl="0">
      <w:lvlJc w:val="left"/>
      <w:lvlText w:val="(%1)"/>
      <w:numFmt w:val="lowerLetter"/>
      <w:start w:val="1"/>
    </w:lvl>
  </w:abstractNum>
  <w:abstractNum w:abstractNumId="12">
    <w:nsid w:val="A0382C5"/>
    <w:multiLevelType w:val="hybridMultilevel"/>
    <w:lvl w:ilvl="0">
      <w:lvlJc w:val="left"/>
      <w:lvlText w:val="(%1)"/>
      <w:numFmt w:val="lowerLetter"/>
      <w:start w:val="1"/>
    </w:lvl>
  </w:abstractNum>
  <w:abstractNum w:abstractNumId="13">
    <w:nsid w:val="8F2B15E"/>
    <w:multiLevelType w:val="hybridMultilevel"/>
    <w:lvl w:ilvl="0">
      <w:lvlJc w:val="left"/>
      <w:lvlText w:val="(%1)"/>
      <w:numFmt w:val="lowerLetter"/>
      <w:start w:val="1"/>
    </w:lvl>
  </w:abstractNum>
  <w:abstractNum w:abstractNumId="14">
    <w:nsid w:val="1A32234B"/>
    <w:multiLevelType w:val="hybridMultilevel"/>
    <w:lvl w:ilvl="0">
      <w:lvlJc w:val="left"/>
      <w:lvlText w:val="(%1)"/>
      <w:numFmt w:val="lowerLetter"/>
      <w:start w:val="1"/>
    </w:lvl>
    <w:lvl w:ilvl="1">
      <w:lvlJc w:val="left"/>
      <w:lvlText w:val="(%2)"/>
      <w:numFmt w:val="lowerLetter"/>
      <w:start w:val="2"/>
    </w:lvl>
  </w:abstractNum>
  <w:abstractNum w:abstractNumId="15">
    <w:nsid w:val="3B0FD379"/>
    <w:multiLevelType w:val="hybridMultilevel"/>
    <w:lvl w:ilvl="0">
      <w:lvlJc w:val="left"/>
      <w:lvlText w:val="(%1)"/>
      <w:numFmt w:val="lowerLetter"/>
      <w:start w:val="5"/>
    </w:lvl>
  </w:abstractNum>
  <w:abstractNum w:abstractNumId="16">
    <w:nsid w:val="68EB2F63"/>
    <w:multiLevelType w:val="hybridMultilevel"/>
    <w:lvl w:ilvl="0">
      <w:lvlJc w:val="left"/>
      <w:lvlText w:val="(%1)"/>
      <w:numFmt w:val="lowerLetter"/>
      <w:start w:val="1"/>
    </w:lvl>
  </w:abstractNum>
  <w:abstractNum w:abstractNumId="17">
    <w:nsid w:val="4962813B"/>
    <w:multiLevelType w:val="hybridMultilevel"/>
    <w:lvl w:ilvl="0">
      <w:lvlJc w:val="left"/>
      <w:lvlText w:val="%1"/>
      <w:numFmt w:val="lowerLetter"/>
      <w:start w:val="1"/>
    </w:lvl>
    <w:lvl w:ilvl="1">
      <w:lvlJc w:val="left"/>
      <w:lvlText w:val="(%2)"/>
      <w:numFmt w:val="lowerLetter"/>
      <w:start w:val="1"/>
    </w:lvl>
  </w:abstractNum>
  <w:abstractNum w:abstractNumId="18">
    <w:nsid w:val="60B6DF70"/>
    <w:multiLevelType w:val="hybridMultilevel"/>
    <w:lvl w:ilvl="0">
      <w:lvlJc w:val="left"/>
      <w:lvlText w:val="(%1)"/>
      <w:numFmt w:val="lowerLetter"/>
      <w:start w:val="35"/>
    </w:lvl>
    <w:lvl w:ilvl="1">
      <w:lvlJc w:val="left"/>
      <w:lvlText w:val="%2"/>
      <w:numFmt w:val="lowerLetter"/>
      <w:start w:val="1"/>
    </w:lvl>
  </w:abstractNum>
  <w:abstractNum w:abstractNumId="19">
    <w:nsid w:val="6A5EE64"/>
    <w:multiLevelType w:val="hybridMultilevel"/>
    <w:lvl w:ilvl="0">
      <w:lvlJc w:val="left"/>
      <w:lvlText w:val="(%1)"/>
      <w:numFmt w:val="lowerLetter"/>
      <w:start w:val="1"/>
    </w:lvl>
  </w:abstractNum>
  <w:abstractNum w:abstractNumId="20">
    <w:nsid w:val="14330624"/>
    <w:multiLevelType w:val="hybridMultilevel"/>
    <w:lvl w:ilvl="0">
      <w:lvlJc w:val="left"/>
      <w:lvlText w:val="(%1)"/>
      <w:numFmt w:val="lowerLetter"/>
      <w:start w:val="10"/>
    </w:lvl>
  </w:abstractNum>
  <w:abstractNum w:abstractNumId="21">
    <w:nsid w:val="7FFFCA11"/>
    <w:multiLevelType w:val="hybridMultilevel"/>
    <w:lvl w:ilvl="0">
      <w:lvlJc w:val="left"/>
      <w:lvlText w:val="(%1)"/>
      <w:numFmt w:val="lowerLetter"/>
      <w:start w:val="1"/>
    </w:lvl>
    <w:lvl w:ilvl="1">
      <w:lvlJc w:val="left"/>
      <w:lvlText w:val="(%2)"/>
      <w:numFmt w:val="lowerRoman"/>
      <w:start w:val="1"/>
    </w:lvl>
  </w:abstractNum>
  <w:abstractNum w:abstractNumId="22">
    <w:nsid w:val="1A27709E"/>
    <w:multiLevelType w:val="hybridMultilevel"/>
    <w:lvl w:ilvl="0">
      <w:lvlJc w:val="left"/>
      <w:lvlText w:val="(%1)"/>
      <w:numFmt w:val="lowerRoman"/>
      <w:start w:val="5"/>
    </w:lvl>
  </w:abstractNum>
  <w:abstractNum w:abstractNumId="23">
    <w:nsid w:val="71EA1109"/>
    <w:multiLevelType w:val="hybridMultilevel"/>
    <w:lvl w:ilvl="0">
      <w:lvlJc w:val="left"/>
      <w:lvlText w:val="(%1)"/>
      <w:numFmt w:val="lowerRoman"/>
      <w:start w:val="10"/>
    </w:lvl>
  </w:abstractNum>
  <w:abstractNum w:abstractNumId="24">
    <w:nsid w:val="100F59DC"/>
    <w:multiLevelType w:val="hybridMultilevel"/>
    <w:lvl w:ilvl="0">
      <w:lvlJc w:val="left"/>
      <w:lvlText w:val="%1"/>
      <w:numFmt w:val="lowerLetter"/>
      <w:start w:val="1"/>
    </w:lvl>
    <w:lvl w:ilvl="1">
      <w:lvlJc w:val="left"/>
      <w:lvlText w:val="(%2)"/>
      <w:numFmt w:val="lowerRoman"/>
      <w:start w:val="21"/>
    </w:lvl>
  </w:abstractNum>
  <w:abstractNum w:abstractNumId="25">
    <w:nsid w:val="7FB7E0AA"/>
    <w:multiLevelType w:val="hybridMultilevel"/>
    <w:lvl w:ilvl="0">
      <w:lvlJc w:val="left"/>
      <w:lvlText w:val="(%1)"/>
      <w:numFmt w:val="lowerLetter"/>
      <w:start w:val="2"/>
    </w:lvl>
    <w:lvl w:ilvl="1">
      <w:lvlJc w:val="left"/>
      <w:lvlText w:val="%2"/>
      <w:numFmt w:val="lowerRoman"/>
      <w:start w:val="1"/>
    </w:lvl>
  </w:abstractNum>
  <w:abstractNum w:abstractNumId="26">
    <w:nsid w:val="6EB5BD4"/>
    <w:multiLevelType w:val="hybridMultilevel"/>
    <w:lvl w:ilvl="0">
      <w:lvlJc w:val="left"/>
      <w:lvlText w:val="(%1)"/>
      <w:numFmt w:val="lowerLetter"/>
      <w:start w:val="1"/>
    </w:lvl>
  </w:abstractNum>
  <w:abstractNum w:abstractNumId="27">
    <w:nsid w:val="6F6DD9AC"/>
    <w:multiLevelType w:val="hybridMultilevel"/>
    <w:lvl w:ilvl="0">
      <w:lvlJc w:val="left"/>
      <w:lvlText w:val="(%1)"/>
      <w:numFmt w:val="lowerLetter"/>
      <w:start w:val="3"/>
    </w:lvl>
  </w:abstractNum>
  <w:abstractNum w:abstractNumId="28">
    <w:nsid w:val="94211F2"/>
    <w:multiLevelType w:val="hybridMultilevel"/>
    <w:lvl w:ilvl="0">
      <w:lvlJc w:val="left"/>
      <w:lvlText w:val="(%1)"/>
      <w:numFmt w:val="lowerLetter"/>
      <w:start w:val="7"/>
    </w:lvl>
  </w:abstractNum>
  <w:abstractNum w:abstractNumId="29">
    <w:nsid w:val="885E1B"/>
    <w:multiLevelType w:val="hybridMultilevel"/>
    <w:lvl w:ilvl="0">
      <w:lvlJc w:val="left"/>
      <w:lvlText w:val="(%1)"/>
      <w:numFmt w:val="lowerLetter"/>
      <w:start w:val="11"/>
    </w:lvl>
  </w:abstractNum>
  <w:abstractNum w:abstractNumId="30">
    <w:nsid w:val="76272110"/>
    <w:multiLevelType w:val="hybridMultilevel"/>
    <w:lvl w:ilvl="0">
      <w:lvlJc w:val="left"/>
      <w:lvlText w:val="(%1)"/>
      <w:numFmt w:val="lowerLetter"/>
      <w:start w:val="14"/>
    </w:lvl>
  </w:abstractNum>
  <w:abstractNum w:abstractNumId="31">
    <w:nsid w:val="4C04A8AF"/>
    <w:multiLevelType w:val="hybridMultilevel"/>
    <w:lvl w:ilvl="0">
      <w:lvlJc w:val="left"/>
      <w:lvlText w:val="(%1)"/>
      <w:numFmt w:val="lowerRoman"/>
      <w:start w:val="4"/>
    </w:lvl>
    <w:lvl w:ilvl="1">
      <w:lvlJc w:val="left"/>
      <w:lvlText w:val="(%2)"/>
      <w:numFmt w:val="lowerLetter"/>
      <w:start w:val="18"/>
    </w:lvl>
  </w:abstractNum>
  <w:abstractNum w:abstractNumId="32">
    <w:nsid w:val="1716703B"/>
    <w:multiLevelType w:val="hybridMultilevel"/>
    <w:lvl w:ilvl="0">
      <w:lvlJc w:val="left"/>
      <w:lvlText w:val="(%1)"/>
      <w:numFmt w:val="lowerLetter"/>
      <w:start w:val="1"/>
    </w:lvl>
  </w:abstractNum>
  <w:abstractNum w:abstractNumId="33">
    <w:nsid w:val="14E17E33"/>
    <w:multiLevelType w:val="hybridMultilevel"/>
    <w:lvl w:ilvl="0">
      <w:lvlJc w:val="left"/>
      <w:lvlText w:val="(%1)"/>
      <w:numFmt w:val="lowerLetter"/>
      <w:start w:val="8"/>
    </w:lvl>
  </w:abstractNum>
  <w:abstractNum w:abstractNumId="34">
    <w:nsid w:val="3222E7CD"/>
    <w:multiLevelType w:val="hybridMultilevel"/>
    <w:lvl w:ilvl="0">
      <w:lvlJc w:val="left"/>
      <w:lvlText w:val="(%1)"/>
      <w:numFmt w:val="lowerLetter"/>
      <w:start w:val="1"/>
    </w:lvl>
  </w:abstractNum>
  <w:abstractNum w:abstractNumId="35">
    <w:nsid w:val="74DE0EE3"/>
    <w:multiLevelType w:val="hybridMultilevel"/>
    <w:lvl w:ilvl="0">
      <w:lvlJc w:val="left"/>
      <w:lvlText w:val="(%1)"/>
      <w:numFmt w:val="lowerLetter"/>
      <w:start w:val="1"/>
    </w:lvl>
  </w:abstractNum>
  <w:abstractNum w:abstractNumId="36">
    <w:nsid w:val="68EBC550"/>
    <w:multiLevelType w:val="hybridMultilevel"/>
    <w:lvl w:ilvl="0">
      <w:lvlJc w:val="left"/>
      <w:lvlText w:val="(%1)"/>
      <w:numFmt w:val="lowerRoman"/>
      <w:start w:val="1"/>
    </w:lvl>
  </w:abstractNum>
  <w:abstractNum w:abstractNumId="37">
    <w:nsid w:val="2DF6D648"/>
    <w:multiLevelType w:val="hybridMultilevel"/>
    <w:lvl w:ilvl="0">
      <w:lvlJc w:val="left"/>
      <w:lvlText w:val="(%1)"/>
      <w:numFmt w:val="lowerRoman"/>
      <w:start w:val="5"/>
    </w:lvl>
  </w:abstractNum>
  <w:abstractNum w:abstractNumId="38">
    <w:nsid w:val="46B7D447"/>
    <w:multiLevelType w:val="hybridMultilevel"/>
    <w:lvl w:ilvl="0">
      <w:lvlJc w:val="left"/>
      <w:lvlText w:val="(%1)"/>
      <w:numFmt w:val="lowerLetter"/>
      <w:start w:val="2"/>
    </w:lvl>
    <w:lvl w:ilvl="1">
      <w:lvlJc w:val="left"/>
      <w:lvlText w:val="(%2)"/>
      <w:numFmt w:val="lowerRoman"/>
      <w:start w:val="1"/>
    </w:lvl>
  </w:abstractNum>
  <w:abstractNum w:abstractNumId="39">
    <w:nsid w:val="4A2AC315"/>
    <w:multiLevelType w:val="hybridMultilevel"/>
    <w:lvl w:ilvl="0">
      <w:lvlJc w:val="left"/>
      <w:lvlText w:val="(%1)"/>
      <w:numFmt w:val="lowerLetter"/>
      <w:start w:val="1"/>
    </w:lvl>
  </w:abstractNum>
  <w:abstractNum w:abstractNumId="40">
    <w:nsid w:val="39EE015C"/>
    <w:multiLevelType w:val="hybridMultilevel"/>
    <w:lvl w:ilvl="0">
      <w:lvlJc w:val="left"/>
      <w:lvlText w:val="(%1)"/>
      <w:numFmt w:val="lowerLetter"/>
      <w:start w:val="1"/>
    </w:lvl>
  </w:abstractNum>
  <w:abstractNum w:abstractNumId="41">
    <w:nsid w:val="57FC4FBB"/>
    <w:multiLevelType w:val="hybridMultilevel"/>
    <w:lvl w:ilvl="0">
      <w:lvlJc w:val="left"/>
      <w:lvlText w:val="(%1)"/>
      <w:numFmt w:val="lowerLetter"/>
      <w:start w:val="1"/>
    </w:lvl>
  </w:abstractNum>
  <w:abstractNum w:abstractNumId="42">
    <w:nsid w:val="CC1016F"/>
    <w:multiLevelType w:val="hybridMultilevel"/>
    <w:lvl w:ilvl="0">
      <w:lvlJc w:val="left"/>
      <w:lvlText w:val="(%1)"/>
      <w:numFmt w:val="lowerLetter"/>
      <w:start w:val="1"/>
    </w:lvl>
  </w:abstractNum>
  <w:abstractNum w:abstractNumId="43">
    <w:nsid w:val="43F18422"/>
    <w:multiLevelType w:val="hybridMultilevel"/>
    <w:lvl w:ilvl="0">
      <w:lvlJc w:val="left"/>
      <w:lvlText w:val="(%1)"/>
      <w:numFmt w:val="lowerLetter"/>
      <w:start w:val="1"/>
    </w:lvl>
    <w:lvl w:ilvl="1">
      <w:lvlJc w:val="left"/>
      <w:lvlText w:val="(%2)"/>
      <w:numFmt w:val="lowerRoman"/>
      <w:start w:val="1"/>
    </w:lvl>
  </w:abstractNum>
  <w:abstractNum w:abstractNumId="44">
    <w:nsid w:val="60EF0119"/>
    <w:multiLevelType w:val="hybridMultilevel"/>
    <w:lvl w:ilvl="0">
      <w:lvlJc w:val="left"/>
      <w:lvlText w:val="(%1)"/>
      <w:numFmt w:val="lowerLetter"/>
      <w:start w:val="2"/>
    </w:lvl>
    <w:lvl w:ilvl="1">
      <w:lvlJc w:val="left"/>
      <w:lvlText w:val="(%2)"/>
      <w:numFmt w:val="lowerRoman"/>
      <w:start w:val="1"/>
    </w:lvl>
  </w:abstractNum>
  <w:abstractNum w:abstractNumId="45">
    <w:nsid w:val="26F324BA"/>
    <w:multiLevelType w:val="hybridMultilevel"/>
    <w:lvl w:ilvl="0">
      <w:lvlJc w:val="left"/>
      <w:lvlText w:val="(%1)"/>
      <w:numFmt w:val="lowerLetter"/>
      <w:start w:val="3"/>
    </w:lvl>
  </w:abstractNum>
  <w:abstractNum w:abstractNumId="46">
    <w:nsid w:val="7F01579B"/>
    <w:multiLevelType w:val="hybridMultilevel"/>
    <w:lvl w:ilvl="0">
      <w:lvlJc w:val="left"/>
      <w:lvlText w:val="(%1)"/>
      <w:numFmt w:val="lowerLetter"/>
      <w:start w:val="1"/>
    </w:lvl>
  </w:abstractNum>
  <w:abstractNum w:abstractNumId="47">
    <w:nsid w:val="49DA307D"/>
    <w:multiLevelType w:val="hybridMultilevel"/>
    <w:lvl w:ilvl="0">
      <w:lvlJc w:val="left"/>
      <w:lvlText w:val="(%1)"/>
      <w:numFmt w:val="lowerLetter"/>
      <w:start w:val="1"/>
    </w:lvl>
  </w:abstractNum>
  <w:abstractNum w:abstractNumId="48">
    <w:nsid w:val="7055A5F5"/>
    <w:multiLevelType w:val="hybridMultilevel"/>
    <w:lvl w:ilvl="0">
      <w:lvlJc w:val="left"/>
      <w:lvlText w:val="(%1)"/>
      <w:numFmt w:val="lowerRoman"/>
      <w:start w:val="3"/>
    </w:lvl>
  </w:abstractNum>
  <w:abstractNum w:abstractNumId="49">
    <w:nsid w:val="5FB8370B"/>
    <w:multiLevelType w:val="hybridMultilevel"/>
    <w:lvl w:ilvl="0">
      <w:lvlJc w:val="left"/>
      <w:lvlText w:val="(%1)"/>
      <w:numFmt w:val="lowerRoman"/>
      <w:start w:val="1"/>
    </w:lvl>
  </w:abstractNum>
  <w:abstractNum w:abstractNumId="50">
    <w:nsid w:val="50801EE1"/>
    <w:multiLevelType w:val="hybridMultilevel"/>
    <w:lvl w:ilvl="0">
      <w:lvlJc w:val="left"/>
      <w:lvlText w:val="(%1)"/>
      <w:numFmt w:val="lowerRoman"/>
      <w:start w:val="20"/>
    </w:lvl>
  </w:abstractNum>
  <w:abstractNum w:abstractNumId="51">
    <w:nsid w:val="488AC1A"/>
    <w:multiLevelType w:val="hybridMultilevel"/>
    <w:lvl w:ilvl="0">
      <w:lvlJc w:val="left"/>
      <w:lvlText w:val="(%1)"/>
      <w:numFmt w:val="lowerRoman"/>
      <w:start w:val="3"/>
    </w:lvl>
  </w:abstractNum>
  <w:abstractNum w:abstractNumId="52">
    <w:nsid w:val="5FB8011C"/>
    <w:multiLevelType w:val="hybridMultilevel"/>
    <w:lvl w:ilvl="0">
      <w:lvlJc w:val="left"/>
      <w:lvlText w:val="(%1)"/>
      <w:numFmt w:val="upperLetter"/>
      <w:start w:val="3"/>
    </w:lvl>
  </w:abstractNum>
  <w:abstractNum w:abstractNumId="53">
    <w:nsid w:val="6AA78F7F"/>
    <w:multiLevelType w:val="hybridMultilevel"/>
    <w:lvl w:ilvl="0">
      <w:lvlJc w:val="left"/>
      <w:lvlText w:val="(%1)"/>
      <w:numFmt w:val="upperLetter"/>
      <w:start w:val="1"/>
    </w:lvl>
  </w:abstractNum>
  <w:abstractNum w:abstractNumId="54">
    <w:nsid w:val="7672BD23"/>
    <w:multiLevelType w:val="hybridMultilevel"/>
    <w:lvl w:ilvl="0">
      <w:lvlJc w:val="left"/>
      <w:lvlText w:val="•"/>
      <w:numFmt w:val="bullet"/>
      <w:start w:val="1"/>
    </w:lvl>
  </w:abstractNum>
  <w:abstractNum w:abstractNumId="55">
    <w:nsid w:val="6FC75AF8"/>
    <w:multiLevelType w:val="hybridMultilevel"/>
    <w:lvl w:ilvl="0">
      <w:lvlJc w:val="left"/>
      <w:lvlText w:val="(%1)"/>
      <w:numFmt w:val="lowerLetter"/>
      <w:start w:val="1"/>
    </w:lvl>
    <w:lvl w:ilvl="1">
      <w:lvlJc w:val="left"/>
      <w:lvlText w:val="(%2)"/>
      <w:numFmt w:val="lowerLetter"/>
      <w:start w:val="2"/>
    </w:lvl>
  </w:abstractNum>
  <w:abstractNum w:abstractNumId="56">
    <w:nsid w:val="6A5F7029"/>
    <w:multiLevelType w:val="hybridMultilevel"/>
    <w:lvl w:ilvl="0">
      <w:lvlJc w:val="left"/>
      <w:lvlText w:val="(%1)"/>
      <w:numFmt w:val="lowerRoman"/>
      <w:start w:val="2"/>
    </w:lvl>
  </w:abstractNum>
  <w:abstractNum w:abstractNumId="57">
    <w:nsid w:val="7D5E18F8"/>
    <w:multiLevelType w:val="hybridMultilevel"/>
    <w:lvl w:ilvl="0">
      <w:lvlJc w:val="left"/>
      <w:lvlText w:val="%1."/>
      <w:numFmt w:val="decimal"/>
      <w:start w:val="1"/>
    </w:lvl>
  </w:abstractNum>
  <w:abstractNum w:abstractNumId="58">
    <w:nsid w:val="5F3534A4"/>
    <w:multiLevelType w:val="hybridMultilevel"/>
    <w:lvl w:ilvl="0">
      <w:lvlJc w:val="left"/>
      <w:lvlText w:val="(%1)"/>
      <w:numFmt w:val="lowerRoman"/>
      <w:start w:val="1"/>
    </w:lvl>
  </w:abstractNum>
  <w:abstractNum w:abstractNumId="59">
    <w:nsid w:val="73A1821B"/>
    <w:multiLevelType w:val="hybridMultilevel"/>
    <w:lvl w:ilvl="0">
      <w:lvlJc w:val="left"/>
      <w:lvlText w:val="(%1)"/>
      <w:numFmt w:val="lowerLetter"/>
      <w:start w:val="1"/>
    </w:lvl>
  </w:abstractNum>
  <w:abstractNum w:abstractNumId="60">
    <w:nsid w:val="7DE67713"/>
    <w:multiLevelType w:val="hybridMultilevel"/>
    <w:lvl w:ilvl="0">
      <w:lvlJc w:val="left"/>
      <w:lvlText w:val="(%1)"/>
      <w:numFmt w:val="lowerLetter"/>
      <w:start w:val="1"/>
    </w:lvl>
  </w:abstractNum>
  <w:abstractNum w:abstractNumId="61">
    <w:nsid w:val="555C55B5"/>
    <w:multiLevelType w:val="hybridMultilevel"/>
    <w:lvl w:ilvl="0">
      <w:lvlJc w:val="left"/>
      <w:lvlText w:val="(%1)"/>
      <w:numFmt w:val="lowerLetter"/>
      <w:start w:val="5"/>
    </w:lvl>
  </w:abstractNum>
  <w:abstractNum w:abstractNumId="62">
    <w:nsid w:val="3FA62ACA"/>
    <w:multiLevelType w:val="hybridMultilevel"/>
    <w:lvl w:ilvl="0">
      <w:lvlJc w:val="left"/>
      <w:lvlText w:val="(%1)"/>
      <w:numFmt w:val="lowerRoman"/>
      <w:start w:val="2"/>
    </w:lvl>
  </w:abstractNum>
  <w:abstractNum w:abstractNumId="63">
    <w:nsid w:val="14FCE74E"/>
    <w:multiLevelType w:val="hybridMultilevel"/>
    <w:lvl w:ilvl="0">
      <w:lvlJc w:val="left"/>
      <w:lvlText w:val="%1."/>
      <w:numFmt w:val="decimal"/>
      <w:start w:val="2"/>
    </w:lvl>
  </w:abstractNum>
  <w:abstractNum w:abstractNumId="64">
    <w:nsid w:val="6A3DD3E8"/>
    <w:multiLevelType w:val="hybridMultilevel"/>
    <w:lvl w:ilvl="0">
      <w:lvlJc w:val="left"/>
      <w:lvlText w:val="(%1)"/>
      <w:numFmt w:val="lowerLetter"/>
      <w:start w:val="1"/>
    </w:lvl>
  </w:abstractNum>
  <w:abstractNum w:abstractNumId="65">
    <w:nsid w:val="71C9129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66">
    <w:nsid w:val="9DAF6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lowerRoman"/>
      <w:start w:val="1"/>
    </w:lvl>
  </w:abstractNum>
  <w:abstractNum w:abstractNumId="67">
    <w:nsid w:val="53299938"/>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lowerRoman"/>
      <w:start w:val="1"/>
    </w:lvl>
  </w:abstractNum>
  <w:abstractNum w:abstractNumId="68">
    <w:nsid w:val="1FBFE8E0"/>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69">
    <w:nsid w:val="5092CA79"/>
    <w:multiLevelType w:val="hybridMultilevel"/>
    <w:lvl w:ilvl="0">
      <w:lvlJc w:val="left"/>
      <w:lvlText w:val="%1."/>
      <w:numFmt w:val="decimal"/>
      <w:start w:val="4"/>
    </w:lvl>
  </w:abstractNum>
  <w:abstractNum w:abstractNumId="70">
    <w:nsid w:val="1D545C4D"/>
    <w:multiLevelType w:val="hybridMultilevel"/>
    <w:lvl w:ilvl="0">
      <w:lvlJc w:val="left"/>
      <w:lvlText w:val="(%1)"/>
      <w:numFmt w:val="lowerRoman"/>
      <w:start w:val="1"/>
    </w:lvl>
  </w:abstractNum>
  <w:abstractNum w:abstractNumId="71">
    <w:nsid w:val="59ADEA3D"/>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abstractNum>
  <w:abstractNum w:abstractNumId="72">
    <w:nsid w:val="288F1A34"/>
    <w:multiLevelType w:val="hybridMultilevel"/>
    <w:lvl w:ilvl="0">
      <w:lvlJc w:val="left"/>
      <w:lvlText w:val="(%1)"/>
      <w:numFmt w:val="lowerRoman"/>
      <w:start w:val="5"/>
    </w:lvl>
    <w:lvl w:ilvl="1">
      <w:lvlJc w:val="left"/>
      <w:lvlText w:val="(%2)"/>
      <w:numFmt w:val="decimal"/>
      <w:start w:val="1"/>
    </w:lvl>
    <w:lvl w:ilvl="2">
      <w:lvlJc w:val="left"/>
      <w:lvlText w:val="(%3)"/>
      <w:numFmt w:val="lowerRoman"/>
      <w:start w:val="1"/>
    </w:lvl>
  </w:abstractNum>
  <w:abstractNum w:abstractNumId="73">
    <w:nsid w:val="2A155DBC"/>
    <w:multiLevelType w:val="hybridMultilevel"/>
    <w:lvl w:ilvl="0">
      <w:lvlJc w:val="left"/>
      <w:lvlText w:val="(%1)"/>
      <w:numFmt w:val="decimal"/>
      <w:start w:val="6"/>
    </w:lvl>
  </w:abstractNum>
  <w:abstractNum w:abstractNumId="74">
    <w:nsid w:val="1D9F6E5F"/>
    <w:multiLevelType w:val="hybridMultilevel"/>
    <w:lvl w:ilvl="0">
      <w:lvlJc w:val="left"/>
      <w:lvlText w:val="%1"/>
      <w:numFmt w:val="lowerRoman"/>
      <w:start w:val="1"/>
    </w:lvl>
    <w:lvl w:ilvl="1">
      <w:lvlJc w:val="left"/>
      <w:lvlText w:val="(%2)"/>
      <w:numFmt w:val="decimal"/>
      <w:start w:val="1"/>
    </w:lvl>
  </w:abstractNum>
  <w:abstractNum w:abstractNumId="75">
    <w:nsid w:val="97E1B4E"/>
    <w:multiLevelType w:val="hybridMultilevel"/>
    <w:lvl w:ilvl="0">
      <w:lvlJc w:val="left"/>
      <w:lvlText w:val="(%1)"/>
      <w:numFmt w:val="lowerRoman"/>
      <w:start w:val="7"/>
    </w:lvl>
    <w:lvl w:ilvl="1">
      <w:lvlJc w:val="left"/>
      <w:lvlText w:val="(%2)"/>
      <w:numFmt w:val="decimal"/>
      <w:start w:val="1"/>
    </w:lvl>
  </w:abstractNum>
  <w:abstractNum w:abstractNumId="76">
    <w:nsid w:val="51088277"/>
    <w:multiLevelType w:val="hybridMultilevel"/>
    <w:lvl w:ilvl="0">
      <w:lvlJc w:val="left"/>
      <w:lvlText w:val="(%1)"/>
      <w:numFmt w:val="lowerLetter"/>
      <w:start w:val="1"/>
    </w:lvl>
  </w:abstractNum>
  <w:abstractNum w:abstractNumId="77">
    <w:nsid w:val="1CA0C5FA"/>
    <w:multiLevelType w:val="hybridMultilevel"/>
    <w:lvl w:ilvl="0">
      <w:lvlJc w:val="left"/>
      <w:lvlText w:val="(%1)"/>
      <w:numFmt w:val="lowerLetter"/>
      <w:start w:val="1"/>
    </w:lvl>
  </w:abstractNum>
  <w:abstractNum w:abstractNumId="78">
    <w:nsid w:val="53584BCB"/>
    <w:multiLevelType w:val="hybridMultilevel"/>
    <w:lvl w:ilvl="0">
      <w:lvlJc w:val="left"/>
      <w:lvlText w:val="(%1)"/>
      <w:numFmt w:val="lowerLetter"/>
      <w:start w:val="1"/>
    </w:lvl>
  </w:abstractNum>
  <w:abstractNum w:abstractNumId="79">
    <w:nsid w:val="415E286C"/>
    <w:multiLevelType w:val="hybridMultilevel"/>
    <w:lvl w:ilvl="0">
      <w:lvlJc w:val="left"/>
      <w:lvlText w:val="(%1)"/>
      <w:numFmt w:val="lowerLetter"/>
      <w:start w:val="5"/>
    </w:lvl>
  </w:abstractNum>
  <w:abstractNum w:abstractNumId="80">
    <w:nsid w:val="7C58FD05"/>
    <w:multiLevelType w:val="hybridMultilevel"/>
    <w:lvl w:ilvl="0">
      <w:lvlJc w:val="left"/>
      <w:lvlText w:val="%1."/>
      <w:numFmt w:val="decimal"/>
      <w:start w:val="5"/>
    </w:lvl>
    <w:lvl w:ilvl="1">
      <w:lvlJc w:val="left"/>
      <w:lvlText w:val="(%2)"/>
      <w:numFmt w:val="lowerLetter"/>
      <w:start w:val="1"/>
    </w:lvl>
  </w:abstractNum>
  <w:abstractNum w:abstractNumId="81">
    <w:nsid w:val="23D86AAC"/>
    <w:multiLevelType w:val="hybridMultilevel"/>
    <w:lvl w:ilvl="0">
      <w:lvlJc w:val="left"/>
      <w:lvlText w:val="(%1)"/>
      <w:numFmt w:val="lowerLetter"/>
      <w:start w:val="3"/>
    </w:lvl>
  </w:abstractNum>
  <w:abstractNum w:abstractNumId="82">
    <w:nsid w:val="45E6D486"/>
    <w:multiLevelType w:val="hybridMultilevel"/>
    <w:lvl w:ilvl="0">
      <w:lvlJc w:val="left"/>
      <w:lvlText w:val="(%1)"/>
      <w:numFmt w:val="lowerRoman"/>
      <w:start w:val="1"/>
    </w:lvl>
  </w:abstractNum>
  <w:abstractNum w:abstractNumId="83">
    <w:nsid w:val="5C10FE21"/>
    <w:multiLevelType w:val="hybridMultilevel"/>
    <w:lvl w:ilvl="0">
      <w:lvlJc w:val="left"/>
      <w:lvlText w:val="(%1)"/>
      <w:numFmt w:val="lowerRoman"/>
      <w:start w:val="2"/>
    </w:lvl>
  </w:abstractNum>
  <w:abstractNum w:abstractNumId="84">
    <w:nsid w:val="E7FFA2B"/>
    <w:multiLevelType w:val="hybridMultilevel"/>
    <w:lvl w:ilvl="0">
      <w:lvlJc w:val="left"/>
      <w:lvlText w:val="(%1)"/>
      <w:numFmt w:val="lowerRoman"/>
      <w:start w:val="3"/>
    </w:lvl>
  </w:abstractNum>
  <w:abstractNum w:abstractNumId="85">
    <w:nsid w:val="3C5991AA"/>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86">
    <w:nsid w:val="4BD8591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87">
    <w:nsid w:val="78DF6A55"/>
    <w:multiLevelType w:val="hybridMultilevel"/>
    <w:lvl w:ilvl="0">
      <w:lvlJc w:val="left"/>
      <w:lvlText w:val="(%1)"/>
      <w:numFmt w:val="lowerLetter"/>
      <w:start w:val="1"/>
    </w:lvl>
  </w:abstractNum>
  <w:abstractNum w:abstractNumId="88">
    <w:nsid w:val="39B7AAA2"/>
    <w:multiLevelType w:val="hybridMultilevel"/>
    <w:lvl w:ilvl="0">
      <w:lvlJc w:val="left"/>
      <w:lvlText w:val="(%1)"/>
      <w:numFmt w:val="lowerLetter"/>
      <w:start w:val="1"/>
    </w:lvl>
    <w:lvl w:ilvl="1">
      <w:lvlJc w:val="left"/>
      <w:lvlText w:val="(%2)"/>
      <w:numFmt w:val="lowerLetter"/>
      <w:start w:val="9"/>
    </w:lvl>
  </w:abstractNum>
  <w:abstractNum w:abstractNumId="89">
    <w:nsid w:val="2B0D8DBE"/>
    <w:multiLevelType w:val="hybridMultilevel"/>
    <w:lvl w:ilvl="0">
      <w:lvlJc w:val="left"/>
      <w:lvlText w:val="(%1)"/>
      <w:numFmt w:val="lowerRoman"/>
      <w:start w:val="5"/>
    </w:lvl>
  </w:abstractNum>
  <w:abstractNum w:abstractNumId="90">
    <w:nsid w:val="6C80EC70"/>
    <w:multiLevelType w:val="hybridMultilevel"/>
    <w:lvl w:ilvl="0">
      <w:lvlJc w:val="left"/>
      <w:lvlText w:val="(%1)"/>
      <w:numFmt w:val="lowerLetter"/>
      <w:start w:val="2"/>
    </w:lvl>
  </w:abstractNum>
  <w:abstractNum w:abstractNumId="91">
    <w:nsid w:val="379E21B5"/>
    <w:multiLevelType w:val="hybridMultilevel"/>
    <w:lvl w:ilvl="0">
      <w:lvlJc w:val="left"/>
      <w:lvlText w:val="(%1)"/>
      <w:numFmt w:val="lowerLetter"/>
      <w:start w:val="1"/>
    </w:lvl>
  </w:abstractNum>
  <w:abstractNum w:abstractNumId="92">
    <w:nsid w:val="69E373"/>
    <w:multiLevelType w:val="hybridMultilevel"/>
    <w:lvl w:ilvl="0">
      <w:lvlJc w:val="left"/>
      <w:lvlText w:val="%1"/>
      <w:numFmt w:val="upperLetter"/>
      <w:start w:val="1"/>
    </w:lvl>
    <w:lvl w:ilvl="1">
      <w:lvlJc w:val="left"/>
      <w:lvlText w:val="(%2)"/>
      <w:numFmt w:val="lowerLetter"/>
      <w:start w:val="7"/>
    </w:lvl>
  </w:abstractNum>
  <w:abstractNum w:abstractNumId="93">
    <w:nsid w:val="2C27173B"/>
    <w:multiLevelType w:val="hybridMultilevel"/>
    <w:lvl w:ilvl="0">
      <w:lvlJc w:val="left"/>
      <w:lvlText w:val="(%1)"/>
      <w:numFmt w:val="upperLetter"/>
      <w:start w:val="3"/>
    </w:lvl>
    <w:lvl w:ilvl="1">
      <w:lvlJc w:val="left"/>
      <w:lvlText w:val="(%2)"/>
      <w:numFmt w:val="lowerLetter"/>
      <w:start w:val="10"/>
    </w:lvl>
  </w:abstractNum>
  <w:abstractNum w:abstractNumId="94">
    <w:nsid w:val="4C9B0904"/>
    <w:multiLevelType w:val="hybridMultilevel"/>
    <w:lvl w:ilvl="0">
      <w:lvlJc w:val="left"/>
      <w:lvlText w:val="(%1)"/>
      <w:numFmt w:val="lowerLetter"/>
      <w:start w:val="1"/>
    </w:lvl>
    <w:lvl w:ilvl="1">
      <w:lvlJc w:val="left"/>
      <w:lvlText w:val="(%2)"/>
      <w:numFmt w:val="lowerLetter"/>
      <w:start w:val="9"/>
    </w:lvl>
  </w:abstractNum>
  <w:abstractNum w:abstractNumId="95">
    <w:nsid w:val="6AA7B75C"/>
    <w:multiLevelType w:val="hybridMultilevel"/>
    <w:lvl w:ilvl="0">
      <w:lvlJc w:val="left"/>
      <w:lvlText w:val="(%1)"/>
      <w:numFmt w:val="lowerLetter"/>
      <w:start w:val="3"/>
    </w:lvl>
    <w:lvl w:ilvl="1">
      <w:lvlJc w:val="left"/>
      <w:lvlText w:val="(%2)"/>
      <w:numFmt w:val="lowerLetter"/>
      <w:start w:val="9"/>
    </w:lvl>
  </w:abstractNum>
  <w:abstractNum w:abstractNumId="96">
    <w:nsid w:val="1DF029D3"/>
    <w:multiLevelType w:val="hybridMultilevel"/>
    <w:lvl w:ilvl="0">
      <w:lvlJc w:val="left"/>
      <w:lvlText w:val="(%1)"/>
      <w:numFmt w:val="lowerLetter"/>
      <w:start w:val="4"/>
    </w:lvl>
  </w:abstractNum>
  <w:abstractNum w:abstractNumId="97">
    <w:nsid w:val="5675FF36"/>
    <w:multiLevelType w:val="hybridMultilevel"/>
    <w:lvl w:ilvl="0">
      <w:lvlJc w:val="left"/>
      <w:lvlText w:val="%1."/>
      <w:numFmt w:val="lowerRoman"/>
      <w:start w:val="1"/>
    </w:lvl>
  </w:abstractNum>
  <w:abstractNum w:abstractNumId="98">
    <w:nsid w:val="3DD15094"/>
    <w:multiLevelType w:val="hybridMultilevel"/>
    <w:lvl w:ilvl="0">
      <w:lvlJc w:val="left"/>
      <w:lvlText w:val="(%1)"/>
      <w:numFmt w:val="lowerLetter"/>
      <w:start w:val="1"/>
    </w:lvl>
    <w:lvl w:ilvl="1">
      <w:lvlJc w:val="left"/>
      <w:lvlText w:val="(%2)"/>
      <w:numFmt w:val="lowerRoman"/>
      <w:start w:val="1"/>
    </w:lvl>
  </w:abstractNum>
  <w:abstractNum w:abstractNumId="99">
    <w:nsid w:val="3DB012B3"/>
    <w:multiLevelType w:val="hybridMultilevel"/>
    <w:lvl w:ilvl="0">
      <w:lvlJc w:val="left"/>
      <w:lvlText w:val="(%1)"/>
      <w:numFmt w:val="lowerLetter"/>
      <w:start w:val="2"/>
    </w:lvl>
    <w:lvl w:ilvl="1">
      <w:lvlJc w:val="left"/>
      <w:lvlText w:val="(%2)"/>
      <w:numFmt w:val="lowerLetter"/>
      <w:start w:val="9"/>
    </w:lvl>
  </w:abstractNum>
  <w:abstractNum w:abstractNumId="100">
    <w:nsid w:val="2708C9AF"/>
    <w:multiLevelType w:val="hybridMultilevel"/>
    <w:lvl w:ilvl="0">
      <w:lvlJc w:val="left"/>
      <w:lvlText w:val="(%1)"/>
      <w:numFmt w:val="lowerLetter"/>
      <w:start w:val="3"/>
    </w:lvl>
    <w:lvl w:ilvl="1">
      <w:lvlJc w:val="left"/>
      <w:lvlText w:val="(%2)"/>
      <w:numFmt w:val="lowerLetter"/>
      <w:start w:val="9"/>
    </w:lvl>
  </w:abstractNum>
  <w:abstractNum w:abstractNumId="101">
    <w:nsid w:val="5B25ACE2"/>
    <w:multiLevelType w:val="hybridMultilevel"/>
    <w:lvl w:ilvl="0">
      <w:lvlJc w:val="left"/>
      <w:lvlText w:val="%1"/>
      <w:numFmt w:val="lowerLetter"/>
      <w:start w:val="1"/>
    </w:lvl>
    <w:lvl w:ilvl="1">
      <w:lvlJc w:val="left"/>
      <w:lvlText w:val="(%2)"/>
      <w:numFmt w:val="lowerLetter"/>
      <w:start w:val="3"/>
    </w:lvl>
  </w:abstractNum>
  <w:abstractNum w:abstractNumId="102">
    <w:nsid w:val="175DFCF0"/>
    <w:multiLevelType w:val="hybridMultilevel"/>
    <w:lvl w:ilvl="0">
      <w:lvlJc w:val="left"/>
      <w:lvlText w:val="(%1)"/>
      <w:numFmt w:val="lowerLetter"/>
      <w:start w:val="35"/>
    </w:lvl>
    <w:lvl w:ilvl="1">
      <w:lvlJc w:val="left"/>
      <w:lvlText w:val="(%2)"/>
      <w:numFmt w:val="lowerLetter"/>
      <w:start w:val="9"/>
    </w:lvl>
  </w:abstractNum>
  <w:abstractNum w:abstractNumId="103">
    <w:nsid w:val="4F97E3E4"/>
    <w:multiLevelType w:val="hybridMultilevel"/>
    <w:lvl w:ilvl="0">
      <w:lvlJc w:val="left"/>
      <w:lvlText w:val="(%1)"/>
      <w:numFmt w:val="lowerLetter"/>
      <w:start w:val="10"/>
    </w:lvl>
  </w:abstractNum>
  <w:abstractNum w:abstractNumId="104">
    <w:nsid w:val="53B0A9E"/>
    <w:multiLevelType w:val="hybridMultilevel"/>
    <w:lvl w:ilvl="0">
      <w:lvlJc w:val="left"/>
      <w:lvlText w:val="(%1)"/>
      <w:numFmt w:val="lowerLetter"/>
      <w:start w:val="11"/>
    </w:lvl>
  </w:abstractNum>
  <w:abstractNum w:abstractNumId="105">
    <w:nsid w:val="34FD6B4F"/>
    <w:multiLevelType w:val="hybridMultilevel"/>
    <w:lvl w:ilvl="0">
      <w:lvlJc w:val="left"/>
      <w:lvlText w:val="(%1)"/>
      <w:numFmt w:val="lowerLetter"/>
      <w:start w:val="10"/>
    </w:lvl>
  </w:abstractNum>
  <w:abstractNum w:abstractNumId="106">
    <w:nsid w:val="5915FF32"/>
    <w:multiLevelType w:val="hybridMultilevel"/>
    <w:lvl w:ilvl="0">
      <w:lvlJc w:val="left"/>
      <w:lvlText w:val="(%1)"/>
      <w:numFmt w:val="lowerLetter"/>
      <w:start w:val="10"/>
    </w:lvl>
    <w:lvl w:ilvl="1">
      <w:lvlJc w:val="left"/>
      <w:lvlText w:val="(%2)"/>
      <w:numFmt w:val="lowerLetter"/>
      <w:start w:val="9"/>
    </w:lvl>
  </w:abstractNum>
  <w:abstractNum w:abstractNumId="107">
    <w:nsid w:val="56438D15"/>
    <w:multiLevelType w:val="hybridMultilevel"/>
    <w:lvl w:ilvl="0">
      <w:lvlJc w:val="left"/>
      <w:lvlText w:val="(%1)"/>
      <w:numFmt w:val="lowerRoman"/>
      <w:start w:val="5"/>
    </w:lvl>
  </w:abstractNum>
  <w:abstractNum w:abstractNumId="108">
    <w:nsid w:val="519E3149"/>
    <w:multiLevelType w:val="hybridMultilevel"/>
    <w:lvl w:ilvl="0">
      <w:lvlJc w:val="left"/>
      <w:lvlText w:val="(%1)"/>
      <w:numFmt w:val="lowerRoman"/>
      <w:start w:val="9"/>
    </w:lvl>
  </w:abstractNum>
  <w:abstractNum w:abstractNumId="109">
    <w:nsid w:val="2C6E4AFD"/>
    <w:multiLevelType w:val="hybridMultilevel"/>
    <w:lvl w:ilvl="0">
      <w:lvlJc w:val="left"/>
      <w:lvlText w:val="(%1)"/>
      <w:numFmt w:val="lowerRoman"/>
      <w:start w:val="10"/>
    </w:lvl>
  </w:abstractNum>
  <w:abstractNum w:abstractNumId="110">
    <w:nsid w:val="17A1B582"/>
    <w:multiLevelType w:val="hybridMultilevel"/>
    <w:lvl w:ilvl="0">
      <w:lvlJc w:val="left"/>
      <w:lvlText w:val="(%1)"/>
      <w:numFmt w:val="lowerLetter"/>
      <w:start w:val="2"/>
    </w:lvl>
  </w:abstractNum>
  <w:abstractNum w:abstractNumId="111">
    <w:nsid w:val="4DF72E4E"/>
    <w:multiLevelType w:val="hybridMultilevel"/>
    <w:lvl w:ilvl="0">
      <w:lvlJc w:val="left"/>
      <w:lvlText w:val="(%1)"/>
      <w:numFmt w:val="lowerLetter"/>
      <w:start w:val="3"/>
    </w:lvl>
  </w:abstractNum>
  <w:abstractNum w:abstractNumId="112">
    <w:nsid w:val="5046B5A9"/>
    <w:multiLevelType w:val="hybridMultilevel"/>
    <w:lvl w:ilvl="0">
      <w:lvlJc w:val="left"/>
      <w:lvlText w:val="(%1)"/>
      <w:numFmt w:val="lowerLetter"/>
      <w:start w:val="1"/>
    </w:lvl>
  </w:abstractNum>
  <w:abstractNum w:abstractNumId="113">
    <w:nsid w:val="5D888A08"/>
    <w:multiLevelType w:val="hybridMultilevel"/>
    <w:lvl w:ilvl="0">
      <w:lvlJc w:val="left"/>
      <w:lvlText w:val="(%1)"/>
      <w:numFmt w:val="lowerLetter"/>
      <w:start w:val="1"/>
    </w:lvl>
  </w:abstractNum>
  <w:abstractNum w:abstractNumId="114">
    <w:nsid w:val="2A082C70"/>
    <w:multiLevelType w:val="hybridMultilevel"/>
    <w:lvl w:ilvl="0">
      <w:lvlJc w:val="left"/>
      <w:lvlText w:val="(%1)"/>
      <w:numFmt w:val="lowerLetter"/>
      <w:start w:val="2"/>
    </w:lvl>
  </w:abstractNum>
  <w:abstractNum w:abstractNumId="115">
    <w:nsid w:val="5EC6AFD4"/>
    <w:multiLevelType w:val="hybridMultilevel"/>
    <w:lvl w:ilvl="0">
      <w:lvlJc w:val="left"/>
      <w:lvlText w:val="(%1)"/>
      <w:numFmt w:val="lowerLetter"/>
      <w:start w:val="2"/>
    </w:lvl>
  </w:abstractNum>
  <w:abstractNum w:abstractNumId="116">
    <w:nsid w:val="19E21BB2"/>
    <w:multiLevelType w:val="hybridMultilevel"/>
    <w:lvl w:ilvl="0">
      <w:lvlJc w:val="left"/>
      <w:lvlText w:val="(%1)"/>
      <w:numFmt w:val="lowerRoman"/>
      <w:start w:val="1"/>
    </w:lvl>
  </w:abstractNum>
  <w:abstractNum w:abstractNumId="117">
    <w:nsid w:val="75E0858A"/>
    <w:multiLevelType w:val="hybridMultilevel"/>
    <w:lvl w:ilvl="0">
      <w:lvlJc w:val="left"/>
      <w:lvlText w:val="(%1)"/>
      <w:numFmt w:val="lowerLetter"/>
      <w:start w:val="2"/>
    </w:lvl>
    <w:lvl w:ilvl="1">
      <w:lvlJc w:val="left"/>
      <w:lvlText w:val="(%2)"/>
      <w:numFmt w:val="lowerLetter"/>
      <w:start w:val="9"/>
    </w:lvl>
  </w:abstractNum>
  <w:abstractNum w:abstractNumId="118">
    <w:nsid w:val="57A61A29"/>
    <w:multiLevelType w:val="hybridMultilevel"/>
    <w:lvl w:ilvl="0">
      <w:lvlJc w:val="left"/>
      <w:lvlText w:val="(%1)"/>
      <w:numFmt w:val="lowerLetter"/>
      <w:start w:val="4"/>
    </w:lvl>
    <w:lvl w:ilvl="1">
      <w:lvlJc w:val="left"/>
      <w:lvlText w:val="(%2)"/>
      <w:numFmt w:val="lowerLetter"/>
      <w:start w:val="9"/>
    </w:lvl>
  </w:abstractNum>
  <w:abstractNum w:abstractNumId="119">
    <w:nsid w:val="5399C654"/>
    <w:multiLevelType w:val="hybridMultilevel"/>
    <w:lvl w:ilvl="0">
      <w:lvlJc w:val="left"/>
      <w:lvlText w:val="%1"/>
      <w:numFmt w:val="lowerLetter"/>
      <w:start w:val="1"/>
    </w:lvl>
    <w:lvl w:ilvl="1">
      <w:lvlJc w:val="left"/>
      <w:lvlText w:val="(%2)"/>
      <w:numFmt w:val="lowerLetter"/>
      <w:start w:val="22"/>
    </w:lvl>
  </w:abstractNum>
  <w:abstractNum w:abstractNumId="120">
    <w:nsid w:val="20EE1348"/>
    <w:multiLevelType w:val="hybridMultilevel"/>
    <w:lvl w:ilvl="0">
      <w:lvlJc w:val="left"/>
      <w:lvlText w:val="(%1)"/>
      <w:numFmt w:val="lowerLetter"/>
      <w:start w:val="5"/>
    </w:lvl>
    <w:lvl w:ilvl="1">
      <w:lvlJc w:val="left"/>
      <w:lvlText w:val="(%2)"/>
      <w:numFmt w:val="lowerLetter"/>
      <w:start w:val="22"/>
    </w:lvl>
  </w:abstractNum>
  <w:abstractNum w:abstractNumId="121">
    <w:nsid w:val="4427069A"/>
    <w:multiLevelType w:val="hybridMultilevel"/>
    <w:lvl w:ilvl="0">
      <w:lvlJc w:val="left"/>
      <w:lvlText w:val="%1"/>
      <w:numFmt w:val="lowerLetter"/>
      <w:start w:val="1"/>
    </w:lvl>
    <w:lvl w:ilvl="1">
      <w:lvlJc w:val="left"/>
      <w:lvlText w:val="(%2)"/>
      <w:numFmt w:val="lowerLetter"/>
      <w:start w:val="24"/>
    </w:lvl>
  </w:abstractNum>
  <w:abstractNum w:abstractNumId="122">
    <w:nsid w:val="B37E80A"/>
    <w:multiLevelType w:val="hybridMultilevel"/>
    <w:lvl w:ilvl="0">
      <w:lvlJc w:val="left"/>
      <w:lvlText w:val="(%1)"/>
      <w:numFmt w:val="lowerLetter"/>
      <w:start w:val="6"/>
    </w:lvl>
    <w:lvl w:ilvl="1">
      <w:lvlJc w:val="left"/>
      <w:lvlText w:val="(%2)"/>
      <w:numFmt w:val="lowerLetter"/>
      <w:start w:val="22"/>
    </w:lvl>
  </w:abstractNum>
  <w:abstractNum w:abstractNumId="123">
    <w:nsid w:val="2157F6BC"/>
    <w:multiLevelType w:val="hybridMultilevel"/>
    <w:lvl w:ilvl="0">
      <w:lvlJc w:val="left"/>
      <w:lvlText w:val="(%1)"/>
      <w:numFmt w:val="lowerLetter"/>
      <w:start w:val="7"/>
    </w:lvl>
  </w:abstractNum>
  <w:abstractNum w:abstractNumId="124">
    <w:nsid w:val="704E1DD5"/>
    <w:multiLevelType w:val="hybridMultilevel"/>
    <w:lvl w:ilvl="0">
      <w:lvlJc w:val="left"/>
      <w:lvlText w:val="(%1)"/>
      <w:numFmt w:val="lowerRoman"/>
      <w:start w:val="5"/>
    </w:lvl>
  </w:abstractNum>
  <w:abstractNum w:abstractNumId="125">
    <w:nsid w:val="57D2F10E"/>
    <w:multiLevelType w:val="hybridMultilevel"/>
    <w:lvl w:ilvl="0">
      <w:lvlJc w:val="left"/>
      <w:lvlText w:val="(%1)"/>
      <w:numFmt w:val="lowerLetter"/>
      <w:start w:val="8"/>
    </w:lvl>
  </w:abstractNum>
  <w:abstractNum w:abstractNumId="126">
    <w:nsid w:val="BFFAE18"/>
    <w:multiLevelType w:val="hybridMultilevel"/>
    <w:lvl w:ilvl="0">
      <w:lvlJc w:val="left"/>
      <w:lvlText w:val="%1."/>
      <w:numFmt w:val="decimal"/>
      <w:start w:val="7"/>
    </w:lvl>
  </w:abstractNum>
  <w:abstractNum w:abstractNumId="127">
    <w:nsid w:val="E3E47A8"/>
    <w:multiLevelType w:val="hybridMultilevel"/>
    <w:lvl w:ilvl="0">
      <w:lvlJc w:val="left"/>
      <w:lvlText w:val="(%1)"/>
      <w:numFmt w:val="lowerLetter"/>
      <w:start w:val="1"/>
    </w:lvl>
  </w:abstractNum>
  <w:abstractNum w:abstractNumId="128">
    <w:nsid w:val="2E48F044"/>
    <w:multiLevelType w:val="hybridMultilevel"/>
    <w:lvl w:ilvl="0">
      <w:lvlJc w:val="left"/>
      <w:lvlText w:val="(%1)"/>
      <w:numFmt w:val="lowerLetter"/>
      <w:start w:val="3"/>
    </w:lvl>
    <w:lvl w:ilvl="1">
      <w:lvlJc w:val="left"/>
      <w:lvlText w:val="(%2)"/>
      <w:numFmt w:val="lowerLetter"/>
      <w:start w:val="9"/>
    </w:lvl>
  </w:abstractNum>
  <w:abstractNum w:abstractNumId="129">
    <w:nsid w:val="49D0FEAC"/>
    <w:multiLevelType w:val="hybridMultilevel"/>
    <w:lvl w:ilvl="0">
      <w:lvlJc w:val="left"/>
      <w:lvlText w:val="(%1)"/>
      <w:numFmt w:val="lowerRoman"/>
      <w:start w:val="3"/>
    </w:lvl>
  </w:abstractNum>
  <w:abstractNum w:abstractNumId="130">
    <w:nsid w:val="4BEE5A5B"/>
    <w:multiLevelType w:val="hybridMultilevel"/>
    <w:lvl w:ilvl="0">
      <w:lvlJc w:val="left"/>
      <w:lvlText w:val="(%1)"/>
      <w:numFmt w:val="lowerRoman"/>
      <w:start w:val="4"/>
    </w:lvl>
  </w:abstractNum>
  <w:abstractNum w:abstractNumId="131">
    <w:nsid w:val="5551B9F3"/>
    <w:multiLevelType w:val="hybridMultilevel"/>
    <w:lvl w:ilvl="0">
      <w:lvlJc w:val="left"/>
      <w:lvlText w:val="%1."/>
      <w:numFmt w:val="decimal"/>
      <w:start w:val="8"/>
    </w:lvl>
  </w:abstractNum>
  <w:abstractNum w:abstractNumId="132">
    <w:nsid w:val="24F6AB8E"/>
    <w:multiLevelType w:val="hybridMultilevel"/>
    <w:lvl w:ilvl="0">
      <w:lvlJc w:val="left"/>
      <w:lvlText w:val="%1."/>
      <w:numFmt w:val="decimal"/>
      <w:start w:val="9"/>
    </w:lvl>
  </w:abstractNum>
  <w:abstractNum w:abstractNumId="133">
    <w:nsid w:val="634C574C"/>
    <w:multiLevelType w:val="hybridMultilevel"/>
    <w:lvl w:ilvl="0">
      <w:lvlJc w:val="left"/>
      <w:lvlText w:val="%1."/>
      <w:numFmt w:val="decimal"/>
      <w:start w:val="10"/>
    </w:lvl>
  </w:abstractNum>
  <w:abstractNum w:abstractNumId="134">
    <w:nsid w:val="24E99DD7"/>
    <w:multiLevelType w:val="hybridMultilevel"/>
    <w:lvl w:ilvl="0">
      <w:lvlJc w:val="left"/>
      <w:lvlText w:val="%1"/>
      <w:numFmt w:val="lowerLetter"/>
      <w:start w:val="1"/>
    </w:lvl>
    <w:lvl w:ilvl="1">
      <w:lvlJc w:val="left"/>
      <w:lvlText w:val="(%2)"/>
      <w:numFmt w:val="lowerLetter"/>
      <w:start w:val="1"/>
    </w:lvl>
  </w:abstractNum>
  <w:abstractNum w:abstractNumId="135">
    <w:nsid w:val="2A31B62D"/>
    <w:multiLevelType w:val="hybridMultilevel"/>
    <w:lvl w:ilvl="0">
      <w:lvlJc w:val="left"/>
      <w:lvlText w:val="(%1)"/>
      <w:numFmt w:val="lowerLetter"/>
      <w:start w:val="9"/>
    </w:lvl>
    <w:lvl w:ilvl="1">
      <w:lvlJc w:val="left"/>
      <w:lvlText w:val="(%2)"/>
      <w:numFmt w:val="lowerLetter"/>
      <w:start w:val="2"/>
    </w:lvl>
  </w:abstractNum>
  <w:abstractNum w:abstractNumId="136">
    <w:nsid w:val="1849C29B"/>
    <w:multiLevelType w:val="hybridMultilevel"/>
    <w:lvl w:ilvl="0">
      <w:lvlJc w:val="left"/>
      <w:lvlText w:val="(%1)"/>
      <w:numFmt w:val="lowerLetter"/>
      <w:start w:val="1"/>
    </w:lvl>
  </w:abstractNum>
  <w:abstractNum w:abstractNumId="137">
    <w:nsid w:val="7DFF9D09"/>
    <w:multiLevelType w:val="hybridMultilevel"/>
    <w:lvl w:ilvl="0">
      <w:lvlJc w:val="left"/>
      <w:lvlText w:val="(%1)"/>
      <w:numFmt w:val="lowerLetter"/>
      <w:start w:val="1"/>
    </w:lvl>
  </w:abstractNum>
  <w:abstractNum w:abstractNumId="138">
    <w:nsid w:val="754342"/>
    <w:multiLevelType w:val="hybridMultilevel"/>
    <w:lvl w:ilvl="0">
      <w:lvlJc w:val="left"/>
      <w:lvlText w:val="(%1)"/>
      <w:numFmt w:val="lowerLetter"/>
      <w:start w:val="2"/>
    </w:lvl>
  </w:abstractNum>
  <w:abstractNum w:abstractNumId="139">
    <w:nsid w:val="69E7F3E5"/>
    <w:multiLevelType w:val="hybridMultilevel"/>
    <w:lvl w:ilvl="0">
      <w:lvlJc w:val="left"/>
      <w:lvlText w:val="%1."/>
      <w:numFmt w:val="decimal"/>
      <w:start w:val="11"/>
    </w:lvl>
  </w:abstractNum>
  <w:abstractNum w:abstractNumId="140">
    <w:nsid w:val="2A6DE806"/>
    <w:multiLevelType w:val="hybridMultilevel"/>
    <w:lvl w:ilvl="0">
      <w:lvlJc w:val="left"/>
      <w:lvlText w:val="%1."/>
      <w:numFmt w:val="decimal"/>
      <w:start w:val="12"/>
    </w:lvl>
  </w:abstractNum>
  <w:abstractNum w:abstractNumId="141">
    <w:nsid w:val="1816F8C4"/>
    <w:multiLevelType w:val="hybridMultilevel"/>
    <w:lvl w:ilvl="0">
      <w:lvlJc w:val="left"/>
      <w:lvlText w:val=" "/>
      <w:numFmt w:val="bullet"/>
      <w:start w:val="1"/>
    </w:lvl>
  </w:abstractNum>
  <w:abstractNum w:abstractNumId="142">
    <w:nsid w:val="37DF223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2025-10-10T16:40:17Z</dcterms:created>
  <dcterms:modified xsi:type="dcterms:W3CDTF">2025-10-10T16:40:17Z</dcterms:modified>
</cp:coreProperties>
</file>