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333-290639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37,000,000 Ordinary Shares </w:t>
      </w:r>
      <w:r>
        <w:rPr>
          <w:rFonts w:ascii="Times New Roman" w:cs="Times New Roman" w:eastAsia="Times New Roman" w:hAnsi="Times New Roman"/>
          <w:sz w:val="18"/>
          <w:szCs w:val="18"/>
          <w:b w:val="1"/>
          <w:bCs w:val="1"/>
          <w:i w:val="1"/>
          <w:iCs w:val="1"/>
          <w:color w:val="auto"/>
        </w:rPr>
        <w:t>(for resale)</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 holders named herein (the “Selling Holders”) of an aggregate of up to 37,000,000 Ordinary Shares issued or issuable to the Selling Holders in connection with the PIPE Financing (as defined herein).</w:t>
      </w:r>
    </w:p>
    <w:p>
      <w:pPr>
        <w:spacing w:after="0" w:line="162"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11.5%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(“Nasdaq”) under the symbols “RZLV" and "RZLVW." On November 6, 2025, the closing price of the Ordinary Shares and Public Warrants was $3.85 per share and $1.21 per warrant, respectively.</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and in any applicable prospectus supplement.</w:t>
      </w:r>
    </w:p>
    <w:p>
      <w:pPr>
        <w:spacing w:after="0" w:line="225" w:lineRule="exact"/>
        <w:rPr>
          <w:sz w:val="24"/>
          <w:szCs w:val="24"/>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Novembver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91"/>
        </w:trPr>
        <w:tc>
          <w:tcPr>
            <w:tcW w:w="1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EXPLANATORY NOTE</w:t>
            </w:r>
          </w:p>
        </w:tc>
        <w:tc>
          <w:tcPr>
            <w:tcW w:w="6940" w:type="dxa"/>
            <w:vAlign w:val="bottom"/>
            <w:gridSpan w:val="10"/>
          </w:tcPr>
          <w:p>
            <w:pPr>
              <w:spacing w:after="0"/>
              <w:rPr>
                <w:sz w:val="24"/>
                <w:szCs w:val="24"/>
                <w:color w:val="auto"/>
              </w:rPr>
            </w:pPr>
          </w:p>
        </w:tc>
        <w:tc>
          <w:tcPr>
            <w:tcW w:w="2400" w:type="dxa"/>
            <w:vAlign w:val="bottom"/>
          </w:tcPr>
          <w:p>
            <w:pPr>
              <w:spacing w:after="0"/>
              <w:rPr>
                <w:sz w:val="24"/>
                <w:szCs w:val="24"/>
                <w:color w:val="auto"/>
              </w:rPr>
            </w:pPr>
          </w:p>
        </w:tc>
      </w:tr>
      <w:tr>
        <w:trPr>
          <w:trHeight w:val="196"/>
        </w:trPr>
        <w:tc>
          <w:tcPr>
            <w:tcW w:w="22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656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10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1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70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52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20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22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30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25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3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10"/>
          </w:tcPr>
          <w:p>
            <w:pPr>
              <w:spacing w:after="0"/>
              <w:rPr>
                <w:sz w:val="17"/>
                <w:szCs w:val="17"/>
                <w:color w:val="auto"/>
              </w:rPr>
            </w:pPr>
          </w:p>
        </w:tc>
        <w:tc>
          <w:tcPr>
            <w:tcW w:w="674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2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52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32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1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96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using a “shelf’ registration process. Under this shelf registration process, the Selling Holders may, from time to time, issue, offer and sell, as applicable, any combination of the securities described in this prospectus in one or more offerings. The Selling Holders may use the shelf registration statement to sell up to an aggregate of 37,000,000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Bluedot Acquisition</w:t>
      </w:r>
      <w:r>
        <w:rPr>
          <w:rFonts w:ascii="Times New Roman" w:cs="Times New Roman" w:eastAsia="Times New Roman" w:hAnsi="Times New Roman"/>
          <w:sz w:val="18"/>
          <w:szCs w:val="18"/>
          <w:color w:val="auto"/>
        </w:rPr>
        <w:t>" means the acquisition by the Company of the entire issued and to be issued share capital of each Bluedot Industries, Inc., Bluedot Industries Pty. Ltd. and Bluedot Innovation Pty.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Groupby Acquisition</w:t>
      </w:r>
      <w:r>
        <w:rPr>
          <w:rFonts w:ascii="Times New Roman" w:cs="Times New Roman" w:eastAsia="Times New Roman" w:hAnsi="Times New Roman"/>
          <w:sz w:val="18"/>
          <w:szCs w:val="18"/>
          <w:color w:val="auto"/>
        </w:rPr>
        <w:t>" means the acquisition by the Company of the entire issued and to be issued share capital of each of GroupBy Inc., GroupBy International Ltd., GroupBy USA Inc., and GroupBy UK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Q3 of 2025, initially in Europe and the U.S.A. Revenues from brain 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September 24, 2025, Rezolve entered into certain securities purchase agreements (the "Purchase Agreements") with certain Selling Holders (the "Purchasers"), pursuant to which Rezolve agreed to sell and issue to the Selling Holders 37,000,000 Ordinary Shares (the "PIPE Shares") in a private placement at an offering price of $5.40 per share (the "PIPE Financing").</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September 24, 2025, Rezolve and the Purchasers entered into a Registration Rights Agreement (the “Registration Rights Agreement”). In accordance with Rezolve's obligations under the Registration Rights Agreement, among other things, Rezolve has filed the registration statement of which this prospectus forms a part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0" w:lineRule="exact"/>
        <w:rPr>
          <w:sz w:val="20"/>
          <w:szCs w:val="20"/>
          <w:color w:val="auto"/>
        </w:rPr>
      </w:pPr>
    </w:p>
    <w:p>
      <w:pPr>
        <w:ind w:right="440" w:firstLine="8"/>
        <w:spacing w:after="0" w:line="223"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25, 2025, the PIPE Financing closed and Rezolve received aggregate gross proceeds of approximately $200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 w:name="page8"/>
    <w:bookmarkEnd w:id="7"/>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 w:name="page9"/>
    <w:bookmarkEnd w:id="8"/>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9" w:name="page10"/>
    <w:bookmarkEnd w:id="9"/>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shutdown of the U.S. federal government, we have determined to rely on Section 8(a) of the Securities Act to cause the registration statement of which this prospectus forms a part to become effective automatically, which could result in a number of potential adverse consequences.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37,000,000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8 of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November 7, 2025 and does not give effect to issuances of Ordinary Shares after such date.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ectPr>
          <w:pgSz w:w="11900" w:h="16838" w:orient="portrait"/>
          <w:cols w:equalWidth="0" w:num="1">
            <w:col w:w="11180"/>
          </w:cols>
          <w:pgMar w:left="320" w:top="1008" w:right="399" w:bottom="1440" w:gutter="0" w:footer="0" w:header="0"/>
        </w:sectPr>
      </w:pP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Ordinary Shares offered by the Selling Holders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right="440"/>
        <w:spacing w:after="0" w:line="282" w:lineRule="auto"/>
        <w:rPr>
          <w:sz w:val="20"/>
          <w:szCs w:val="20"/>
          <w:color w:val="auto"/>
        </w:rPr>
      </w:pPr>
      <w:r>
        <w:rPr>
          <w:rFonts w:ascii="Times New Roman" w:cs="Times New Roman" w:eastAsia="Times New Roman" w:hAnsi="Times New Roman"/>
          <w:sz w:val="18"/>
          <w:szCs w:val="18"/>
          <w:color w:val="auto"/>
        </w:rPr>
        <w:t>Nasdaq symbol for our Ordinary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37,000,000 Ordinary Shares issued in connection with the PIPE Financing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p>
      <w:pPr>
        <w:spacing w:after="0" w:line="22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8 of this prospectus and other information included in this prospectus for a discussion of factors that you should consider carefully before deciding to invest in Ordinary Shares and Warrants.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479" w:lineRule="exact"/>
        <w:rPr>
          <w:sz w:val="20"/>
          <w:szCs w:val="20"/>
          <w:color w:val="auto"/>
        </w:rPr>
      </w:pPr>
    </w:p>
    <w:p>
      <w:pPr>
        <w:sectPr>
          <w:pgSz w:w="11900" w:h="16838" w:orient="portrait"/>
          <w:cols w:equalWidth="0" w:num="2">
            <w:col w:w="2800" w:space="260"/>
            <w:col w:w="8120"/>
          </w:cols>
          <w:pgMar w:left="320" w:top="1008" w:right="399" w:bottom="1440" w:gutter="0" w:footer="0" w:header="0"/>
          <w:type w:val="continuous"/>
        </w:sectPr>
      </w:pP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type w:val="continuous"/>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Commission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2" w:name="page13"/>
    <w:bookmarkEnd w:id="12"/>
    <w:p>
      <w:pPr>
        <w:ind w:right="60"/>
        <w:spacing w:after="0" w:line="266" w:lineRule="auto"/>
        <w:rPr>
          <w:sz w:val="20"/>
          <w:szCs w:val="20"/>
          <w:color w:val="auto"/>
        </w:rPr>
      </w:pPr>
      <w:r>
        <w:rPr>
          <w:rFonts w:ascii="Times New Roman" w:cs="Times New Roman" w:eastAsia="Times New Roman" w:hAnsi="Times New Roman"/>
          <w:sz w:val="18"/>
          <w:szCs w:val="18"/>
          <w:color w:val="auto"/>
        </w:rPr>
        <w:t>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color w:val="auto"/>
        </w:rPr>
        <w:t>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5" w:name="page16"/>
    <w:bookmarkEnd w:id="15"/>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6" w:name="page17"/>
    <w:bookmarkEnd w:id="16"/>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8" w:name="page19"/>
    <w:bookmarkEnd w:id="18"/>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9" w:name="page20"/>
    <w:bookmarkEnd w:id="1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2" w:name="page23"/>
    <w:bookmarkEnd w:id="2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ind w:right="280"/>
        <w:spacing w:after="0" w:line="282" w:lineRule="auto"/>
        <w:rPr>
          <w:sz w:val="20"/>
          <w:szCs w:val="20"/>
          <w:color w:val="auto"/>
        </w:rPr>
      </w:pPr>
      <w:r>
        <w:rPr>
          <w:rFonts w:ascii="Times New Roman" w:cs="Times New Roman" w:eastAsia="Times New Roman" w:hAnsi="Times New Roman"/>
          <w:sz w:val="18"/>
          <w:szCs w:val="18"/>
          <w:color w:val="auto"/>
        </w:rPr>
        <w:t>licenses for open-source software, Rezolve may lose the right to continue to use and exploit such open-source software in connection with its operations and solutions, which could disrupt and adversely affect its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shutdown of the U.S. federal government, we have determined to rely on Section 8(a) of the Securities Act to cause the registration statement of which this prospectus forms a part to become effective automatically. Our reliance on Section 8(a) could result in a number of potential adverse consequences, including the need for us to file a post-effective amendment and distribute an updated prospectus to investors, or a stop order issued preventing use of the registration statement, and a corresponding substantial share price decline, litigation, reputational harm or other negative results.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expected to become automatically effective by operation of Section 8(a) of the Securities Act on the 20th calendar day after the most recent amendment of the registration statement filed with the SEC, in lieu of the SEC declaring the registration statement effective following the completion of its review. Although our reliance on Section 8(a) does not relieve us and other parties from the responsibility for the adequacy and accuracy of the disclosure set forth in the registration statement and for ensuring that the registration statement complies with applicable requirements, use of Section 8(a) poses a risk that, after the date of this prospectus, we may be required to file a post-effective amendment to the registration statement and distribute an updated prospectus to investors, or otherwise abandon this offering, if changes to the information in this prospectus are required, or if a stop order under Section 8(d) of the Securities Act prevents continued use of the registration statement. These or similar events could cause the trading price of our Ordinary Shares to decline substantially, result in securities class action or other litigation, and subject us to significant monetary damages, reputational harm and other negative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5540" w:right="4740" w:hanging="5023"/>
        <w:spacing w:after="0" w:line="407" w:lineRule="auto"/>
        <w:tabs>
          <w:tab w:leader="none" w:pos="10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Acquisition Corp. II,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ind w:right="6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t>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tax rate on Rezolve and future withholding taxes on certain Rezolve shareholders, depending on the application of any income tax treaty that might apply to reduce such withholding taxes.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(ii) the private placement of 20,000,000 Ordinary Shares for aggregate gross proceeds of approximately $50 million, before deducting placement agent fees and other offering expenses, and (iii) the PIPE Financing for aggregate gross proceeds of approximately $200 million, before deducting placement agent fees and other offering expenses, as if such events had occurred on December 31, 2024.</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5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25"/>
        </w:trPr>
        <w:tc>
          <w:tcPr>
            <w:tcW w:w="5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ind w:right="502"/>
              <w:spacing w:after="0" w:line="125" w:lineRule="exact"/>
              <w:rPr>
                <w:sz w:val="20"/>
                <w:szCs w:val="20"/>
                <w:color w:val="auto"/>
              </w:rPr>
            </w:pPr>
            <w:r>
              <w:rPr>
                <w:rFonts w:ascii="Times New Roman" w:cs="Times New Roman" w:eastAsia="Times New Roman" w:hAnsi="Times New Roman"/>
                <w:sz w:val="12"/>
                <w:szCs w:val="12"/>
                <w:b w:val="1"/>
                <w:bCs w:val="1"/>
                <w:color w:val="auto"/>
              </w:rPr>
              <w:t>Actual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w w:val="97"/>
              </w:rPr>
              <w:t>Groupby &amp; Bluedot</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66"/>
        </w:trPr>
        <w:tc>
          <w:tcPr>
            <w:tcW w:w="5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(Audited)</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Acquisitions</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PIPE funding</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7"/>
              </w:rPr>
              <w:t>Proforma (Unaudited)</w:t>
            </w:r>
          </w:p>
        </w:tc>
      </w:tr>
      <w:tr>
        <w:trPr>
          <w:trHeight w:val="135"/>
        </w:trPr>
        <w:tc>
          <w:tcPr>
            <w:tcW w:w="57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6,760,931</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235,027,000</w:t>
            </w:r>
          </w:p>
        </w:tc>
        <w:tc>
          <w:tcPr>
            <w:tcW w:w="420" w:type="dxa"/>
            <w:vAlign w:val="bottom"/>
            <w:gridSpan w:val="2"/>
            <w:shd w:val="clear" w:color="auto" w:fill="CFF0FC"/>
          </w:tcPr>
          <w:p>
            <w:pPr>
              <w:jc w:val="right"/>
              <w:ind w:right="1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251,238,875</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7"/>
        </w:trPr>
        <w:tc>
          <w:tcPr>
            <w:tcW w:w="578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 shares issued and outstanding as of December 31, 2024;</w:t>
            </w: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256,365,817 shares authorized as of December 31, 2024</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26,816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1,978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6,380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35,174</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tcPr>
          <w:p>
            <w:pPr>
              <w:spacing w:after="0"/>
              <w:rPr>
                <w:sz w:val="11"/>
                <w:szCs w:val="11"/>
                <w:color w:val="auto"/>
              </w:rPr>
            </w:pPr>
          </w:p>
        </w:tc>
        <w:tc>
          <w:tcPr>
            <w:tcW w:w="110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194,062,767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18,181,663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235,020,620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447,265,050</w:t>
            </w:r>
          </w:p>
        </w:tc>
      </w:tr>
      <w:tr>
        <w:trPr>
          <w:trHeight w:val="135"/>
        </w:trPr>
        <w:tc>
          <w:tcPr>
            <w:tcW w:w="57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1"/>
                <w:szCs w:val="11"/>
                <w:color w:val="auto"/>
              </w:rPr>
            </w:pPr>
          </w:p>
        </w:tc>
        <w:tc>
          <w:tcPr>
            <w:tcW w:w="110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(232,075,815)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(12,262,770)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(244,338,585)</w:t>
            </w:r>
          </w:p>
        </w:tc>
      </w:tr>
      <w:tr>
        <w:trPr>
          <w:trHeight w:val="135"/>
        </w:trPr>
        <w:tc>
          <w:tcPr>
            <w:tcW w:w="57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r>
      <w:tr>
        <w:trPr>
          <w:trHeight w:val="128"/>
        </w:trPr>
        <w:tc>
          <w:tcPr>
            <w:tcW w:w="578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0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420" w:type="dxa"/>
            <w:vAlign w:val="bottom"/>
            <w:gridSpan w:val="2"/>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48"/>
        </w:trPr>
        <w:tc>
          <w:tcPr>
            <w:tcW w:w="5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capitalization</w:t>
            </w: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420" w:type="dxa"/>
            <w:vAlign w:val="bottom"/>
            <w:gridSpan w:val="2"/>
            <w:shd w:val="clear" w:color="auto" w:fill="CFF0FC"/>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-213995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-213995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-213995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6" w:name="page37"/>
    <w:bookmarkEnd w:id="36"/>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became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spacing w:after="0" w:line="5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7" w:name="page38"/>
    <w:bookmarkEnd w:id="37"/>
    <w:p>
      <w:pPr>
        <w:jc w:val="both"/>
        <w:spacing w:after="0" w:line="312" w:lineRule="auto"/>
        <w:rPr>
          <w:sz w:val="20"/>
          <w:szCs w:val="20"/>
          <w:color w:val="auto"/>
        </w:rPr>
      </w:pPr>
      <w:r>
        <w:rPr>
          <w:rFonts w:ascii="Times New Roman" w:cs="Times New Roman" w:eastAsia="Times New Roman" w:hAnsi="Times New Roman"/>
          <w:sz w:val="17"/>
          <w:szCs w:val="17"/>
          <w:color w:val="auto"/>
        </w:rPr>
        <w:t>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8" w:name="page39"/>
    <w:bookmarkEnd w:id="38"/>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9" w:name="page40"/>
    <w:bookmarkEnd w:id="39"/>
    <w:p>
      <w:pPr>
        <w:ind w:right="120"/>
        <w:spacing w:after="0" w:line="258" w:lineRule="auto"/>
        <w:rPr>
          <w:sz w:val="20"/>
          <w:szCs w:val="20"/>
          <w:color w:val="auto"/>
        </w:rPr>
      </w:pPr>
      <w:r>
        <w:rPr>
          <w:rFonts w:ascii="Times New Roman" w:cs="Times New Roman" w:eastAsia="Times New Roman" w:hAnsi="Times New Roman"/>
          <w:sz w:val="18"/>
          <w:szCs w:val="18"/>
          <w:color w:val="auto"/>
        </w:rPr>
        <w:t>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2" w:name="page43"/>
    <w:bookmarkEnd w:id="42"/>
    <w:p>
      <w:pPr>
        <w:ind w:right="2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3" w:name="page44"/>
    <w:bookmarkEnd w:id="43"/>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right="28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ind w:right="420"/>
        <w:spacing w:after="0" w:line="266" w:lineRule="auto"/>
        <w:rPr>
          <w:sz w:val="20"/>
          <w:szCs w:val="20"/>
          <w:color w:val="auto"/>
        </w:rPr>
      </w:pPr>
      <w:r>
        <w:rPr>
          <w:rFonts w:ascii="Times New Roman" w:cs="Times New Roman" w:eastAsia="Times New Roman" w:hAnsi="Times New Roman"/>
          <w:sz w:val="18"/>
          <w:szCs w:val="18"/>
          <w:color w:val="auto"/>
        </w:rPr>
        <w:t>“data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34" w:right="5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37,000,000 Ordinary Shares issued in connection with the PIPE Financing.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November 7, 2025 .</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 xml:space="preserve">Alyeska Master Fund, L.P. </w:t>
            </w:r>
            <w:r>
              <w:rPr>
                <w:rFonts w:ascii="Times New Roman" w:cs="Times New Roman" w:eastAsia="Times New Roman" w:hAnsi="Times New Roman"/>
                <w:sz w:val="24"/>
                <w:szCs w:val="24"/>
                <w:color w:val="auto"/>
                <w:vertAlign w:val="superscript"/>
              </w:rPr>
              <w:t>(2)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24,400,000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24,400,000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Citadel CEMF Investments Ltd.</w:t>
            </w:r>
            <w:r>
              <w:rPr>
                <w:rFonts w:ascii="Times New Roman" w:cs="Times New Roman" w:eastAsia="Times New Roman" w:hAnsi="Times New Roman"/>
                <w:sz w:val="24"/>
                <w:szCs w:val="24"/>
                <w:color w:val="auto"/>
                <w:vertAlign w:val="superscript"/>
              </w:rPr>
              <w:t>(3)</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20,579,499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12,600,000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7,979,499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98"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322,174,536 Ordinary Shares outstanding, which includes the sale of all securities offered hereby by that particular Selling Holder and does not assume the sale by any other Selling Holder.</w:t>
      </w:r>
    </w:p>
    <w:p>
      <w:pPr>
        <w:spacing w:after="0" w:line="68" w:lineRule="exact"/>
        <w:rPr>
          <w:sz w:val="20"/>
          <w:szCs w:val="20"/>
          <w:color w:val="auto"/>
        </w:rPr>
      </w:pPr>
    </w:p>
    <w:p>
      <w:pPr>
        <w:ind w:left="520" w:right="120" w:hanging="512"/>
        <w:spacing w:after="0" w:line="255"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24,400,000 Ordinary Shares issued in connection with the September 24, 2025, PIPE Financing. Alyeska Investment Group, L.P., the investment manager of Alyeska Master Fund, L.P. (the “</w:t>
      </w:r>
      <w:r>
        <w:rPr>
          <w:rFonts w:ascii="Times New Roman" w:cs="Times New Roman" w:eastAsia="Times New Roman" w:hAnsi="Times New Roman"/>
          <w:sz w:val="18"/>
          <w:szCs w:val="18"/>
          <w:b w:val="1"/>
          <w:bCs w:val="1"/>
          <w:i w:val="1"/>
          <w:iCs w:val="1"/>
          <w:color w:val="auto"/>
        </w:rPr>
        <w:t>Alyeska Master Fund</w:t>
      </w:r>
      <w:r>
        <w:rPr>
          <w:rFonts w:ascii="Times New Roman" w:cs="Times New Roman" w:eastAsia="Times New Roman" w:hAnsi="Times New Roman"/>
          <w:sz w:val="18"/>
          <w:szCs w:val="18"/>
          <w:color w:val="auto"/>
        </w:rPr>
        <w:t>”),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Alyeska Master Fund. The principal business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80" w:lineRule="exact"/>
        <w:rPr>
          <w:rFonts w:ascii="Times New Roman" w:cs="Times New Roman" w:eastAsia="Times New Roman" w:hAnsi="Times New Roman"/>
          <w:sz w:val="18"/>
          <w:szCs w:val="18"/>
          <w:color w:val="auto"/>
        </w:rPr>
      </w:pPr>
    </w:p>
    <w:p>
      <w:pPr>
        <w:ind w:left="520" w:right="20" w:hanging="512"/>
        <w:spacing w:after="0" w:line="254"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12,600,000 Ordinary Shares issued in connection with the September 24, 2025, PIPE Financing issued to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held by Citadel CEMF Investments Ltd.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8" w:name="page49"/>
    <w:bookmarkEnd w:id="48"/>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37,000,000 Ordinary Shares issued to the Selling Holders in connection with the PIPE Financing.</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3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32,062.21</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center"/>
              <w:ind w:right="3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ind w:right="3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1" w:name="page52"/>
    <w:bookmarkEnd w:id="51"/>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1">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Report of Foreign Private Issuer on Form 6-K filed with the SEC on </w:t>
      </w:r>
      <w:hyperlink r:id="rId72">
        <w:r>
          <w:rPr>
            <w:rFonts w:ascii="Times New Roman" w:cs="Times New Roman" w:eastAsia="Times New Roman" w:hAnsi="Times New Roman"/>
            <w:sz w:val="18"/>
            <w:szCs w:val="18"/>
            <w:u w:val="single" w:color="auto"/>
            <w:color w:val="0000FF"/>
          </w:rPr>
          <w:t>March 31, 2025</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FF"/>
          </w:rPr>
          <w:t>July 24, 2025</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FF"/>
          </w:rPr>
          <w:t xml:space="preserve">September 24, 2025, </w:t>
        </w:r>
      </w:hyperlink>
      <w:hyperlink r:id="rId77">
        <w:r>
          <w:rPr>
            <w:rFonts w:ascii="Times New Roman" w:cs="Times New Roman" w:eastAsia="Times New Roman" w:hAnsi="Times New Roman"/>
            <w:sz w:val="18"/>
            <w:szCs w:val="18"/>
            <w:u w:val="single" w:color="auto"/>
            <w:color w:val="0000FF"/>
          </w:rPr>
          <w:t xml:space="preserve">September 24, 2025, </w:t>
        </w:r>
      </w:hyperlink>
      <w:hyperlink r:id="rId78">
        <w:r>
          <w:rPr>
            <w:rFonts w:ascii="Times New Roman" w:cs="Times New Roman" w:eastAsia="Times New Roman" w:hAnsi="Times New Roman"/>
            <w:sz w:val="18"/>
            <w:szCs w:val="18"/>
            <w:u w:val="single" w:color="auto"/>
            <w:color w:val="0000FF"/>
          </w:rPr>
          <w:t>September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79">
        <w:r>
          <w:rPr>
            <w:rFonts w:ascii="Times New Roman" w:cs="Times New Roman" w:eastAsia="Times New Roman" w:hAnsi="Times New Roman"/>
            <w:sz w:val="18"/>
            <w:szCs w:val="18"/>
            <w:u w:val="single" w:color="auto"/>
            <w:color w:val="0000FF"/>
          </w:rPr>
          <w:t>October 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80">
        <w:r>
          <w:rPr>
            <w:rFonts w:ascii="Times New Roman" w:cs="Times New Roman" w:eastAsia="Times New Roman" w:hAnsi="Times New Roman"/>
            <w:sz w:val="18"/>
            <w:szCs w:val="18"/>
            <w:u w:val="single" w:color="auto"/>
            <w:color w:val="0000FF"/>
          </w:rPr>
          <w:t xml:space="preserve">October 6,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81">
        <w:r>
          <w:rPr>
            <w:rFonts w:ascii="Times New Roman" w:cs="Times New Roman" w:eastAsia="Times New Roman" w:hAnsi="Times New Roman"/>
            <w:sz w:val="18"/>
            <w:szCs w:val="18"/>
            <w:u w:val="single" w:color="auto"/>
            <w:color w:val="0000FF"/>
          </w:rPr>
          <w:t>October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FF"/>
        </w:rPr>
      </w:pPr>
    </w:p>
    <w:p>
      <w:pPr>
        <w:ind w:left="1020" w:right="5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8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315"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Roman"/>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1)"/>
      <w:numFmt w:val="decimal"/>
      <w:start w:val="2"/>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3" Type="http://schemas.openxmlformats.org/officeDocument/2006/relationships/image" Target="media/image64.png"/><Relationship Id="rId71" Type="http://schemas.openxmlformats.org/officeDocument/2006/relationships/hyperlink" Target="https://www.sec.gov/Archives/edgar/data/1920294/000095017025057622/rzlv-20241231.htm" TargetMode="External"/><Relationship Id="rId72" Type="http://schemas.openxmlformats.org/officeDocument/2006/relationships/hyperlink" Target="https://www.sec.gov/Archives/edgar/data/1920294/000095017025047916/groupby_closing_6-k.htm" TargetMode="External"/><Relationship Id="rId73" Type="http://schemas.openxmlformats.org/officeDocument/2006/relationships/hyperlink" Target="https://www.sec.gov/Archives/edgar/data/1920294/000095017025098147/pricing_6-k.htm" TargetMode="External"/><Relationship Id="rId74" Type="http://schemas.openxmlformats.org/officeDocument/2006/relationships/hyperlink" Target="https://www.sec.gov/Archives/edgar/data/1920294/000095017025098781/litigation_6-k.htm" TargetMode="External"/><Relationship Id="rId75" Type="http://schemas.openxmlformats.org/officeDocument/2006/relationships/hyperlink" Target="https://www.sec.gov/Archives/edgar/data/1920294/000095017025098790/pipe_closing_6-k.htm" TargetMode="External"/><Relationship Id="rId76" Type="http://schemas.openxmlformats.org/officeDocument/2006/relationships/hyperlink" Target="https://www.sec.gov/Archives/edgar/data/1920294/000119312525213667/warrants_6-k.htm" TargetMode="External"/><Relationship Id="rId77" Type="http://schemas.openxmlformats.org/officeDocument/2006/relationships/hyperlink" Target="https://www.sec.gov/Archives/edgar/data/1920294/000119312525214041/second_pricing_6-k.htm" TargetMode="External"/><Relationship Id="rId78" Type="http://schemas.openxmlformats.org/officeDocument/2006/relationships/hyperlink" Target="https://www.sec.gov/Archives/edgar/data/1920294/000119312525220703/second_closing_6-k.htm" TargetMode="External"/><Relationship Id="rId79" Type="http://schemas.openxmlformats.org/officeDocument/2006/relationships/hyperlink" Target="https://www.sec.gov/Archives/edgar/data/1920294/000119312525226728/rzlv-20250630.htm" TargetMode="External"/><Relationship Id="rId80" Type="http://schemas.openxmlformats.org/officeDocument/2006/relationships/hyperlink" Target="https://www.sec.gov/Archives/edgar/data/1920294/000119312525230582/copy_of_general_meeting_.htm" TargetMode="External"/><Relationship Id="rId81" Type="http://schemas.openxmlformats.org/officeDocument/2006/relationships/hyperlink" Target="https://www.sec.gov/Archives/edgar/data/1920294/000119312525237242/acquisitions_6-k.htm" TargetMode="External"/><Relationship Id="rId82" Type="http://schemas.openxmlformats.org/officeDocument/2006/relationships/hyperlink" Target="https://www.sec.gov/Archives/edgar/data/1920294/000119312524201396/d87344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2025-11-07T15:48:55Z</dcterms:created>
  <dcterms:modified xsi:type="dcterms:W3CDTF">2025-11-07T15:48:55Z</dcterms:modified>
</cp:coreProperties>
</file>