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333-282004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185,068,790 Ordinary Shares </w:t>
      </w:r>
      <w:r>
        <w:rPr>
          <w:rFonts w:ascii="Times New Roman" w:cs="Times New Roman" w:eastAsia="Times New Roman" w:hAnsi="Times New Roman"/>
          <w:sz w:val="18"/>
          <w:szCs w:val="18"/>
          <w:b w:val="1"/>
          <w:bCs w:val="1"/>
          <w:i w:val="1"/>
          <w:iCs w:val="1"/>
          <w:color w:val="auto"/>
        </w:rPr>
        <w:t>(for resale)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 xml:space="preserve">This prospectus relates to the issuance by us of up to 7,499,994 ordinary shares, par value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0.0001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upon the exercise of public warrants to purchase Ordinary Shares at a price of $11.50 per share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155"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also registering for resale by certain selling securityholders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an aggregate of up to 185,068,790 Ordinary Shares, consisting of (i) up to 122,655,854 Ordinary Shares; (ii) up to 569,982 Ordinary Shares issuable upon the exercise of private warrants to purchase Ordinary Shares at a price of $8.00 per share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xml:space="preserve">"); (iii) 20,895,861 Ordinary Shares issuable upon the conversion of the Convertible Notes (as defined herein); (iv) 15,374,145 Ordinary Shares issuable pursuant to the advanced subscription agreements; (v) 4,838,779 Ordinary Shares issuable pursuant to an agreement with </w:t>
      </w:r>
      <w:r>
        <w:rPr>
          <w:rFonts w:ascii="Times New Roman" w:cs="Times New Roman" w:eastAsia="Times New Roman" w:hAnsi="Times New Roman"/>
          <w:sz w:val="18"/>
          <w:szCs w:val="18"/>
          <w:color w:val="212529"/>
        </w:rPr>
        <w:t>YA II PN, LTD; (vi) up to 1,071,429 Ordinary Shares issuable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conversion of the YA Notes (as defined herein); (vii) up 400,625 Ordinary Shares issuable pursuant to the Northland Note (as defined herein) </w:t>
      </w:r>
      <w:r>
        <w:rPr>
          <w:rFonts w:ascii="Times New Roman" w:cs="Times New Roman" w:eastAsia="Times New Roman" w:hAnsi="Times New Roman"/>
          <w:sz w:val="18"/>
          <w:szCs w:val="18"/>
          <w:color w:val="000000"/>
        </w:rPr>
        <w:t>and (viii)</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545,373 Ordinary Shares issuable upon the conversion of the Promissory Notes (as defined herein).</w:t>
      </w:r>
    </w:p>
    <w:p>
      <w:pPr>
        <w:spacing w:after="0" w:line="187"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107.48% of the outstanding Ordinary Shares as of the date of this prospectus, assuming the exercise of all Warrants.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94"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also will not receive any proceeds from the issuance of the Ordinary Shares by us pursuant to this prospectus, except with respect to amounts received by us upon exercise of the Warrants to the extent such Warrants are exercised for cash. However, as of the date of this prospectus, the Public Warrants are “out-of-the money,” which means that the trading price of Ordinary Shares underlying the Public Warrants is below the $11.50 exercise price of the Public Warrants. For so long as the Public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time they become exercisable or otherwise, and they may expire worthless” </w:t>
      </w:r>
      <w:r>
        <w:rPr>
          <w:rFonts w:ascii="Times New Roman" w:cs="Times New Roman" w:eastAsia="Times New Roman" w:hAnsi="Times New Roman"/>
          <w:sz w:val="18"/>
          <w:szCs w:val="18"/>
          <w:color w:val="auto"/>
        </w:rPr>
        <w:t>for more information. We will pay the expenses, other than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1"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and “RZLVW,” respectively. On November 26, 2024, the closing price of the Ordinary Shares was $2.24 per share and the closing price of the Public Warrants was $0.1201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12 and in any applicable prospectus supplement.</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6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0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SELECTED DEFINITIONS</w:t>
            </w:r>
          </w:p>
        </w:tc>
        <w:tc>
          <w:tcPr>
            <w:tcW w:w="684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vii</w:t>
            </w:r>
          </w:p>
        </w:tc>
      </w:tr>
      <w:tr>
        <w:trPr>
          <w:trHeight w:val="196"/>
        </w:trPr>
        <w:tc>
          <w:tcPr>
            <w:tcW w:w="57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314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800" w:type="dxa"/>
            <w:vAlign w:val="bottom"/>
            <w:tcBorders>
              <w:top w:val="single" w:sz="8" w:color="0000FF"/>
            </w:tcBorders>
            <w:gridSpan w:val="5"/>
          </w:tcPr>
          <w:p>
            <w:pPr>
              <w:spacing w:after="0"/>
              <w:rPr>
                <w:sz w:val="17"/>
                <w:szCs w:val="17"/>
                <w:color w:val="auto"/>
              </w:rPr>
            </w:pPr>
          </w:p>
        </w:tc>
        <w:tc>
          <w:tcPr>
            <w:tcW w:w="684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5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34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89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31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 AND COMPENSATION</w:t>
            </w:r>
          </w:p>
        </w:tc>
        <w:tc>
          <w:tcPr>
            <w:tcW w:w="574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54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44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348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544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8"/>
              </w:rPr>
              <w:t>MATERIAL INCOME TAX CONSIDERATIONS</w:t>
            </w:r>
          </w:p>
        </w:tc>
        <w:tc>
          <w:tcPr>
            <w:tcW w:w="526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20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68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14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LEGAL MATTERS</w:t>
            </w:r>
          </w:p>
        </w:tc>
        <w:tc>
          <w:tcPr>
            <w:tcW w:w="1920" w:type="dxa"/>
            <w:vAlign w:val="bottom"/>
            <w:tcBorders>
              <w:top w:val="single" w:sz="8" w:color="0000FF"/>
            </w:tcBorders>
            <w:gridSpan w:val="8"/>
          </w:tcPr>
          <w:p>
            <w:pPr>
              <w:spacing w:after="0"/>
              <w:rPr>
                <w:sz w:val="17"/>
                <w:szCs w:val="17"/>
                <w:color w:val="auto"/>
              </w:rPr>
            </w:pPr>
          </w:p>
        </w:tc>
        <w:tc>
          <w:tcPr>
            <w:tcW w:w="554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7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EXPERTS</w:t>
            </w:r>
          </w:p>
        </w:tc>
        <w:tc>
          <w:tcPr>
            <w:tcW w:w="814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32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6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38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10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upon exercise of the Public Warrants. The Selling Holders may use the shelf registration statement to sell up to an aggregate of 185,068,790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and/or warrants being offered and the terms of the offering the Selling Holders may, from time to time, issue, offer and sell, as applicable, any combination of the securities described in this prospectus in one or more offerings.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900" w:right="8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 and the JVB Note;</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900" w:right="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46"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 Transactions</w:t>
      </w:r>
      <w:r>
        <w:rPr>
          <w:rFonts w:ascii="Times New Roman" w:cs="Times New Roman" w:eastAsia="Times New Roman" w:hAnsi="Times New Roman"/>
          <w:sz w:val="18"/>
          <w:szCs w:val="18"/>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2" w:lineRule="exact"/>
        <w:rPr>
          <w:rFonts w:ascii="Times New Roman" w:cs="Times New Roman" w:eastAsia="Times New Roman" w:hAnsi="Times New Roman"/>
          <w:sz w:val="18"/>
          <w:szCs w:val="18"/>
          <w:color w:val="auto"/>
        </w:rPr>
      </w:pPr>
    </w:p>
    <w:p>
      <w:pPr>
        <w:ind w:left="900" w:hanging="383"/>
        <w:spacing w:after="0" w:line="275"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Demerger</w:t>
      </w:r>
      <w:r>
        <w:rPr>
          <w:rFonts w:ascii="Times New Roman" w:cs="Times New Roman" w:eastAsia="Times New Roman" w:hAnsi="Times New Roman"/>
          <w:sz w:val="17"/>
          <w:szCs w:val="17"/>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60"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17" w:lineRule="exact"/>
        <w:rPr>
          <w:rFonts w:ascii="Times New Roman" w:cs="Times New Roman" w:eastAsia="Times New Roman" w:hAnsi="Times New Roman"/>
          <w:sz w:val="18"/>
          <w:szCs w:val="18"/>
          <w:color w:val="auto"/>
        </w:rPr>
      </w:pPr>
    </w:p>
    <w:p>
      <w:pPr>
        <w:ind w:left="900" w:right="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7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 w:name="page10"/>
    <w:bookmarkEnd w:id="9"/>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-127000</wp:posOffset>
            </wp:positionV>
            <wp:extent cx="7136130" cy="639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167" w:lineRule="exact"/>
        <w:rPr>
          <w:sz w:val="20"/>
          <w:szCs w:val="20"/>
          <w:color w:val="auto"/>
        </w:rPr>
      </w:pPr>
    </w:p>
    <w:p>
      <w:pPr>
        <w:ind w:left="2" w:right="140" w:firstLine="505"/>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left="2" w:right="20" w:firstLine="505"/>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left="2" w:right="40" w:firstLine="742"/>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2" w:firstLine="505"/>
        <w:spacing w:after="0" w:line="277" w:lineRule="auto"/>
        <w:rPr>
          <w:sz w:val="20"/>
          <w:szCs w:val="20"/>
          <w:color w:val="auto"/>
        </w:rPr>
      </w:pPr>
      <w:r>
        <w:rPr>
          <w:rFonts w:ascii="Times New Roman" w:cs="Times New Roman" w:eastAsia="Times New Roman" w:hAnsi="Times New Roman"/>
          <w:sz w:val="17"/>
          <w:szCs w:val="17"/>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7"/>
          <w:szCs w:val="17"/>
          <w:i w:val="1"/>
          <w:iCs w:val="1"/>
          <w:color w:val="auto"/>
        </w:rPr>
        <w:t>Business of Rezolve—Partner Agreements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 w:right="120" w:firstLine="505"/>
        <w:spacing w:after="0" w:line="261"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0" w:lineRule="exact"/>
        <w:rPr>
          <w:sz w:val="20"/>
          <w:szCs w:val="20"/>
          <w:color w:val="auto"/>
        </w:rPr>
      </w:pPr>
    </w:p>
    <w:p>
      <w:pPr>
        <w:ind w:left="2" w:right="380" w:firstLine="505"/>
        <w:spacing w:after="0" w:line="282" w:lineRule="auto"/>
        <w:rPr>
          <w:sz w:val="20"/>
          <w:szCs w:val="20"/>
          <w:color w:val="auto"/>
        </w:rPr>
      </w:pPr>
      <w:r>
        <w:rPr>
          <w:rFonts w:ascii="Times New Roman" w:cs="Times New Roman" w:eastAsia="Times New Roman" w:hAnsi="Times New Roman"/>
          <w:sz w:val="18"/>
          <w:szCs w:val="18"/>
          <w:color w:val="auto"/>
        </w:rPr>
        <w:t>The mailing address of Rezolve’s registered office is 5 New Street Square, London, United Kingdom, EC4A 3TW and its principal executive office is 3rd Floor, 80 New Bond Street, London, United Kingdom, W1S 1SB.</w:t>
      </w:r>
    </w:p>
    <w:p>
      <w:pPr>
        <w:spacing w:after="0" w:line="148" w:lineRule="exact"/>
        <w:rPr>
          <w:sz w:val="20"/>
          <w:szCs w:val="20"/>
          <w:color w:val="auto"/>
        </w:rPr>
      </w:pPr>
    </w:p>
    <w:p>
      <w:pPr>
        <w:ind w:left="2" w:right="320" w:hanging="2"/>
        <w:spacing w:after="0" w:line="223" w:lineRule="auto"/>
        <w:tabs>
          <w:tab w:leader="none" w:pos="107"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00" w:lineRule="exact"/>
        <w:rPr>
          <w:sz w:val="20"/>
          <w:szCs w:val="20"/>
          <w:color w:val="auto"/>
        </w:rPr>
      </w:pPr>
    </w:p>
    <w:p>
      <w:pPr>
        <w:spacing w:after="0" w:line="26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2"/>
          </w:cols>
          <w:pgMar w:left="378" w:top="995"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58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225" w:lineRule="exact"/>
        <w:rPr>
          <w:sz w:val="20"/>
          <w:szCs w:val="20"/>
          <w:color w:val="auto"/>
        </w:rPr>
      </w:pPr>
    </w:p>
    <w:p>
      <w:pPr>
        <w:ind w:firstLine="505"/>
        <w:spacing w:after="0" w:line="256"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7" w:lineRule="exact"/>
        <w:rPr>
          <w:sz w:val="20"/>
          <w:szCs w:val="20"/>
          <w:color w:val="auto"/>
        </w:rPr>
      </w:pPr>
    </w:p>
    <w:p>
      <w:pPr>
        <w:ind w:right="20" w:firstLine="505"/>
        <w:spacing w:after="0" w:line="256" w:lineRule="auto"/>
        <w:rPr>
          <w:sz w:val="20"/>
          <w:szCs w:val="20"/>
          <w:color w:val="auto"/>
        </w:rPr>
      </w:pPr>
      <w:r>
        <w:rPr>
          <w:rFonts w:ascii="Times New Roman" w:cs="Times New Roman" w:eastAsia="Times New Roman" w:hAnsi="Times New Roman"/>
          <w:sz w:val="18"/>
          <w:szCs w:val="18"/>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14" w:lineRule="exact"/>
        <w:rPr>
          <w:sz w:val="20"/>
          <w:szCs w:val="20"/>
          <w:color w:val="auto"/>
        </w:rPr>
      </w:pPr>
    </w:p>
    <w:p>
      <w:pPr>
        <w:jc w:val="both"/>
        <w:ind w:right="280" w:firstLine="505"/>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100" w:firstLine="505"/>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20" w:firstLine="505"/>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firstLine="505"/>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the date hereof, there is outstanding an aggregate amount of $49,892,080 loan notes of $1.00 each in the capital of Rezolve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August 15, 2027,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188" w:lineRule="exact"/>
        <w:rPr>
          <w:sz w:val="20"/>
          <w:szCs w:val="20"/>
          <w:color w:val="auto"/>
        </w:rPr>
      </w:pPr>
    </w:p>
    <w:p>
      <w:pPr>
        <w:ind w:right="40" w:firstLine="505"/>
        <w:spacing w:after="0" w:line="256"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holders of more than two-thirds of the aggregate principal amount of the Convertible Notes outstanding from time to time (the “</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319" w:right="41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6947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947535"/>
                    </a:xfrm>
                    <a:prstGeom prst="rect">
                      <a:avLst/>
                    </a:prstGeom>
                    <a:noFill/>
                  </pic:spPr>
                </pic:pic>
              </a:graphicData>
            </a:graphic>
          </wp:anchor>
        </w:drawing>
        <w:t>the principal amount of the Convertible Notes from time to time, Rezolve and its subsidiaries shall not enter into any Extraordinary Transactions (as defined below) without the prior consent of a Noteholder Majority. The definition of “</w:t>
      </w:r>
      <w:r>
        <w:rPr>
          <w:rFonts w:ascii="Times New Roman" w:cs="Times New Roman" w:eastAsia="Times New Roman" w:hAnsi="Times New Roman"/>
          <w:sz w:val="18"/>
          <w:szCs w:val="18"/>
          <w:b w:val="1"/>
          <w:bCs w:val="1"/>
          <w:i w:val="1"/>
          <w:iCs w:val="1"/>
          <w:color w:val="auto"/>
        </w:rPr>
        <w:t>Extraordinary Transactions</w:t>
      </w:r>
      <w:r>
        <w:rPr>
          <w:rFonts w:ascii="Times New Roman" w:cs="Times New Roman" w:eastAsia="Times New Roman" w:hAnsi="Times New Roman"/>
          <w:sz w:val="18"/>
          <w:szCs w:val="18"/>
          <w:color w:val="auto"/>
        </w:rPr>
        <w:t>”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or any of its subsidiaries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w:t>
      </w:r>
    </w:p>
    <w:p>
      <w:pPr>
        <w:spacing w:after="0" w:line="196" w:lineRule="exact"/>
        <w:rPr>
          <w:sz w:val="20"/>
          <w:szCs w:val="20"/>
          <w:color w:val="auto"/>
        </w:rPr>
      </w:pPr>
    </w:p>
    <w:p>
      <w:pPr>
        <w:jc w:val="both"/>
        <w:ind w:right="840" w:firstLine="505"/>
        <w:spacing w:after="0" w:line="282" w:lineRule="auto"/>
        <w:rPr>
          <w:sz w:val="20"/>
          <w:szCs w:val="20"/>
          <w:color w:val="auto"/>
        </w:rPr>
      </w:pPr>
      <w:r>
        <w:rPr>
          <w:rFonts w:ascii="Times New Roman" w:cs="Times New Roman" w:eastAsia="Times New Roman" w:hAnsi="Times New Roman"/>
          <w:sz w:val="18"/>
          <w:szCs w:val="18"/>
          <w:color w:val="auto"/>
        </w:rPr>
        <w:t>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17" w:lineRule="exact"/>
        <w:rPr>
          <w:sz w:val="20"/>
          <w:szCs w:val="20"/>
          <w:color w:val="auto"/>
        </w:rPr>
      </w:pPr>
    </w:p>
    <w:p>
      <w:pPr>
        <w:ind w:firstLine="505"/>
        <w:spacing w:after="0" w:line="272" w:lineRule="auto"/>
        <w:rPr>
          <w:sz w:val="20"/>
          <w:szCs w:val="20"/>
          <w:color w:val="auto"/>
        </w:rPr>
      </w:pPr>
      <w:r>
        <w:rPr>
          <w:rFonts w:ascii="Times New Roman" w:cs="Times New Roman" w:eastAsia="Times New Roman" w:hAnsi="Times New Roman"/>
          <w:sz w:val="17"/>
          <w:szCs w:val="17"/>
          <w:color w:val="212529"/>
        </w:rPr>
        <w:t>On February 23, 2023, Rezolve Limited entered into a $250 million standby equity purchase agreement with YA II PN, LTD (“</w:t>
      </w:r>
      <w:r>
        <w:rPr>
          <w:rFonts w:ascii="Times New Roman" w:cs="Times New Roman" w:eastAsia="Times New Roman" w:hAnsi="Times New Roman"/>
          <w:sz w:val="17"/>
          <w:szCs w:val="17"/>
          <w:b w:val="1"/>
          <w:bCs w:val="1"/>
          <w:i w:val="1"/>
          <w:iCs w:val="1"/>
          <w:color w:val="212529"/>
        </w:rPr>
        <w:t>YA</w:t>
      </w:r>
      <w:r>
        <w:rPr>
          <w:rFonts w:ascii="Times New Roman" w:cs="Times New Roman" w:eastAsia="Times New Roman" w:hAnsi="Times New Roman"/>
          <w:sz w:val="17"/>
          <w:szCs w:val="17"/>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7"/>
          <w:szCs w:val="17"/>
          <w:b w:val="1"/>
          <w:bCs w:val="1"/>
          <w:i w:val="1"/>
          <w:iCs w:val="1"/>
          <w:color w:val="212529"/>
        </w:rPr>
        <w:t>YA Agreement</w:t>
      </w:r>
      <w:r>
        <w:rPr>
          <w:rFonts w:ascii="Times New Roman" w:cs="Times New Roman" w:eastAsia="Times New Roman" w:hAnsi="Times New Roman"/>
          <w:sz w:val="17"/>
          <w:szCs w:val="17"/>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7"/>
          <w:szCs w:val="17"/>
          <w:b w:val="1"/>
          <w:bCs w:val="1"/>
          <w:i w:val="1"/>
          <w:iCs w:val="1"/>
          <w:color w:val="212529"/>
        </w:rPr>
        <w:t>YA Note</w:t>
      </w:r>
      <w:r>
        <w:rPr>
          <w:rFonts w:ascii="Times New Roman" w:cs="Times New Roman" w:eastAsia="Times New Roman" w:hAnsi="Times New Roman"/>
          <w:sz w:val="17"/>
          <w:szCs w:val="17"/>
          <w:color w:val="212529"/>
        </w:rPr>
        <w:t>”) to YA, pursuant to the terms of a convertible promissory note instrument entered into by Rezolve Limited and Rezolve (“</w:t>
      </w:r>
      <w:r>
        <w:rPr>
          <w:rFonts w:ascii="Times New Roman" w:cs="Times New Roman" w:eastAsia="Times New Roman" w:hAnsi="Times New Roman"/>
          <w:sz w:val="17"/>
          <w:szCs w:val="17"/>
          <w:b w:val="1"/>
          <w:bCs w:val="1"/>
          <w:i w:val="1"/>
          <w:iCs w:val="1"/>
          <w:color w:val="212529"/>
        </w:rPr>
        <w:t>YA Note Instrument</w:t>
      </w:r>
      <w:r>
        <w:rPr>
          <w:rFonts w:ascii="Times New Roman" w:cs="Times New Roman" w:eastAsia="Times New Roman" w:hAnsi="Times New Roman"/>
          <w:sz w:val="17"/>
          <w:szCs w:val="17"/>
          <w:color w:val="212529"/>
        </w:rPr>
        <w:t>”). The YA Note is convertible into Ordinary Shares, pursuant to its terms, at the noteholder’s election. Upon the closing of the Pre-Closing Demerger, the rights and obligations of Rezolve Limited under the YA Agreement and the YA Note Instrument were novated to Rezolve.</w:t>
      </w:r>
    </w:p>
    <w:p>
      <w:pPr>
        <w:spacing w:after="0" w:line="64" w:lineRule="exact"/>
        <w:rPr>
          <w:sz w:val="20"/>
          <w:szCs w:val="20"/>
          <w:color w:val="auto"/>
        </w:rPr>
      </w:pPr>
    </w:p>
    <w:p>
      <w:pPr>
        <w:ind w:firstLine="371"/>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Additional YA Note (as defined below), the second tranche in an original principal amount of Two Million Five Hundred Thousand Dollars ($2,500,000) that was funded as part of the Additional YA Note and the third tranche in an original principal amount of Two Million Five Hundred Thousand Dollars ($2,500,000) to be funded upon effectiveness of this Registration Statement. The Second A&amp;R YA Agreement superseded the original agreement.</w:t>
      </w:r>
    </w:p>
    <w:p>
      <w:pPr>
        <w:spacing w:after="0" w:line="79" w:lineRule="exact"/>
        <w:rPr>
          <w:sz w:val="20"/>
          <w:szCs w:val="20"/>
          <w:color w:val="auto"/>
        </w:rPr>
      </w:pPr>
    </w:p>
    <w:p>
      <w:pPr>
        <w:ind w:firstLine="371"/>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(the “</w:t>
      </w:r>
      <w:r>
        <w:rPr>
          <w:rFonts w:ascii="Times New Roman" w:cs="Times New Roman" w:eastAsia="Times New Roman" w:hAnsi="Times New Roman"/>
          <w:sz w:val="18"/>
          <w:szCs w:val="18"/>
          <w:b w:val="1"/>
          <w:bCs w:val="1"/>
          <w:i w:val="1"/>
          <w:iCs w:val="1"/>
          <w:color w:val="auto"/>
        </w:rPr>
        <w:t>Additional YA Note</w:t>
      </w:r>
      <w:r>
        <w:rPr>
          <w:rFonts w:ascii="Times New Roman" w:cs="Times New Roman" w:eastAsia="Times New Roman" w:hAnsi="Times New Roman"/>
          <w:sz w:val="18"/>
          <w:szCs w:val="18"/>
          <w:color w:val="auto"/>
        </w:rPr>
        <w:t>”), reflecting the first and second tranche of the prepaid advances. The Additional YA Note was issued at a 5%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Upon the funding of the third tranche of the prepaid advance, Rezolve will issue YA a promissory note in the principal amount of $2,500,000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same terms as the Additional YA Note. The Additional YA Note bears interest at an annual rate of 10% of the outstanding principal balance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YA Note and matures on September 11, 2025. Under the Additional YA Note, YA may elect to convert all or part of the amount outstanding under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YA Note into ordinary shares of Rezolve at the Conversion Price (as defined in the Additional YA Note), subject to certain limitations.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5" w:right="399" w:bottom="1440" w:gutter="0" w:footer="0" w:header="0"/>
        </w:sectPr>
      </w:pPr>
    </w:p>
    <w:bookmarkStart w:id="12" w:name="page13"/>
    <w:bookmarkEnd w:id="12"/>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359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t>has the right to redeem early a portion or all amounts outstanding under the Additional YA Note upon 10 days written notice upon the occurrence of certain events.</w:t>
      </w:r>
    </w:p>
    <w:p>
      <w:pPr>
        <w:spacing w:after="0" w:line="162" w:lineRule="exact"/>
        <w:rPr>
          <w:sz w:val="20"/>
          <w:szCs w:val="20"/>
          <w:color w:val="auto"/>
        </w:rPr>
      </w:pPr>
    </w:p>
    <w:p>
      <w:pPr>
        <w:ind w:right="40" w:firstLine="505"/>
        <w:spacing w:after="0" w:line="253" w:lineRule="auto"/>
        <w:rPr>
          <w:sz w:val="20"/>
          <w:szCs w:val="20"/>
          <w:color w:val="auto"/>
        </w:rPr>
      </w:pPr>
      <w:r>
        <w:rPr>
          <w:rFonts w:ascii="Times New Roman" w:cs="Times New Roman" w:eastAsia="Times New Roman" w:hAnsi="Times New Roman"/>
          <w:sz w:val="18"/>
          <w:szCs w:val="18"/>
          <w:color w:val="212529"/>
        </w:rPr>
        <w:t xml:space="preserve">In accordance with Rezolve’s obligations under the Investor Rights Agreement, the YA Agreement (as amended or restated), the YA Registration Rights Agreement, among other things, Rezolve has filed the registration statement of which this prospectus forms a part with the SEC to register under the Securities Act the resale by YA of up to 5,345,918 Ordinary Shares, including </w:t>
      </w:r>
      <w:r>
        <w:rPr>
          <w:rFonts w:ascii="Times New Roman" w:cs="Times New Roman" w:eastAsia="Times New Roman" w:hAnsi="Times New Roman"/>
          <w:sz w:val="18"/>
          <w:szCs w:val="18"/>
          <w:color w:val="000000"/>
        </w:rPr>
        <w:t>4,838,779</w:t>
      </w:r>
      <w:r>
        <w:rPr>
          <w:rFonts w:ascii="Times New Roman" w:cs="Times New Roman" w:eastAsia="Times New Roman" w:hAnsi="Times New Roman"/>
          <w:sz w:val="18"/>
          <w:szCs w:val="18"/>
          <w:color w:val="212529"/>
        </w:rPr>
        <w:t xml:space="preserve"> Ordinary Shares that Rezolve may issue and sell to YA from time to time in accordance with the YA Agreement (as amended or restated). Upon the satisfaction of the conditions to the YA’s purchase obligation set forth in the YA Agreement (as amended or restated), including that the registration statement of which this prospectus forms a part be declared effective by the SEC and the final form of this prospectus is filed with the SEC, we will have the right, but not the obligation, from time to time at our discretion until the first day of the month following the 36-month anniversary of the 6th trading day following the Closing, to direct YA to purchase a specified amount of Ordinary Shares (each such sale, an “</w:t>
      </w:r>
      <w:r>
        <w:rPr>
          <w:rFonts w:ascii="Times New Roman" w:cs="Times New Roman" w:eastAsia="Times New Roman" w:hAnsi="Times New Roman"/>
          <w:sz w:val="18"/>
          <w:szCs w:val="18"/>
          <w:b w:val="1"/>
          <w:bCs w:val="1"/>
          <w:i w:val="1"/>
          <w:iCs w:val="1"/>
          <w:color w:val="212529"/>
        </w:rPr>
        <w:t>Advance</w:t>
      </w:r>
      <w:r>
        <w:rPr>
          <w:rFonts w:ascii="Times New Roman" w:cs="Times New Roman" w:eastAsia="Times New Roman" w:hAnsi="Times New Roman"/>
          <w:sz w:val="18"/>
          <w:szCs w:val="18"/>
          <w:color w:val="212529"/>
        </w:rPr>
        <w:t>”) by delivering written notice to YA (each, an “</w:t>
      </w:r>
      <w:r>
        <w:rPr>
          <w:rFonts w:ascii="Times New Roman" w:cs="Times New Roman" w:eastAsia="Times New Roman" w:hAnsi="Times New Roman"/>
          <w:sz w:val="18"/>
          <w:szCs w:val="18"/>
          <w:b w:val="1"/>
          <w:bCs w:val="1"/>
          <w:i w:val="1"/>
          <w:iCs w:val="1"/>
          <w:color w:val="212529"/>
        </w:rPr>
        <w:t>Advance Notice</w:t>
      </w:r>
      <w:r>
        <w:rPr>
          <w:rFonts w:ascii="Times New Roman" w:cs="Times New Roman" w:eastAsia="Times New Roman" w:hAnsi="Times New Roman"/>
          <w:sz w:val="18"/>
          <w:szCs w:val="18"/>
          <w:color w:val="212529"/>
        </w:rPr>
        <w:t>”). While there is no mandatory minimum amount for any Advance, no Advance may exceed an amount of shares equal to the greater of: (i) one hundred percent (100%) of the average daily traded amount for the three (3) trading days immediately preceding an Advance Notice, or (ii) 2,000,000 Ordinary Shares (the “</w:t>
      </w:r>
      <w:r>
        <w:rPr>
          <w:rFonts w:ascii="Times New Roman" w:cs="Times New Roman" w:eastAsia="Times New Roman" w:hAnsi="Times New Roman"/>
          <w:sz w:val="18"/>
          <w:szCs w:val="18"/>
          <w:b w:val="1"/>
          <w:bCs w:val="1"/>
          <w:i w:val="1"/>
          <w:iCs w:val="1"/>
          <w:color w:val="212529"/>
        </w:rPr>
        <w:t>Maximum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Advance</w:t>
      </w:r>
      <w:r>
        <w:rPr>
          <w:rFonts w:ascii="Times New Roman" w:cs="Times New Roman" w:eastAsia="Times New Roman" w:hAnsi="Times New Roman"/>
          <w:sz w:val="18"/>
          <w:szCs w:val="18"/>
          <w:color w:val="212529"/>
        </w:rPr>
        <w:t>”). The per share purchase price for the shares of Common Stock that we elect to sell to YA in an Advance will be determined by reference to the</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volume weighted average price of our Common Stock (the “</w:t>
      </w:r>
      <w:r>
        <w:rPr>
          <w:rFonts w:ascii="Times New Roman" w:cs="Times New Roman" w:eastAsia="Times New Roman" w:hAnsi="Times New Roman"/>
          <w:sz w:val="18"/>
          <w:szCs w:val="18"/>
          <w:b w:val="1"/>
          <w:bCs w:val="1"/>
          <w:i w:val="1"/>
          <w:iCs w:val="1"/>
          <w:color w:val="212529"/>
        </w:rPr>
        <w:t>VWAP</w:t>
      </w:r>
      <w:r>
        <w:rPr>
          <w:rFonts w:ascii="Times New Roman" w:cs="Times New Roman" w:eastAsia="Times New Roman" w:hAnsi="Times New Roman"/>
          <w:sz w:val="18"/>
          <w:szCs w:val="18"/>
          <w:color w:val="212529"/>
        </w:rPr>
        <w:t>”) and calculated in accordance with the YA Agreement (as amended or restated), less a discount of 3.0%.</w:t>
      </w:r>
    </w:p>
    <w:p>
      <w:pPr>
        <w:spacing w:after="0" w:line="187" w:lineRule="exact"/>
        <w:rPr>
          <w:sz w:val="20"/>
          <w:szCs w:val="20"/>
          <w:color w:val="auto"/>
        </w:rPr>
      </w:pPr>
    </w:p>
    <w:p>
      <w:pPr>
        <w:ind w:right="40" w:firstLine="505"/>
        <w:spacing w:after="0" w:line="266" w:lineRule="auto"/>
        <w:rPr>
          <w:sz w:val="20"/>
          <w:szCs w:val="20"/>
          <w:color w:val="auto"/>
        </w:rPr>
      </w:pPr>
      <w:r>
        <w:rPr>
          <w:rFonts w:ascii="Times New Roman" w:cs="Times New Roman" w:eastAsia="Times New Roman" w:hAnsi="Times New Roman"/>
          <w:sz w:val="18"/>
          <w:szCs w:val="18"/>
          <w:color w:val="212529"/>
        </w:rPr>
        <w:t>Actual sales of Ordinary Shares to YA under the Second A&amp;R YA Agreement will depend on a variety of factors to be determined by us from time to time, which may include, among other things, market conditions, the trading price of our Common Stock, and determinations by us as to the appropriate sources of funding for our company and its operations.</w:t>
      </w:r>
    </w:p>
    <w:p>
      <w:pPr>
        <w:spacing w:after="0" w:line="176" w:lineRule="exact"/>
        <w:rPr>
          <w:sz w:val="20"/>
          <w:szCs w:val="20"/>
          <w:color w:val="auto"/>
        </w:rPr>
      </w:pPr>
    </w:p>
    <w:p>
      <w:pPr>
        <w:ind w:firstLine="505"/>
        <w:spacing w:after="0" w:line="258" w:lineRule="auto"/>
        <w:rPr>
          <w:sz w:val="20"/>
          <w:szCs w:val="20"/>
          <w:color w:val="auto"/>
        </w:rPr>
      </w:pPr>
      <w:r>
        <w:rPr>
          <w:rFonts w:ascii="Times New Roman" w:cs="Times New Roman" w:eastAsia="Times New Roman" w:hAnsi="Times New Roman"/>
          <w:sz w:val="18"/>
          <w:szCs w:val="18"/>
          <w:color w:val="212529"/>
        </w:rPr>
        <w:t>Under the Second A&amp;R YA Agreement, for so long as there is an outstanding balance under the YA Note, YA is entitled to require Rezolve to issue Ordinary Shares to YA (via the deemed delivery to YA of an Advance Notice), provided that any one deemed Advance Notice cannot call for more than the lesser of the (i) Maximum Advance and (ii) balance owed under the YA Note.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3" w:lineRule="exact"/>
        <w:rPr>
          <w:sz w:val="20"/>
          <w:szCs w:val="20"/>
          <w:color w:val="auto"/>
        </w:rPr>
      </w:pPr>
    </w:p>
    <w:p>
      <w:pPr>
        <w:ind w:firstLine="505"/>
        <w:spacing w:after="0" w:line="252" w:lineRule="auto"/>
        <w:rPr>
          <w:sz w:val="20"/>
          <w:szCs w:val="20"/>
          <w:color w:val="auto"/>
        </w:rPr>
      </w:pPr>
      <w:r>
        <w:rPr>
          <w:rFonts w:ascii="Times New Roman" w:cs="Times New Roman" w:eastAsia="Times New Roman" w:hAnsi="Times New Roman"/>
          <w:sz w:val="18"/>
          <w:szCs w:val="18"/>
          <w:color w:val="212529"/>
        </w:rPr>
        <w:t>Under the applicable Nasdaq rules, in no event may we issue to YA under the Second A&amp;R YA Agreement more than 34,419,336 Ordinary Shares, which number of shares is equal to 19.99% of the Ordinary Shares outstanding as of the "Effective Date", as such term is defined in the Second A&amp;R YA Agreement (the “</w:t>
      </w:r>
      <w:r>
        <w:rPr>
          <w:rFonts w:ascii="Times New Roman" w:cs="Times New Roman" w:eastAsia="Times New Roman" w:hAnsi="Times New Roman"/>
          <w:sz w:val="18"/>
          <w:szCs w:val="18"/>
          <w:b w:val="1"/>
          <w:bCs w:val="1"/>
          <w:i w:val="1"/>
          <w:iCs w:val="1"/>
          <w:color w:val="212529"/>
        </w:rPr>
        <w:t>YA Exchange Cap</w:t>
      </w:r>
      <w:r>
        <w:rPr>
          <w:rFonts w:ascii="Times New Roman" w:cs="Times New Roman" w:eastAsia="Times New Roman" w:hAnsi="Times New Roman"/>
          <w:sz w:val="18"/>
          <w:szCs w:val="18"/>
          <w:color w:val="212529"/>
        </w:rPr>
        <w:t xml:space="preserve">”), unless (i) we obtain stockholder approval to issue Ordinary Shares in excess of the YA Exchange Cap in accordance with applicable Nasdaq rules, or (ii) </w:t>
      </w:r>
      <w:r>
        <w:rPr>
          <w:rFonts w:ascii="Times New Roman" w:cs="Times New Roman" w:eastAsia="Times New Roman" w:hAnsi="Times New Roman"/>
          <w:sz w:val="18"/>
          <w:szCs w:val="18"/>
          <w:color w:val="000000"/>
        </w:rPr>
        <w:t>all applicable sales of Ordinary Shares under the</w:t>
      </w:r>
      <w:r>
        <w:rPr>
          <w:rFonts w:ascii="Times New Roman" w:cs="Times New Roman" w:eastAsia="Times New Roman" w:hAnsi="Times New Roman"/>
          <w:sz w:val="18"/>
          <w:szCs w:val="18"/>
          <w:color w:val="212529"/>
        </w:rPr>
        <w:t xml:space="preserve"> Second A&amp;R </w:t>
      </w:r>
      <w:r>
        <w:rPr>
          <w:rFonts w:ascii="Times New Roman" w:cs="Times New Roman" w:eastAsia="Times New Roman" w:hAnsi="Times New Roman"/>
          <w:sz w:val="18"/>
          <w:szCs w:val="18"/>
          <w:color w:val="000000"/>
        </w:rPr>
        <w:t>YA Agreement equal or exceed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average Nasdaq official closing price for the five (5) trading days immediately prior to the Effective Date</w:t>
      </w:r>
      <w:r>
        <w:rPr>
          <w:rFonts w:ascii="Times New Roman" w:cs="Times New Roman" w:eastAsia="Times New Roman" w:hAnsi="Times New Roman"/>
          <w:sz w:val="18"/>
          <w:szCs w:val="18"/>
          <w:color w:val="212529"/>
        </w:rPr>
        <w:t>. Moreover, we may not issue or sell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Ordinary Shares to YA under the Second A&amp;R YA Agreement which, when aggregated with all other Ordinary Shares then beneficially owned by YA and its affiliates (as calculated pursuant to Section 13(d) of the Exchange Act and Rule 13d-3 promulgated thereunder), would result in the beneficial ownership by the Selling Holder and its affiliates to exceed 4.99% of the then outstanding voting power or number of Ordinary Shares (the “</w:t>
      </w:r>
      <w:r>
        <w:rPr>
          <w:rFonts w:ascii="Times New Roman" w:cs="Times New Roman" w:eastAsia="Times New Roman" w:hAnsi="Times New Roman"/>
          <w:sz w:val="18"/>
          <w:szCs w:val="18"/>
          <w:b w:val="1"/>
          <w:bCs w:val="1"/>
          <w:i w:val="1"/>
          <w:iCs w:val="1"/>
          <w:color w:val="212529"/>
        </w:rPr>
        <w:t>Beneficial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Ownership Limitation</w:t>
      </w:r>
      <w:r>
        <w:rPr>
          <w:rFonts w:ascii="Times New Roman" w:cs="Times New Roman" w:eastAsia="Times New Roman" w:hAnsi="Times New Roman"/>
          <w:sz w:val="18"/>
          <w:szCs w:val="18"/>
          <w:color w:val="212529"/>
        </w:rPr>
        <w:t>”). Notwithstanding the Beneficial Ownership Limitation, YA may sell Ordinary Shares in the public market at any time, so long as</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the registration statement of which this prospectus forms a part remains effective and this prospectus remains usable. In addition to YA, additional Selling Holders representing approximately 103.96% of the Ordinary Shares outstanding may sell all of their Ordinary Shares at the same time as YA. Sales of a substantial number of shares of our Ordinary Shares in the public market, including the number of securities being offered pursuant to this prospectus (which equals approximately 107.48% of the total outstanding Ordinary Shares as of the date of this prospectus, calculated as 185,068,790 Ordinary Shares divided by 172,182,769 currently outstanding Ordinary Shares),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95" w:lineRule="exact"/>
        <w:rPr>
          <w:sz w:val="20"/>
          <w:szCs w:val="20"/>
          <w:color w:val="auto"/>
        </w:rPr>
      </w:pPr>
    </w:p>
    <w:p>
      <w:pPr>
        <w:ind w:right="20" w:firstLine="505"/>
        <w:spacing w:after="0" w:line="282" w:lineRule="auto"/>
        <w:rPr>
          <w:sz w:val="20"/>
          <w:szCs w:val="20"/>
          <w:color w:val="auto"/>
        </w:rPr>
      </w:pPr>
      <w:r>
        <w:rPr>
          <w:rFonts w:ascii="Times New Roman" w:cs="Times New Roman" w:eastAsia="Times New Roman" w:hAnsi="Times New Roman"/>
          <w:sz w:val="18"/>
          <w:szCs w:val="18"/>
          <w:color w:val="212529"/>
        </w:rPr>
        <w:t>Neither we nor the YA may assign or transfer any of our respective rights and obligations under the Second A&amp;R YA Agreement, and no provision of the Second A&amp;R YA Agreement may be modified or waived by the parties other than by an instrument in writing signed by both parties.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right="40" w:firstLine="505"/>
        <w:spacing w:after="0" w:line="261"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 Rezolve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to subscribe for convertible promissory notes with a total principal amount of $2,849,906 (the “</w:t>
      </w:r>
      <w:r>
        <w:rPr>
          <w:rFonts w:ascii="Times New Roman" w:cs="Times New Roman" w:eastAsia="Times New Roman" w:hAnsi="Times New Roman"/>
          <w:sz w:val="18"/>
          <w:szCs w:val="18"/>
          <w:b w:val="1"/>
          <w:bCs w:val="1"/>
          <w:i w:val="1"/>
          <w:iCs w:val="1"/>
          <w:color w:val="auto"/>
        </w:rPr>
        <w:t>Promissory Notes</w:t>
      </w:r>
      <w:r>
        <w:rPr>
          <w:rFonts w:ascii="Times New Roman" w:cs="Times New Roman" w:eastAsia="Times New Roman" w:hAnsi="Times New Roman"/>
          <w:sz w:val="18"/>
          <w:szCs w:val="18"/>
          <w:color w:val="auto"/>
        </w:rPr>
        <w:t>”) in consideration for an advance by each subscriber to Rezolve Limited of an amount equal to 80% of the principal amount subscribed (such amount being the “</w:t>
      </w:r>
      <w:r>
        <w:rPr>
          <w:rFonts w:ascii="Times New Roman" w:cs="Times New Roman" w:eastAsia="Times New Roman" w:hAnsi="Times New Roman"/>
          <w:sz w:val="18"/>
          <w:szCs w:val="18"/>
          <w:b w:val="1"/>
          <w:bCs w:val="1"/>
          <w:i w:val="1"/>
          <w:iCs w:val="1"/>
          <w:color w:val="auto"/>
        </w:rPr>
        <w:t>Net Investment Amount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07" w:right="399" w:bottom="1440" w:gutter="0" w:footer="0" w:header="0"/>
        </w:sectPr>
      </w:pPr>
    </w:p>
    <w:bookmarkStart w:id="13" w:name="page14"/>
    <w:bookmarkEnd w:id="13"/>
    <w:p>
      <w:pPr>
        <w:ind w:right="220" w:firstLine="505"/>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153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t>The Promissory Notes were issued during the course of February, 2024 pursuant to the terms of convertible promissory note instruments entered into by Rezolve Limited and Rezolve (all on substantially the same terms) in favour of the subscribers (“</w:t>
      </w:r>
      <w:r>
        <w:rPr>
          <w:rFonts w:ascii="Times New Roman" w:cs="Times New Roman" w:eastAsia="Times New Roman" w:hAnsi="Times New Roman"/>
          <w:sz w:val="18"/>
          <w:szCs w:val="18"/>
          <w:b w:val="1"/>
          <w:bCs w:val="1"/>
          <w:i w:val="1"/>
          <w:iCs w:val="1"/>
          <w:color w:val="auto"/>
        </w:rPr>
        <w:t>Promissory Note Instruments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505"/>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ind w:right="180" w:firstLine="505"/>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Promissory Notes are convertible into Ordinary Shares pursuant to their terms. The noteholders may elect to convert all or part of the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their Promissory Note into Ordinary Shares at the “</w:t>
      </w:r>
      <w:r>
        <w:rPr>
          <w:rFonts w:ascii="Times New Roman" w:cs="Times New Roman" w:eastAsia="Times New Roman" w:hAnsi="Times New Roman"/>
          <w:sz w:val="18"/>
          <w:szCs w:val="18"/>
          <w:b w:val="1"/>
          <w:bCs w:val="1"/>
          <w:i w:val="1"/>
          <w:iCs w:val="1"/>
          <w:color w:val="auto"/>
        </w:rPr>
        <w:t>Promissory Note Conversion Price</w:t>
      </w:r>
      <w:r>
        <w:rPr>
          <w:rFonts w:ascii="Times New Roman" w:cs="Times New Roman" w:eastAsia="Times New Roman" w:hAnsi="Times New Roman"/>
          <w:sz w:val="18"/>
          <w:szCs w:val="18"/>
          <w:color w:val="auto"/>
        </w:rPr>
        <w:t>” (being the lower of (i) $10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Promissory Note Conversion Fixed Price</w:t>
      </w:r>
      <w:r>
        <w:rPr>
          <w:rFonts w:ascii="Times New Roman" w:cs="Times New Roman" w:eastAsia="Times New Roman" w:hAnsi="Times New Roman"/>
          <w:sz w:val="18"/>
          <w:szCs w:val="18"/>
          <w:color w:val="auto"/>
        </w:rPr>
        <w:t>”) or (ii) 90% of the lowest daily VWAP during the ten (10) consecutive trading days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date or other date of determination (the “</w:t>
      </w:r>
      <w:r>
        <w:rPr>
          <w:rFonts w:ascii="Times New Roman" w:cs="Times New Roman" w:eastAsia="Times New Roman" w:hAnsi="Times New Roman"/>
          <w:sz w:val="18"/>
          <w:szCs w:val="18"/>
          <w:b w:val="1"/>
          <w:bCs w:val="1"/>
          <w:i w:val="1"/>
          <w:iCs w:val="1"/>
          <w:color w:val="auto"/>
        </w:rPr>
        <w:t>Variable Price</w:t>
      </w:r>
      <w:r>
        <w:rPr>
          <w:rFonts w:ascii="Times New Roman" w:cs="Times New Roman" w:eastAsia="Times New Roman" w:hAnsi="Times New Roman"/>
          <w:sz w:val="18"/>
          <w:szCs w:val="18"/>
          <w:color w:val="auto"/>
        </w:rPr>
        <w:t>”) but which Variable Price shall not be lower than the “</w:t>
      </w:r>
      <w:r>
        <w:rPr>
          <w:rFonts w:ascii="Times New Roman" w:cs="Times New Roman" w:eastAsia="Times New Roman" w:hAnsi="Times New Roman"/>
          <w:sz w:val="18"/>
          <w:szCs w:val="18"/>
          <w:b w:val="1"/>
          <w:bCs w:val="1"/>
          <w:i w:val="1"/>
          <w:iCs w:val="1"/>
          <w:color w:val="auto"/>
        </w:rPr>
        <w:t>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Floor Price</w:t>
      </w:r>
      <w:r>
        <w:rPr>
          <w:rFonts w:ascii="Times New Roman" w:cs="Times New Roman" w:eastAsia="Times New Roman" w:hAnsi="Times New Roman"/>
          <w:sz w:val="18"/>
          <w:szCs w:val="18"/>
          <w:color w:val="auto"/>
        </w:rPr>
        <w:t>” (being $2.00 per share unless reduced by Rezolve) then in effect), however subject to the conversion limitation whereby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of Ordinary Shares upon conversion would not exceed the number of Ordinary Shares that Rezolve AI Limited may issue in a transaction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its obligations under rules or regulations of Nasdaq (the “</w:t>
      </w:r>
      <w:r>
        <w:rPr>
          <w:rFonts w:ascii="Times New Roman" w:cs="Times New Roman" w:eastAsia="Times New Roman" w:hAnsi="Times New Roman"/>
          <w:sz w:val="18"/>
          <w:szCs w:val="18"/>
          <w:b w:val="1"/>
          <w:bCs w:val="1"/>
          <w:i w:val="1"/>
          <w:iCs w:val="1"/>
          <w:color w:val="auto"/>
        </w:rPr>
        <w:t>Promissory Note Exchange Cap</w:t>
      </w:r>
      <w:r>
        <w:rPr>
          <w:rFonts w:ascii="Times New Roman" w:cs="Times New Roman" w:eastAsia="Times New Roman" w:hAnsi="Times New Roman"/>
          <w:sz w:val="18"/>
          <w:szCs w:val="18"/>
          <w:color w:val="auto"/>
        </w:rPr>
        <w:t>”) (unless Rezolve AI Limited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approved such issuances, or if Rezolve AI Limited is permitted to follow (and has elected to do so) its home country practices instead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approval requirements of Nasdaq Rule 5635).</w:t>
      </w:r>
    </w:p>
    <w:p>
      <w:pPr>
        <w:spacing w:after="0" w:line="207" w:lineRule="exact"/>
        <w:rPr>
          <w:sz w:val="20"/>
          <w:szCs w:val="20"/>
          <w:color w:val="auto"/>
        </w:rPr>
      </w:pPr>
    </w:p>
    <w:p>
      <w:pPr>
        <w:ind w:right="40" w:firstLine="505"/>
        <w:spacing w:after="0" w:line="258"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3" w:lineRule="exact"/>
        <w:rPr>
          <w:sz w:val="20"/>
          <w:szCs w:val="20"/>
          <w:color w:val="auto"/>
        </w:rPr>
      </w:pPr>
    </w:p>
    <w:p>
      <w:pPr>
        <w:ind w:right="80" w:firstLine="505"/>
        <w:spacing w:after="0" w:line="253" w:lineRule="auto"/>
        <w:rPr>
          <w:sz w:val="20"/>
          <w:szCs w:val="20"/>
          <w:color w:val="auto"/>
        </w:rPr>
      </w:pPr>
      <w:r>
        <w:rPr>
          <w:rFonts w:ascii="Times New Roman" w:cs="Times New Roman" w:eastAsia="Times New Roman" w:hAnsi="Times New Roman"/>
          <w:sz w:val="18"/>
          <w:szCs w:val="18"/>
          <w:color w:val="auto"/>
        </w:rPr>
        <w:t>If a Trigger Event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Conversion Floor Price Trigger</w:t>
      </w:r>
      <w:r>
        <w:rPr>
          <w:rFonts w:ascii="Times New Roman" w:cs="Times New Roman" w:eastAsia="Times New Roman" w:hAnsi="Times New Roman"/>
          <w:sz w:val="18"/>
          <w:szCs w:val="18"/>
          <w:color w:val="auto"/>
        </w:rPr>
        <w:t>”), or (ii) Rezolve AI Limited has issued in excess of 99% of the Ordinary Shares available under the Promissory Note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Conversion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Promissory Note Floor Price (in accordance with its rights to do so under the Promissory Note Instruments), or (ii) in the event of a Promissory Note Exchange Cap Trigger, the date Rezolve AI Limited has obtained stockholder approval to increase the number of Ordinary Shares under the Promissory Note Exchange Cap (or if the Promissory Note Exchange Cap no longer applies), unless a subsequent Trigger Event occurs.</w:t>
      </w:r>
    </w:p>
    <w:p>
      <w:pPr>
        <w:spacing w:after="0" w:line="190" w:lineRule="exact"/>
        <w:rPr>
          <w:sz w:val="20"/>
          <w:szCs w:val="20"/>
          <w:color w:val="auto"/>
        </w:rPr>
      </w:pPr>
    </w:p>
    <w:p>
      <w:pPr>
        <w:ind w:firstLine="505"/>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upon completion of the Business Combination, with the warrant subscription value for each subscriber equal two (2) times the Net Investment Amount. The warrants confer the right to each warrantholder to subscribe for Ordinary Shares at the exercise price of $8.00 per share (which may be adjusted upon an alteration of Rezolve AI Limited’s share capital), and which may be exercised until 31 January 2027 (“</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color w:val="auto"/>
        </w:rPr>
        <w:t>”). If before the Expiry Date it comes to the attention of Rezolve AI Limited of an “</w:t>
      </w:r>
      <w:r>
        <w:rPr>
          <w:rFonts w:ascii="Times New Roman" w:cs="Times New Roman" w:eastAsia="Times New Roman" w:hAnsi="Times New Roman"/>
          <w:sz w:val="18"/>
          <w:szCs w:val="18"/>
          <w:b w:val="1"/>
          <w:bCs w:val="1"/>
          <w:i w:val="1"/>
          <w:iCs w:val="1"/>
          <w:color w:val="auto"/>
        </w:rPr>
        <w:t>Exercise Event</w:t>
      </w:r>
      <w:r>
        <w:rPr>
          <w:rFonts w:ascii="Times New Roman" w:cs="Times New Roman" w:eastAsia="Times New Roman" w:hAnsi="Times New Roman"/>
          <w:sz w:val="18"/>
          <w:szCs w:val="18"/>
          <w:color w:val="auto"/>
        </w:rPr>
        <w: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89" w:lineRule="exact"/>
        <w:rPr>
          <w:sz w:val="20"/>
          <w:szCs w:val="20"/>
          <w:color w:val="auto"/>
        </w:rPr>
      </w:pPr>
    </w:p>
    <w:p>
      <w:pPr>
        <w:ind w:right="100" w:firstLine="505"/>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5" w:right="399" w:bottom="1440" w:gutter="0" w:footer="0" w:header="0"/>
        </w:sectPr>
      </w:pPr>
    </w:p>
    <w:bookmarkStart w:id="14" w:name="page15"/>
    <w:bookmarkEnd w:id="14"/>
    <w:p>
      <w:pPr>
        <w:ind w:firstLine="505"/>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427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t>On August 14, 2024, Armada issued a promissory note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for an amount of $7,500,000 and agreed to pay interest on the principal amount outstanding from time to time from August 14, 2024, until the note is fully paid, at the rate of 4.95% per annum. The note is to be repaid in installments of $625,000 (the “</w:t>
      </w:r>
      <w:r>
        <w:rPr>
          <w:rFonts w:ascii="Times New Roman" w:cs="Times New Roman" w:eastAsia="Times New Roman" w:hAnsi="Times New Roman"/>
          <w:sz w:val="18"/>
          <w:szCs w:val="18"/>
          <w:b w:val="1"/>
          <w:bCs w:val="1"/>
          <w:i w:val="1"/>
          <w:iCs w:val="1"/>
          <w:color w:val="auto"/>
        </w:rPr>
        <w:t>JVB Amortization Payment</w:t>
      </w:r>
      <w:r>
        <w:rPr>
          <w:rFonts w:ascii="Times New Roman" w:cs="Times New Roman" w:eastAsia="Times New Roman" w:hAnsi="Times New Roman"/>
          <w:sz w:val="18"/>
          <w:szCs w:val="18"/>
          <w:color w:val="auto"/>
        </w:rPr>
        <w:t>”) beginning on January 31, 2025, and on each month end thereafter until December 31, 2025. Armada may, in its sole discretion, elect to pay all or any portion of the Amortization Payment or any interest due and payable on the maturity date in Ordinary Shares, with the number of such shares determined by dividing the JVB Amortization Payment by a price per Ordinary Share equal to 95% of the arithmetic average of the daily VWAP for the 5 days ending on the day immediately preceding the due date of the JVB Amortization Payment. All of Armada’s obligations under the Note were guaranteed by the Company and Rezolve Limited.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14, 2024 Armada issued a promissory note to pay to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as an agent 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in the principal sum of $3,144,883.06 (the “</w:t>
      </w:r>
      <w:r>
        <w:rPr>
          <w:rFonts w:ascii="Times New Roman" w:cs="Times New Roman" w:eastAsia="Times New Roman" w:hAnsi="Times New Roman"/>
          <w:sz w:val="18"/>
          <w:szCs w:val="18"/>
          <w:b w:val="1"/>
          <w:bCs w:val="1"/>
          <w:i w:val="1"/>
          <w:iCs w:val="1"/>
          <w:color w:val="auto"/>
        </w:rPr>
        <w:t>Original Cohen Amount</w:t>
      </w:r>
      <w:r>
        <w:rPr>
          <w:rFonts w:ascii="Times New Roman" w:cs="Times New Roman" w:eastAsia="Times New Roman" w:hAnsi="Times New Roman"/>
          <w:sz w:val="18"/>
          <w:szCs w:val="18"/>
          <w:color w:val="auto"/>
        </w:rPr>
        <w:t>”), with the Original Cohen Amount, the accrued interest thereon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and payable (unless prepaid earlier or converted into shares of common stock) on August 14, 2027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The note bears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4.95% per annum. Starting from January 31, 2025, upon Cohen’s request, the Company shall pay Cohen the principal amount plus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in increments of 1/18 of the outstanding principal amount (the “</w:t>
      </w:r>
      <w:r>
        <w:rPr>
          <w:rFonts w:ascii="Times New Roman" w:cs="Times New Roman" w:eastAsia="Times New Roman" w:hAnsi="Times New Roman"/>
          <w:sz w:val="18"/>
          <w:szCs w:val="18"/>
          <w:b w:val="1"/>
          <w:bCs w:val="1"/>
          <w:i w:val="1"/>
          <w:iCs w:val="1"/>
          <w:color w:val="auto"/>
        </w:rPr>
        <w:t>Cohen Amortization Payment</w:t>
      </w:r>
      <w:r>
        <w:rPr>
          <w:rFonts w:ascii="Times New Roman" w:cs="Times New Roman" w:eastAsia="Times New Roman" w:hAnsi="Times New Roman"/>
          <w:sz w:val="18"/>
          <w:szCs w:val="18"/>
          <w:color w:val="auto"/>
        </w:rPr>
        <w:t>”) on a date determined by Cohen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Payment Date</w:t>
      </w:r>
      <w:r>
        <w:rPr>
          <w:rFonts w:ascii="Times New Roman" w:cs="Times New Roman" w:eastAsia="Times New Roman" w:hAnsi="Times New Roman"/>
          <w:sz w:val="17"/>
          <w:szCs w:val="17"/>
          <w:color w:val="auto"/>
        </w:rPr>
        <w:t>”) until the Original Cohen Amount has been paid in full prior to or on the Maturity Date or, if earlier, upon acceleration, of prepayment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in accordance with the terms of the note. At the option of the Company, the Cohen Amortization Payments shall be made in cash or in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 the Company, based on the price described in the promissory note. From and after January 15, 2025, Cohen shall have the right,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Cohen’s sole option, on any business day, to convert at the conversion price described in the note all or any portion of the outstanding principal amount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up to an amount described in the note.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225" w:lineRule="exact"/>
        <w:rPr>
          <w:sz w:val="20"/>
          <w:szCs w:val="20"/>
          <w:color w:val="auto"/>
        </w:rPr>
      </w:pPr>
    </w:p>
    <w:p>
      <w:pPr>
        <w:ind w:right="40" w:firstLine="505"/>
        <w:spacing w:after="0" w:line="282" w:lineRule="auto"/>
        <w:rPr>
          <w:sz w:val="20"/>
          <w:szCs w:val="20"/>
          <w:color w:val="auto"/>
        </w:rPr>
      </w:pPr>
      <w:r>
        <w:rPr>
          <w:rFonts w:ascii="Times New Roman" w:cs="Times New Roman" w:eastAsia="Times New Roman" w:hAnsi="Times New Roman"/>
          <w:sz w:val="17"/>
          <w:szCs w:val="17"/>
          <w:color w:val="auto"/>
        </w:rPr>
        <w:t>At the Closing, the Company entered into separate Lock-In Agreements (the "</w:t>
      </w:r>
      <w:r>
        <w:rPr>
          <w:rFonts w:ascii="Times New Roman" w:cs="Times New Roman" w:eastAsia="Times New Roman" w:hAnsi="Times New Roman"/>
          <w:sz w:val="17"/>
          <w:szCs w:val="17"/>
          <w:b w:val="1"/>
          <w:bCs w:val="1"/>
          <w:i w:val="1"/>
          <w:iCs w:val="1"/>
          <w:color w:val="auto"/>
        </w:rPr>
        <w:t>Lock-In Agreements</w:t>
      </w:r>
      <w:r>
        <w:rPr>
          <w:rFonts w:ascii="Times New Roman" w:cs="Times New Roman" w:eastAsia="Times New Roman" w:hAnsi="Times New Roman"/>
          <w:sz w:val="17"/>
          <w:szCs w:val="17"/>
          <w:color w:val="auto"/>
        </w:rPr>
        <w:t>") with certain holders of the Company (such persons, the "</w:t>
      </w:r>
      <w:r>
        <w:rPr>
          <w:rFonts w:ascii="Times New Roman" w:cs="Times New Roman" w:eastAsia="Times New Roman" w:hAnsi="Times New Roman"/>
          <w:sz w:val="17"/>
          <w:szCs w:val="17"/>
          <w:b w:val="1"/>
          <w:bCs w:val="1"/>
          <w:i w:val="1"/>
          <w:iCs w:val="1"/>
          <w:color w:val="auto"/>
        </w:rPr>
        <w:t>Rezolve Holders</w:t>
      </w:r>
      <w:r>
        <w:rPr>
          <w:rFonts w:ascii="Times New Roman" w:cs="Times New Roman" w:eastAsia="Times New Roman" w:hAnsi="Times New Roman"/>
          <w:sz w:val="17"/>
          <w:szCs w:val="17"/>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40" w:firstLine="505"/>
        <w:spacing w:after="0" w:line="261" w:lineRule="auto"/>
        <w:rPr>
          <w:sz w:val="20"/>
          <w:szCs w:val="20"/>
          <w:color w:val="auto"/>
        </w:rPr>
      </w:pPr>
      <w:r>
        <w:rPr>
          <w:rFonts w:ascii="Times New Roman" w:cs="Times New Roman" w:eastAsia="Times New Roman" w:hAnsi="Times New Roman"/>
          <w:sz w:val="18"/>
          <w:szCs w:val="18"/>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has undertaken to re-register as a public limited company and change its name from Rezolve AI Limited to Rezolve AI PLC on or before January 9, 2025.</w:t>
      </w:r>
    </w:p>
    <w:p>
      <w:pPr>
        <w:spacing w:after="0" w:line="180"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at our registered office.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firstLine="505"/>
        <w:spacing w:after="0" w:line="277"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8" w:lineRule="exact"/>
        <w:rPr>
          <w:sz w:val="20"/>
          <w:szCs w:val="20"/>
          <w:color w:val="auto"/>
        </w:rPr>
      </w:pPr>
    </w:p>
    <w:p>
      <w:pPr>
        <w:ind w:firstLine="505"/>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211" w:right="419" w:bottom="1440" w:gutter="0" w:footer="0" w:header="0"/>
        </w:sectPr>
      </w:pPr>
    </w:p>
    <w:bookmarkStart w:id="15" w:name="page16"/>
    <w:bookmarkEnd w:id="15"/>
    <w:p>
      <w:pPr>
        <w:ind w:left="2"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701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701915"/>
                    </a:xfrm>
                    <a:prstGeom prst="rect">
                      <a:avLst/>
                    </a:prstGeom>
                    <a:noFill/>
                  </pic:spPr>
                </pic:pic>
              </a:graphicData>
            </a:graphic>
          </wp:anchor>
        </w:drawing>
        <w:t>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62" w:lineRule="exact"/>
        <w:rPr>
          <w:sz w:val="20"/>
          <w:szCs w:val="20"/>
          <w:color w:val="auto"/>
        </w:rPr>
      </w:pPr>
    </w:p>
    <w:p>
      <w:pPr>
        <w:ind w:left="2" w:right="80" w:firstLine="505"/>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2" w:right="40" w:firstLine="505"/>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left="2" w:firstLine="505"/>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left="2" w:right="200" w:firstLine="505"/>
        <w:spacing w:after="0" w:line="276" w:lineRule="auto"/>
        <w:rPr>
          <w:sz w:val="20"/>
          <w:szCs w:val="20"/>
          <w:color w:val="auto"/>
        </w:rPr>
      </w:pPr>
      <w:r>
        <w:rPr>
          <w:rFonts w:ascii="Times New Roman" w:cs="Times New Roman" w:eastAsia="Times New Roman" w:hAnsi="Times New Roman"/>
          <w:sz w:val="17"/>
          <w:szCs w:val="17"/>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w:t>
      </w:r>
    </w:p>
    <w:p>
      <w:pPr>
        <w:spacing w:after="0" w:line="1" w:lineRule="exact"/>
        <w:rPr>
          <w:sz w:val="20"/>
          <w:szCs w:val="20"/>
          <w:color w:val="auto"/>
        </w:rPr>
      </w:pPr>
    </w:p>
    <w:p>
      <w:pPr>
        <w:ind w:left="2" w:hanging="2"/>
        <w:spacing w:after="0" w:line="260" w:lineRule="auto"/>
        <w:tabs>
          <w:tab w:leader="none" w:pos="2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 (ii) more than 50% of our assets are located in the United States; or (iii) our business is administered principally in the United States.</w:t>
      </w:r>
    </w:p>
    <w:p>
      <w:pPr>
        <w:spacing w:after="0" w:line="181" w:lineRule="exact"/>
        <w:rPr>
          <w:sz w:val="20"/>
          <w:szCs w:val="20"/>
          <w:color w:val="auto"/>
        </w:rPr>
      </w:pPr>
    </w:p>
    <w:p>
      <w:pPr>
        <w:ind w:left="2" w:right="40" w:firstLine="505"/>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2" w:right="140" w:firstLine="505"/>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176" w:lineRule="exact"/>
        <w:rPr>
          <w:sz w:val="20"/>
          <w:szCs w:val="20"/>
          <w:color w:val="auto"/>
        </w:rPr>
      </w:pPr>
    </w:p>
    <w:p>
      <w:pPr>
        <w:ind w:left="2" w:right="280" w:firstLine="505"/>
        <w:spacing w:after="0" w:line="282" w:lineRule="auto"/>
        <w:rPr>
          <w:sz w:val="20"/>
          <w:szCs w:val="20"/>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4" w:lineRule="exact"/>
        <w:rPr>
          <w:sz w:val="20"/>
          <w:szCs w:val="20"/>
          <w:color w:val="auto"/>
        </w:rPr>
      </w:pPr>
    </w:p>
    <w:p>
      <w:pPr>
        <w:ind w:left="882" w:right="260" w:hanging="377"/>
        <w:spacing w:after="0" w:line="282"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882" w:right="620" w:hanging="377"/>
        <w:spacing w:after="0" w:line="282"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882" w:right="40" w:hanging="377"/>
        <w:spacing w:after="0" w:line="282"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882" w:hanging="377"/>
        <w:spacing w:after="0"/>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882" w:right="100" w:hanging="377"/>
        <w:spacing w:after="0" w:line="266"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882" w:right="400" w:hanging="377"/>
        <w:spacing w:after="0" w:line="282" w:lineRule="auto"/>
        <w:tabs>
          <w:tab w:leader="none" w:pos="8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17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2"/>
          </w:cols>
          <w:pgMar w:left="378" w:top="1215" w:right="399" w:bottom="1440" w:gutter="0" w:footer="0" w:header="0"/>
        </w:sectPr>
      </w:pPr>
    </w:p>
    <w:bookmarkStart w:id="16" w:name="page17"/>
    <w:bookmarkEnd w:id="16"/>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427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380" w:right="500" w:hanging="377"/>
        <w:spacing w:after="0" w:line="312"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1" w:lineRule="exact"/>
        <w:rPr>
          <w:rFonts w:ascii="Times New Roman" w:cs="Times New Roman" w:eastAsia="Times New Roman" w:hAnsi="Times New Roman"/>
          <w:sz w:val="17"/>
          <w:szCs w:val="17"/>
          <w:color w:val="auto"/>
        </w:rPr>
      </w:pPr>
    </w:p>
    <w:p>
      <w:pPr>
        <w:ind w:left="380" w:right="4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380" w:right="420" w:hanging="377"/>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380" w:right="12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380" w:right="32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380" w:right="140" w:hanging="377"/>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380" w:right="8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380" w:right="16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380" w:right="2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380" w:right="8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380" w:right="100" w:hanging="377"/>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right="60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380" w:right="6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17" w:lineRule="exact"/>
        <w:rPr>
          <w:rFonts w:ascii="Times New Roman" w:cs="Times New Roman" w:eastAsia="Times New Roman" w:hAnsi="Times New Roman"/>
          <w:sz w:val="18"/>
          <w:szCs w:val="18"/>
          <w:color w:val="auto"/>
        </w:rPr>
      </w:pPr>
    </w:p>
    <w:p>
      <w:pPr>
        <w:ind w:left="380" w:right="160" w:hanging="377"/>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1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880" w:top="1107" w:right="399" w:bottom="1440" w:gutter="0" w:footer="0" w:header="0"/>
        </w:sectPr>
      </w:pPr>
    </w:p>
    <w:bookmarkStart w:id="17" w:name="page18"/>
    <w:bookmarkEnd w:id="17"/>
    <w:p>
      <w:pPr>
        <w:ind w:left="380" w:right="30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646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380" w:right="5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380" w:right="100" w:hanging="377"/>
        <w:spacing w:after="0" w:line="312"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1" w:lineRule="exact"/>
        <w:rPr>
          <w:rFonts w:ascii="Times New Roman" w:cs="Times New Roman" w:eastAsia="Times New Roman" w:hAnsi="Times New Roman"/>
          <w:sz w:val="17"/>
          <w:szCs w:val="17"/>
          <w:color w:val="auto"/>
        </w:rPr>
      </w:pPr>
    </w:p>
    <w:p>
      <w:pPr>
        <w:ind w:left="380" w:right="4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380" w:right="260" w:hanging="377"/>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380" w:right="4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380" w:right="32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380" w:right="4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380" w:right="24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17"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380" w:right="440" w:hanging="377"/>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380" w:right="2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380" w:right="460" w:hanging="377"/>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2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80" w:top="1107" w:right="419" w:bottom="1440" w:gutter="0" w:footer="0" w:header="0"/>
        </w:sectPr>
      </w:pPr>
    </w:p>
    <w:bookmarkStart w:id="18" w:name="page19"/>
    <w:bookmarkEnd w:id="18"/>
    <w:p>
      <w:pPr>
        <w:ind w:left="4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-127000</wp:posOffset>
            </wp:positionV>
            <wp:extent cx="7136130" cy="6442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registering the issuance by us of up to 7,499,994 Ordinary Shares that may be issued upon the exercise of Public Warrants.</w:t>
      </w:r>
    </w:p>
    <w:p>
      <w:pPr>
        <w:spacing w:after="0" w:line="225" w:lineRule="exact"/>
        <w:rPr>
          <w:sz w:val="20"/>
          <w:szCs w:val="20"/>
          <w:color w:val="auto"/>
        </w:rPr>
      </w:pPr>
    </w:p>
    <w:p>
      <w:pPr>
        <w:ind w:firstLine="505"/>
        <w:spacing w:after="0" w:line="266" w:lineRule="auto"/>
        <w:rPr>
          <w:sz w:val="20"/>
          <w:szCs w:val="20"/>
          <w:color w:val="auto"/>
        </w:rPr>
      </w:pPr>
      <w:r>
        <w:rPr>
          <w:rFonts w:ascii="Times New Roman" w:cs="Times New Roman" w:eastAsia="Times New Roman" w:hAnsi="Times New Roman"/>
          <w:sz w:val="18"/>
          <w:szCs w:val="18"/>
          <w:color w:val="auto"/>
        </w:rPr>
        <w:t xml:space="preserve">We are also registering the resale by the Selling Holders or their permitted transferees of up to 185,068,790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right="100" w:firstLine="505"/>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November 27, 2024 and does not give effect to issuances of Ordinary Shares or Warrants after such date, or the exercise of Warrants after such 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ectPr>
          <w:pgSz w:w="11900" w:h="16838" w:orient="portrait"/>
          <w:cols w:equalWidth="0" w:num="1">
            <w:col w:w="11120"/>
          </w:cols>
          <w:pgMar w:left="380" w:top="995" w:right="39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Ordinary Shares to be issued upon exercise of all Public Warrants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7,499,994 Ordinary Shares.</w:t>
      </w:r>
    </w:p>
    <w:p>
      <w:pPr>
        <w:spacing w:after="0" w:line="129" w:lineRule="exact"/>
        <w:rPr>
          <w:sz w:val="20"/>
          <w:szCs w:val="20"/>
          <w:color w:val="auto"/>
        </w:rPr>
      </w:pPr>
    </w:p>
    <w:p>
      <w:pPr>
        <w:sectPr>
          <w:pgSz w:w="11900" w:h="16838" w:orient="portrait"/>
          <w:cols w:equalWidth="0" w:num="2">
            <w:col w:w="4960" w:space="720"/>
            <w:col w:w="5440"/>
          </w:cols>
          <w:pgMar w:left="380" w:top="995"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Ordinary Shares outstanding prior to exercise of all Public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172,182,769 Ordinary Shares.</w:t>
      </w:r>
    </w:p>
    <w:p>
      <w:pPr>
        <w:spacing w:after="0" w:line="129" w:lineRule="exact"/>
        <w:rPr>
          <w:sz w:val="20"/>
          <w:szCs w:val="20"/>
          <w:color w:val="auto"/>
        </w:rPr>
      </w:pPr>
    </w:p>
    <w:p>
      <w:pPr>
        <w:sectPr>
          <w:pgSz w:w="11900" w:h="16838" w:orient="portrait"/>
          <w:cols w:equalWidth="0" w:num="2">
            <w:col w:w="4960" w:space="720"/>
            <w:col w:w="5440"/>
          </w:cols>
          <w:pgMar w:left="380" w:top="995"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receive up to an aggregate of approximately $96.8 million from the exercise of all Public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144" w:lineRule="exact"/>
        <w:rPr>
          <w:sz w:val="20"/>
          <w:szCs w:val="20"/>
          <w:color w:val="auto"/>
        </w:rPr>
      </w:pPr>
    </w:p>
    <w:p>
      <w:pPr>
        <w:sectPr>
          <w:pgSz w:w="11900" w:h="16838" w:orient="portrait"/>
          <w:cols w:equalWidth="0" w:num="2">
            <w:col w:w="4960" w:space="720"/>
            <w:col w:w="5440"/>
          </w:cols>
          <w:pgMar w:left="380" w:top="995" w:right="399" w:bottom="1440" w:gutter="0" w:footer="0" w:header="0"/>
          <w:type w:val="continuous"/>
        </w:sectPr>
      </w:pPr>
    </w:p>
    <w:p>
      <w:pPr>
        <w:ind w:left="3740"/>
        <w:spacing w:after="0"/>
        <w:rPr>
          <w:sz w:val="20"/>
          <w:szCs w:val="20"/>
          <w:color w:val="auto"/>
        </w:rPr>
      </w:pPr>
      <w:r>
        <w:rPr>
          <w:rFonts w:ascii="Times New Roman" w:cs="Times New Roman" w:eastAsia="Times New Roman" w:hAnsi="Times New Roman"/>
          <w:sz w:val="17"/>
          <w:szCs w:val="17"/>
          <w:b w:val="1"/>
          <w:bCs w:val="1"/>
          <w:color w:val="auto"/>
        </w:rPr>
        <w:t>Resale of Ordinary Shares</w:t>
      </w:r>
    </w:p>
    <w:p>
      <w:pPr>
        <w:sectPr>
          <w:pgSz w:w="11900" w:h="16838" w:orient="portrait"/>
          <w:cols w:equalWidth="0" w:num="1">
            <w:col w:w="11120"/>
          </w:cols>
          <w:pgMar w:left="380" w:top="995" w:right="399" w:bottom="1440" w:gutter="0" w:footer="0" w:header="0"/>
          <w:type w:val="continuous"/>
        </w:sectPr>
      </w:pP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 xml:space="preserve">185,068,790 Ordinary Shares, consisting of (i) 122,655,854 Ordinary Shares; (ii) 569,982 Ordinary Shares underlying Private Warrants; (iii) 39,612,603 Ordinary Shares issuable upon conversion of the Convertible Notes; (iv) 15,374,145 Ordinary Shares issuable pursuant to the advanced subscription agreements; (v) 4,838,779 Ordinary Shares issuable pursuant to the </w:t>
      </w:r>
      <w:r>
        <w:rPr>
          <w:rFonts w:ascii="Times New Roman" w:cs="Times New Roman" w:eastAsia="Times New Roman" w:hAnsi="Times New Roman"/>
          <w:sz w:val="17"/>
          <w:szCs w:val="17"/>
          <w:color w:val="212529"/>
        </w:rPr>
        <w:t>Second A&amp;R</w:t>
      </w:r>
      <w:r>
        <w:rPr>
          <w:rFonts w:ascii="Times New Roman" w:cs="Times New Roman" w:eastAsia="Times New Roman" w:hAnsi="Times New Roman"/>
          <w:sz w:val="17"/>
          <w:szCs w:val="17"/>
          <w:color w:val="auto"/>
        </w:rPr>
        <w:t xml:space="preserve"> YA Agreement; (vi) </w:t>
      </w:r>
      <w:r>
        <w:rPr>
          <w:rFonts w:ascii="Times New Roman" w:cs="Times New Roman" w:eastAsia="Times New Roman" w:hAnsi="Times New Roman"/>
          <w:sz w:val="17"/>
          <w:szCs w:val="17"/>
          <w:color w:val="212529"/>
        </w:rPr>
        <w:t>1,071,429 Ordinary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issuable upon conversion of the YA Notes</w:t>
      </w:r>
      <w:r>
        <w:rPr>
          <w:rFonts w:ascii="Times New Roman" w:cs="Times New Roman" w:eastAsia="Times New Roman" w:hAnsi="Times New Roman"/>
          <w:sz w:val="17"/>
          <w:szCs w:val="17"/>
          <w:color w:val="000000"/>
        </w:rPr>
        <w:t>; (vii) 400,625 Ordinary Shares</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issuable upon conversion of the Northland Note and (viii) and 545,373 Ordinary Shares issuable upon the conversion of the Promissory Notes.</w:t>
      </w:r>
    </w:p>
    <w:p>
      <w:pPr>
        <w:spacing w:after="0" w:line="65" w:lineRule="exact"/>
        <w:rPr>
          <w:sz w:val="20"/>
          <w:szCs w:val="20"/>
          <w:color w:val="auto"/>
        </w:rPr>
      </w:pPr>
    </w:p>
    <w:p>
      <w:pPr>
        <w:sectPr>
          <w:pgSz w:w="11900" w:h="16838" w:orient="portrait"/>
          <w:cols w:equalWidth="0" w:num="2">
            <w:col w:w="4960" w:space="720"/>
            <w:col w:w="5440"/>
          </w:cols>
          <w:pgMar w:left="380" w:top="995"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the Ordinary Shares and Public Warrants to be offered by the Selling Holders. With respect to Ordinary Shares underlying the Private Warrants, we will not receive any proceeds from such shares except with respect to amounts received by us</w:t>
      </w:r>
    </w:p>
    <w:p>
      <w:pPr>
        <w:spacing w:after="0" w:line="3" w:lineRule="exact"/>
        <w:rPr>
          <w:sz w:val="20"/>
          <w:szCs w:val="20"/>
          <w:color w:val="auto"/>
        </w:rPr>
      </w:pPr>
    </w:p>
    <w:p>
      <w:pPr>
        <w:sectPr>
          <w:pgSz w:w="11900" w:h="16838" w:orient="portrait"/>
          <w:cols w:equalWidth="0" w:num="2">
            <w:col w:w="4960" w:space="720"/>
            <w:col w:w="5440"/>
          </w:cols>
          <w:pgMar w:left="380" w:top="995" w:right="399" w:bottom="1440" w:gutter="0" w:footer="0" w:header="0"/>
          <w:type w:val="continuous"/>
        </w:sectPr>
      </w:pPr>
    </w:p>
    <w:p>
      <w:pPr>
        <w:ind w:left="5680"/>
        <w:spacing w:after="0"/>
        <w:rPr>
          <w:sz w:val="20"/>
          <w:szCs w:val="20"/>
          <w:color w:val="auto"/>
        </w:rPr>
      </w:pPr>
      <w:r>
        <w:rPr>
          <w:rFonts w:ascii="Times New Roman" w:cs="Times New Roman" w:eastAsia="Times New Roman" w:hAnsi="Times New Roman"/>
          <w:sz w:val="18"/>
          <w:szCs w:val="18"/>
          <w:color w:val="auto"/>
        </w:rPr>
        <w:t>upon exercise of such Private Warrants to the extent such Warrants are</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exercised for cash. The Private Warrants are currently out- of-the money.</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We do not expect warrant holders to exercise their Private Warrants and,</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therefore, we do not expect to receive cash proceeds from any such</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exercise, for so long as the Private Warrants remain out-of-the money. See</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 xml:space="preserve">the risk factor entitled </w:t>
      </w:r>
      <w:r>
        <w:rPr>
          <w:rFonts w:ascii="Times New Roman" w:cs="Times New Roman" w:eastAsia="Times New Roman" w:hAnsi="Times New Roman"/>
          <w:sz w:val="18"/>
          <w:szCs w:val="18"/>
          <w:i w:val="1"/>
          <w:iCs w:val="1"/>
          <w:color w:val="auto"/>
        </w:rPr>
        <w:t>“There can be no assurance that the Public</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i w:val="1"/>
          <w:iCs w:val="1"/>
          <w:color w:val="auto"/>
        </w:rPr>
        <w:t>Warrants will ever be in the money at the time they become exercisable or</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 xml:space="preserve">otherwise, and they may expire worthless” </w:t>
      </w:r>
      <w:r>
        <w:rPr>
          <w:rFonts w:ascii="Times New Roman" w:cs="Times New Roman" w:eastAsia="Times New Roman" w:hAnsi="Times New Roman"/>
          <w:sz w:val="18"/>
          <w:szCs w:val="18"/>
          <w:color w:val="auto"/>
        </w:rPr>
        <w:t>for more information.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95" w:right="399" w:bottom="1440" w:gutter="0" w:footer="0" w:header="0"/>
          <w:type w:val="continuous"/>
        </w:sectPr>
      </w:pPr>
    </w:p>
    <w:bookmarkStart w:id="19" w:name="page20"/>
    <w:bookmarkEnd w:id="19"/>
    <w:tbl>
      <w:tblPr>
        <w:tblLayout w:type="fixed"/>
        <w:tblInd w:w="10" w:type="dxa"/>
        <w:tblCellMar>
          <w:top w:w="0" w:type="dxa"/>
          <w:left w:w="0" w:type="dxa"/>
          <w:bottom w:w="0" w:type="dxa"/>
          <w:right w:w="0" w:type="dxa"/>
        </w:tblCellMar>
      </w:tblPr>
      <w:tr>
        <w:trPr>
          <w:trHeight w:val="322"/>
        </w:trPr>
        <w:tc>
          <w:tcPr>
            <w:tcW w:w="410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Lock-up agreements</w:t>
            </w:r>
          </w:p>
        </w:tc>
        <w:tc>
          <w:tcPr>
            <w:tcW w:w="7140" w:type="dxa"/>
            <w:vAlign w:val="bottom"/>
            <w:tcBorders>
              <w:top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lock-up provisions pursuant to the Investor Rights Agreement, which</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provide for certain restrictions on transfer until the termination of</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applicable lock-up periods. See the Investor Rights Agreement, which is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filed as an exhibit to the registration statement of which this prospectus</w:t>
            </w:r>
          </w:p>
        </w:tc>
      </w:tr>
      <w:tr>
        <w:trPr>
          <w:trHeight w:val="234"/>
        </w:trPr>
        <w:tc>
          <w:tcPr>
            <w:tcW w:w="410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forms a part.</w:t>
            </w:r>
          </w:p>
        </w:tc>
      </w:tr>
      <w:tr>
        <w:trPr>
          <w:trHeight w:val="306"/>
        </w:trPr>
        <w:tc>
          <w:tcPr>
            <w:tcW w:w="4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prospectus and other information included in this prospectus for a</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 deciding to</w:t>
            </w:r>
          </w:p>
        </w:tc>
      </w:tr>
      <w:tr>
        <w:trPr>
          <w:trHeight w:val="234"/>
        </w:trPr>
        <w:tc>
          <w:tcPr>
            <w:tcW w:w="410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invest in Ordinary Shares and Warrants.</w:t>
            </w:r>
          </w:p>
        </w:tc>
      </w:tr>
      <w:tr>
        <w:trPr>
          <w:trHeight w:val="324"/>
        </w:trPr>
        <w:tc>
          <w:tcPr>
            <w:tcW w:w="4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Nasdaq symbol for Ordinary Shares</w:t>
            </w:r>
          </w:p>
        </w:tc>
        <w:tc>
          <w:tcPr>
            <w:tcW w:w="71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“RZLV.”</w:t>
            </w:r>
          </w:p>
        </w:tc>
      </w:tr>
      <w:tr>
        <w:trPr>
          <w:trHeight w:val="321"/>
        </w:trPr>
        <w:tc>
          <w:tcPr>
            <w:tcW w:w="41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Nasdaq symbol for our warrants</w:t>
            </w:r>
          </w:p>
        </w:tc>
        <w:tc>
          <w:tcPr>
            <w:tcW w:w="7140" w:type="dxa"/>
            <w:vAlign w:val="bottom"/>
            <w:tcBorders>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“RZLVW.”</w:t>
            </w:r>
          </w:p>
        </w:tc>
      </w:tr>
      <w:tr>
        <w:trPr>
          <w:trHeight w:val="429"/>
        </w:trPr>
        <w:tc>
          <w:tcPr>
            <w:tcW w:w="4100" w:type="dxa"/>
            <w:vAlign w:val="bottom"/>
          </w:tcPr>
          <w:p>
            <w:pPr>
              <w:spacing w:after="0"/>
              <w:rPr>
                <w:sz w:val="24"/>
                <w:szCs w:val="24"/>
                <w:color w:val="auto"/>
              </w:rPr>
            </w:pPr>
          </w:p>
        </w:tc>
        <w:tc>
          <w:tcPr>
            <w:tcW w:w="71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11</w:t>
            </w:r>
          </w:p>
        </w:tc>
      </w:tr>
      <w:tr>
        <w:trPr>
          <w:trHeight w:val="763"/>
        </w:trPr>
        <w:tc>
          <w:tcPr>
            <w:tcW w:w="41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900" w:right="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360"/>
        <w:spacing w:after="0" w:line="266" w:lineRule="auto"/>
        <w:rPr>
          <w:sz w:val="20"/>
          <w:szCs w:val="20"/>
          <w:color w:val="auto"/>
        </w:rPr>
      </w:pPr>
      <w:r>
        <w:rPr>
          <w:rFonts w:ascii="Times New Roman" w:cs="Times New Roman" w:eastAsia="Times New Roman" w:hAnsi="Times New Roman"/>
          <w:sz w:val="18"/>
          <w:szCs w:val="18"/>
          <w:color w:val="auto"/>
        </w:rPr>
        <w:t>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3" w:name="page24"/>
    <w:bookmarkEnd w:id="23"/>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68"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over the applicable subscription term. These factors may have an adverse effect on Rezolve’s business, results of operations and financial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900" w:right="48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900" w:right="840" w:hanging="383"/>
        <w:spacing w:after="0" w:line="312"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5" w:name="page36"/>
    <w:bookmarkEnd w:id="35"/>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w:t>
      </w:r>
    </w:p>
    <w:p>
      <w:pPr>
        <w:spacing w:after="0" w:line="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Furthermore, many of Rezolve’s current and potential competitors have the ability to dedicate substantially greater resources to developing and protecting their technology or intellectual property rights than Rezolve does.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7" w:name="page38"/>
    <w:bookmarkEnd w:id="37"/>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81" w:lineRule="exact"/>
        <w:rPr>
          <w:sz w:val="20"/>
          <w:szCs w:val="20"/>
          <w:color w:val="auto"/>
        </w:rPr>
      </w:pPr>
    </w:p>
    <w:p>
      <w:pPr>
        <w:ind w:left="5540" w:right="4880" w:hanging="5023"/>
        <w:spacing w:after="0" w:line="532" w:lineRule="auto"/>
        <w:tabs>
          <w:tab w:leader="none" w:pos="8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Ordinary Shares.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2"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and Compensation—Foreign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right="60"/>
        <w:spacing w:after="0" w:line="266" w:lineRule="auto"/>
        <w:rPr>
          <w:sz w:val="20"/>
          <w:szCs w:val="20"/>
          <w:color w:val="auto"/>
        </w:rPr>
      </w:pPr>
      <w:r>
        <w:rPr>
          <w:rFonts w:ascii="Times New Roman" w:cs="Times New Roman" w:eastAsia="Times New Roman" w:hAnsi="Times New Roman"/>
          <w:sz w:val="18"/>
          <w:szCs w:val="18"/>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8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could receive up to an aggregate of approximately $86 million from the exercise of all Public Warrants, and up to an aggregate of approximately $4.5 million from the exercise of all Private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However,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 time they become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exercisable or otherwise, and they may expire worthless” </w:t>
      </w:r>
      <w:r>
        <w:rPr>
          <w:rFonts w:ascii="Times New Roman" w:cs="Times New Roman" w:eastAsia="Times New Roman" w:hAnsi="Times New Roman"/>
          <w:sz w:val="18"/>
          <w:szCs w:val="18"/>
          <w:color w:val="auto"/>
        </w:rPr>
        <w:t>for more information.</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November 27, 2024, there were approximately 2 shareholders of record of Ordinary Shares and one shareholder of record of Warrants. Such numbers do not include beneficial owners holding our securities through nominee names. On November 26, 2024, the last reported closing sale prices of our Ordinary Shares and Public Warrants were $2.24 and $0.1201, respectively.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8"/>
          <w:szCs w:val="18"/>
          <w:color w:val="212529"/>
        </w:rPr>
        <w:t>The 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combined financial information has been prepared in accordance with Article 11 of Regulation S-X as amended by the final rule, Release No. 33-10786 “Amendments to Financial Disclosures about Acquired and Disposed Businesses.”</w:t>
      </w:r>
    </w:p>
    <w:p>
      <w:pPr>
        <w:spacing w:after="0" w:line="72"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6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212529"/>
        </w:rPr>
        <w:t>Armada is a newly organized blank check company incorporated in Delaware on November 5, 2020, for the purpose of effecting a merger, stock exchange, asset acquisition, stock purchase, reorganization or other similar business combination with one or more businesses.</w:t>
      </w:r>
    </w:p>
    <w:p>
      <w:pPr>
        <w:spacing w:after="0" w:line="54"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3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7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June 30, 2024,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carve-out financial statements of Rezolve as of, and for the six months ended, June 30, 2024, included elsewhere in this proxy statements/prospectus;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75" w:lineRule="exact"/>
        <w:rPr>
          <w:sz w:val="20"/>
          <w:szCs w:val="20"/>
          <w:color w:val="auto"/>
        </w:rPr>
      </w:pPr>
    </w:p>
    <w:p>
      <w:pPr>
        <w:ind w:left="1020" w:right="3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8" w:name="page49"/>
    <w:bookmarkEnd w:id="48"/>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continue to use Rezolve Limited’s name and Rezolve’s headquarters in London.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333"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33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78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80" w:lineRule="exact"/>
        <w:rPr>
          <w:sz w:val="20"/>
          <w:szCs w:val="20"/>
          <w:color w:val="auto"/>
        </w:rPr>
      </w:pPr>
    </w:p>
    <w:p>
      <w:pPr>
        <w:ind w:left="1780" w:right="40" w:hanging="515"/>
        <w:spacing w:after="0" w:line="256" w:lineRule="auto"/>
        <w:tabs>
          <w:tab w:leader="none" w:pos="1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295" w:lineRule="exact"/>
        <w:rPr>
          <w:rFonts w:ascii="Times New Roman" w:cs="Times New Roman" w:eastAsia="Times New Roman" w:hAnsi="Times New Roman"/>
          <w:sz w:val="18"/>
          <w:szCs w:val="18"/>
          <w:color w:val="auto"/>
        </w:rPr>
      </w:pPr>
    </w:p>
    <w:p>
      <w:pPr>
        <w:jc w:val="both"/>
        <w:ind w:left="1020" w:hanging="503"/>
        <w:spacing w:after="0" w:line="272"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w:t>
      </w:r>
    </w:p>
    <w:p>
      <w:pPr>
        <w:spacing w:after="0" w:line="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the sections in this summary entitled “The Business Combination Proposal” for more information.</w:t>
      </w:r>
    </w:p>
    <w:p>
      <w:pPr>
        <w:spacing w:after="0" w:line="98" w:lineRule="exact"/>
        <w:rPr>
          <w:rFonts w:ascii="Times New Roman" w:cs="Times New Roman" w:eastAsia="Times New Roman" w:hAnsi="Times New Roman"/>
          <w:sz w:val="17"/>
          <w:szCs w:val="17"/>
          <w:color w:val="auto"/>
        </w:rPr>
      </w:pPr>
    </w:p>
    <w:p>
      <w:pPr>
        <w:ind w:left="1020" w:right="40" w:hanging="503"/>
        <w:spacing w:after="0" w:line="277"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460" w:type="dxa"/>
            <w:vAlign w:val="bottom"/>
            <w:tcBorders>
              <w:bottom w:val="single" w:sz="8" w:color="auto"/>
            </w:tcBorders>
            <w:gridSpan w:val="4"/>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40" w:type="dxa"/>
            <w:vAlign w:val="bottom"/>
            <w:gridSpan w:val="2"/>
            <w:vMerge w:val="restart"/>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gridSpan w:val="2"/>
            <w:vMerge w:val="restart"/>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9"/>
                <w:szCs w:val="9"/>
                <w:color w:val="auto"/>
              </w:rPr>
            </w:pPr>
          </w:p>
        </w:tc>
        <w:tc>
          <w:tcPr>
            <w:tcW w:w="1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9"/>
                <w:szCs w:val="9"/>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64"/>
        </w:trPr>
        <w:tc>
          <w:tcPr>
            <w:tcW w:w="4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60,298</w:t>
            </w:r>
          </w:p>
        </w:tc>
        <w:tc>
          <w:tcPr>
            <w:tcW w:w="26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13,242</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(700,000 )</w:t>
            </w: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12,510,565</w:t>
            </w:r>
          </w:p>
        </w:tc>
        <w:tc>
          <w:tcPr>
            <w:tcW w:w="10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430,691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41,788</w:t>
            </w:r>
          </w:p>
        </w:tc>
        <w:tc>
          <w:tcPr>
            <w:tcW w:w="2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502,423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55,030</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(73,540 )</w:t>
            </w: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483,913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Intangible assets, net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and investment held in trust account, net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16,126,337</w:t>
            </w:r>
          </w:p>
        </w:tc>
        <w:tc>
          <w:tcPr>
            <w:tcW w:w="2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(1,322,729 )</w:t>
            </w: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(14,803,608 )</w:t>
            </w:r>
          </w:p>
        </w:tc>
        <w:tc>
          <w:tcPr>
            <w:tcW w:w="9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top w:val="single" w:sz="8" w:color="CFF0FC"/>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10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380" w:type="dxa"/>
            <w:vAlign w:val="bottom"/>
            <w:tcBorders>
              <w:top w:val="single" w:sz="8" w:color="CFF0FC"/>
              <w:bottom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overdraft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11,187,836</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11,335,872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0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 term debt to related party</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w:t>
            </w:r>
          </w:p>
        </w:tc>
        <w:tc>
          <w:tcPr>
            <w:tcW w:w="2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9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Notes-Related Party</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Ordinary shares payable</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Subscription agreement liability, net</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payment liability</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loan note</w:t>
            </w:r>
          </w:p>
        </w:tc>
        <w:tc>
          <w:tcPr>
            <w:tcW w:w="1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22,776,285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(9,484,888 )</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debt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(38,737,594 )</w:t>
            </w:r>
          </w:p>
        </w:tc>
        <w:tc>
          <w:tcPr>
            <w:tcW w:w="92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0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(q)</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promissory notes</w:t>
            </w:r>
          </w:p>
        </w:tc>
        <w:tc>
          <w:tcPr>
            <w:tcW w:w="1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66,909,581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(19,581,232 )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58,266,957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1,417,687 shares at</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0"/>
                <w:szCs w:val="10"/>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(14,803,608 )</w:t>
            </w:r>
          </w:p>
        </w:tc>
        <w:tc>
          <w:tcPr>
            <w:tcW w:w="920" w:type="dxa"/>
            <w:vAlign w:val="bottom"/>
            <w:gridSpan w:val="2"/>
            <w:vMerge w:val="restart"/>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value of approximately $11.31 per share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(1,237,178 )</w:t>
            </w:r>
          </w:p>
        </w:tc>
        <w:tc>
          <w:tcPr>
            <w:tcW w:w="920" w:type="dxa"/>
            <w:vAlign w:val="bottom"/>
            <w:gridSpan w:val="2"/>
            <w:shd w:val="clear" w:color="auto" w:fill="CFF0FC"/>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(16,040,786 )</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-3007995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-3007995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-3007995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-1181735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-1181735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-1181735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-1181735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-701675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-701675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-701675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-127635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-127635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0" w:type="dxa"/>
            <w:vAlign w:val="bottom"/>
          </w:tcPr>
          <w:p>
            <w:pPr>
              <w:spacing w:after="0"/>
              <w:rPr>
                <w:sz w:val="1"/>
                <w:szCs w:val="1"/>
                <w:color w:val="auto"/>
              </w:rPr>
            </w:pPr>
          </w:p>
        </w:tc>
      </w:tr>
      <w:tr>
        <w:trPr>
          <w:trHeight w:val="64"/>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4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Ordinary shares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 of June 30, 2024 - 932,997,081; as of</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127,313</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2023 - 932,969,424 at par value £ 0.0001</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 issued and outstanding as of June 30, 2024 and December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 2023 - 28,039,517 nil at par value £0.0001</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 100,000,000 shares authorized;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5,709,500 shares issued and outstanding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176,274,941</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Stock subscription receivable</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(178,720 )</w:t>
            </w:r>
          </w:p>
        </w:tc>
      </w:tr>
      <w:tr>
        <w:trPr>
          <w:trHeight w:val="18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(239,133,876 )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34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17"/>
        </w:trPr>
        <w:tc>
          <w:tcPr>
            <w:tcW w:w="1640" w:type="dxa"/>
            <w:vAlign w:val="bottom"/>
            <w:gridSpan w:val="2"/>
            <w:vMerge w:val="continue"/>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15"/>
                <w:szCs w:val="15"/>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(k)</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1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(3,868 )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2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261,161</w:t>
            </w: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(51,527,293 )</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38,736,731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10,235,219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(g)</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1,237,075</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(i)</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3,062,197</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36,731,490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(11,059,758 )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(n)</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(276,572,830 )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(28,641,250 )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(q)</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(178,720 )</w:t>
            </w:r>
          </w:p>
        </w:tc>
        <w:tc>
          <w:tcPr>
            <w:tcW w:w="0" w:type="dxa"/>
            <w:vAlign w:val="bottom"/>
          </w:tcPr>
          <w:p>
            <w:pPr>
              <w:spacing w:after="0"/>
              <w:rPr>
                <w:sz w:val="1"/>
                <w:szCs w:val="1"/>
                <w:color w:val="auto"/>
              </w:rPr>
            </w:pPr>
          </w:p>
        </w:tc>
      </w:tr>
      <w:tr>
        <w:trPr>
          <w:trHeight w:val="109"/>
        </w:trPr>
        <w:tc>
          <w:tcPr>
            <w:tcW w:w="1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(700,000 )</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(11,059,758 )</w:t>
            </w:r>
          </w:p>
        </w:tc>
        <w:tc>
          <w:tcPr>
            <w:tcW w:w="156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(2,717,736 )</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(3,062,500 )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(l)</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(36,738,954 )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11,059,758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(n)</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w:t>
            </w: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276,572,830</w:t>
            </w:r>
          </w:p>
        </w:tc>
        <w:tc>
          <w:tcPr>
            <w:tcW w:w="1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80" w:space="180"/>
            <w:col w:w="50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4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68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(42,653 )</w:t>
            </w:r>
          </w:p>
        </w:tc>
        <w:tc>
          <w:tcPr>
            <w:tcW w:w="14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(42,653 )</w:t>
            </w:r>
          </w:p>
        </w:tc>
      </w:tr>
      <w:tr>
        <w:trPr>
          <w:trHeight w:val="20"/>
        </w:trPr>
        <w:tc>
          <w:tcPr>
            <w:tcW w:w="44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4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shareholders' equity (deficit)</w:t>
            </w:r>
          </w:p>
        </w:tc>
        <w:tc>
          <w:tcPr>
            <w:tcW w:w="16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(62,949,127 )</w:t>
            </w:r>
          </w:p>
        </w:tc>
        <w:tc>
          <w:tcPr>
            <w:tcW w:w="16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(10,798,027 )</w:t>
            </w: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19,422,141</w:t>
            </w:r>
          </w:p>
        </w:tc>
        <w:tc>
          <w:tcPr>
            <w:tcW w:w="440" w:type="dxa"/>
            <w:vAlign w:val="bottom"/>
          </w:tcPr>
          <w:p>
            <w:pPr>
              <w:spacing w:after="0"/>
              <w:rPr>
                <w:sz w:val="12"/>
                <w:szCs w:val="12"/>
                <w:color w:val="auto"/>
              </w:rPr>
            </w:pPr>
          </w:p>
        </w:tc>
        <w:tc>
          <w:tcPr>
            <w:tcW w:w="15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(54,325,013 )</w:t>
            </w:r>
          </w:p>
        </w:tc>
      </w:tr>
      <w:tr>
        <w:trPr>
          <w:trHeight w:val="182"/>
        </w:trPr>
        <w:tc>
          <w:tcPr>
            <w:tcW w:w="44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440" w:type="dxa"/>
            <w:vAlign w:val="bottom"/>
            <w:tcBorders>
              <w:bottom w:val="single" w:sz="8" w:color="CCEEFF"/>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-231140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-231140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-231140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144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Rezolve AI Limited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0" w:type="dxa"/>
            <w:vAlign w:val="bottom"/>
          </w:tcPr>
          <w:p>
            <w:pPr>
              <w:spacing w:after="0"/>
              <w:rPr>
                <w:sz w:val="16"/>
                <w:szCs w:val="16"/>
                <w:color w:val="auto"/>
              </w:rPr>
            </w:pPr>
          </w:p>
        </w:tc>
        <w:tc>
          <w:tcPr>
            <w:tcW w:w="3480" w:type="dxa"/>
            <w:vAlign w:val="bottom"/>
            <w:gridSpan w:val="6"/>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and Subsidiaries (Six</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Corp. I</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June</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1,431,430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8,066,209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45,124,701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51,376,649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5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(9,665,758</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(51,323,250</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7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(3,009,002 )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(338,861 )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(3,840,663 )</w:t>
            </w: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(107,816 )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(ff)</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(2,207,816 )</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(3,116,818</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(3,069,245</w:t>
            </w:r>
          </w:p>
        </w:tc>
        <w:tc>
          <w:tcPr>
            <w:tcW w:w="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(6,048,479</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(12,782,576 )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(1,718,454 )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(42,870,699 )</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(57,371,729 )</w:t>
            </w:r>
          </w:p>
        </w:tc>
        <w:tc>
          <w:tcPr>
            <w:tcW w:w="0" w:type="dxa"/>
            <w:vAlign w:val="bottom"/>
          </w:tcPr>
          <w:p>
            <w:pPr>
              <w:spacing w:after="0"/>
              <w:rPr>
                <w:sz w:val="1"/>
                <w:szCs w:val="1"/>
                <w:color w:val="auto"/>
              </w:rPr>
            </w:pPr>
          </w:p>
        </w:tc>
      </w:tr>
      <w:tr>
        <w:trPr>
          <w:trHeight w:val="297"/>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(59,870 )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(85,487 )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85,487</w:t>
            </w:r>
          </w:p>
        </w:tc>
        <w:tc>
          <w:tcPr>
            <w:tcW w:w="100" w:type="dxa"/>
            <w:vAlign w:val="bottom"/>
          </w:tcPr>
          <w:p>
            <w:pPr>
              <w:spacing w:after="0"/>
              <w:rPr>
                <w:sz w:val="24"/>
                <w:szCs w:val="24"/>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4"/>
              </w:rPr>
              <w:t>(gg)</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(207,906 )</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40" w:type="dxa"/>
            <w:vAlign w:val="bottom"/>
            <w:tcBorders>
              <w:top w:val="single" w:sz="8" w:color="CFF0FC"/>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(12,842,446</w:t>
            </w:r>
          </w:p>
        </w:tc>
        <w:tc>
          <w:tcPr>
            <w:tcW w:w="1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(1,803,941</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(42,933,248</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CFF0FC"/>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(57,579,635</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 computing net</w:t>
            </w: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927,893,144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loss per share, basic and diluted</w:t>
            </w: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Proforma Basic and diluted weighted average shares outstanding, common</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204,702,306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-3188335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-3188335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-3188335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-2896870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-2879725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-2896870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-2879725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-2896870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-2879725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-1731010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-1731010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incorporated by reference in this filing;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incorporated by reference to this filing;</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AI Limited as of, and for the year ended, December 31, 2023, included elsewhere in this proxy statement/prospectus; and</w:t>
      </w:r>
    </w:p>
    <w:p>
      <w:pPr>
        <w:spacing w:after="0" w:line="5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3" w:name="page54"/>
    <w:bookmarkEnd w:id="5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17" w:lineRule="exact"/>
        <w:rPr>
          <w:sz w:val="20"/>
          <w:szCs w:val="20"/>
          <w:color w:val="auto"/>
        </w:rPr>
      </w:pPr>
    </w:p>
    <w:p>
      <w:pPr>
        <w:ind w:left="900" w:right="200" w:hanging="383"/>
        <w:spacing w:after="0" w:line="282"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53" w:lineRule="exact"/>
        <w:rPr>
          <w:rFonts w:ascii="Times New Roman" w:cs="Times New Roman" w:eastAsia="Times New Roman" w:hAnsi="Times New Roman"/>
          <w:sz w:val="18"/>
          <w:szCs w:val="18"/>
          <w:i w:val="1"/>
          <w:iCs w:val="1"/>
          <w:color w:val="auto"/>
        </w:rPr>
      </w:pPr>
    </w:p>
    <w:p>
      <w:pPr>
        <w:ind w:left="1280" w:right="240" w:hanging="374"/>
        <w:spacing w:after="0" w:line="282" w:lineRule="auto"/>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53" w:lineRule="exact"/>
        <w:rPr>
          <w:rFonts w:ascii="Times New Roman" w:cs="Times New Roman" w:eastAsia="Times New Roman" w:hAnsi="Times New Roman"/>
          <w:sz w:val="18"/>
          <w:szCs w:val="18"/>
          <w:color w:val="auto"/>
        </w:rPr>
      </w:pPr>
    </w:p>
    <w:p>
      <w:pPr>
        <w:ind w:left="1280" w:hanging="374"/>
        <w:spacing w:after="0"/>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17"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17" w:lineRule="exact"/>
        <w:rPr>
          <w:rFonts w:ascii="Times New Roman" w:cs="Times New Roman" w:eastAsia="Times New Roman" w:hAnsi="Times New Roman"/>
          <w:sz w:val="18"/>
          <w:szCs w:val="18"/>
          <w:i w:val="1"/>
          <w:iCs w:val="1"/>
          <w:color w:val="auto"/>
        </w:rPr>
      </w:pPr>
    </w:p>
    <w:p>
      <w:pPr>
        <w:ind w:left="900" w:right="140" w:hanging="383"/>
        <w:spacing w:after="0" w:line="266"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promissory note issued by Rezolve AI Limited to Cohen &amp; Company Financial Management LLC for $3,056,726 with interest on the principal amount outstanding at a rate of 4.95% per annum with the principal amount and any accrued interest due and payable on August 14, 2027.</w:t>
      </w:r>
    </w:p>
    <w:p>
      <w:pPr>
        <w:spacing w:after="0" w:line="67" w:lineRule="exact"/>
        <w:rPr>
          <w:rFonts w:ascii="Times New Roman" w:cs="Times New Roman" w:eastAsia="Times New Roman" w:hAnsi="Times New Roman"/>
          <w:sz w:val="18"/>
          <w:szCs w:val="18"/>
          <w:i w:val="1"/>
          <w:iCs w:val="1"/>
          <w:color w:val="auto"/>
        </w:rPr>
      </w:pPr>
    </w:p>
    <w:p>
      <w:pPr>
        <w:ind w:left="900" w:hanging="383"/>
        <w:spacing w:after="0" w:line="269" w:lineRule="auto"/>
        <w:tabs>
          <w:tab w:leader="none" w:pos="900"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70" w:lineRule="exact"/>
        <w:rPr>
          <w:rFonts w:ascii="Times New Roman" w:cs="Times New Roman" w:eastAsia="Times New Roman" w:hAnsi="Times New Roman"/>
          <w:sz w:val="17"/>
          <w:szCs w:val="17"/>
          <w:i w:val="1"/>
          <w:iCs w:val="1"/>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1,300,391 shares in August 2024, respectively out of a total of 1,417,687 as at June 30, 2024.</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53" w:lineRule="exact"/>
        <w:rPr>
          <w:rFonts w:ascii="Times New Roman" w:cs="Times New Roman" w:eastAsia="Times New Roman" w:hAnsi="Times New Roman"/>
          <w:sz w:val="18"/>
          <w:szCs w:val="18"/>
          <w:i w:val="1"/>
          <w:iCs w:val="1"/>
          <w:color w:val="auto"/>
        </w:rPr>
      </w:pPr>
    </w:p>
    <w:p>
      <w:pPr>
        <w:ind w:left="900" w:right="40" w:hanging="383"/>
        <w:spacing w:after="0" w:line="258"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75" w:lineRule="exact"/>
        <w:rPr>
          <w:rFonts w:ascii="Times New Roman" w:cs="Times New Roman" w:eastAsia="Times New Roman" w:hAnsi="Times New Roman"/>
          <w:sz w:val="18"/>
          <w:szCs w:val="18"/>
          <w:i w:val="1"/>
          <w:iCs w:val="1"/>
          <w:color w:val="auto"/>
        </w:rPr>
      </w:pPr>
    </w:p>
    <w:p>
      <w:pPr>
        <w:ind w:left="900" w:right="100" w:hanging="383"/>
        <w:spacing w:after="0" w:line="282"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17" w:lineRule="exact"/>
        <w:rPr>
          <w:rFonts w:ascii="Times New Roman" w:cs="Times New Roman" w:eastAsia="Times New Roman" w:hAnsi="Times New Roman"/>
          <w:sz w:val="18"/>
          <w:szCs w:val="18"/>
          <w:i w:val="1"/>
          <w:iCs w:val="1"/>
          <w:color w:val="auto"/>
        </w:rPr>
      </w:pPr>
    </w:p>
    <w:p>
      <w:pPr>
        <w:ind w:left="900" w:right="420" w:hanging="383"/>
        <w:spacing w:after="0" w:line="266"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67" w:lineRule="exact"/>
        <w:rPr>
          <w:rFonts w:ascii="Times New Roman" w:cs="Times New Roman" w:eastAsia="Times New Roman" w:hAnsi="Times New Roman"/>
          <w:sz w:val="18"/>
          <w:szCs w:val="18"/>
          <w:i w:val="1"/>
          <w:iCs w:val="1"/>
          <w:color w:val="auto"/>
        </w:rPr>
      </w:pPr>
    </w:p>
    <w:p>
      <w:pPr>
        <w:ind w:left="900" w:right="40" w:hanging="383"/>
        <w:spacing w:after="0" w:line="282" w:lineRule="auto"/>
        <w:tabs>
          <w:tab w:leader="none" w:pos="9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left="900" w:right="50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reclass of accumulated deficit from Rezolve Limited into Additional Paid-in Capital of Rezolve Ai Limited upon demerger of Rezolve Limited,</w:t>
      </w:r>
    </w:p>
    <w:p>
      <w:pPr>
        <w:spacing w:after="0" w:line="53" w:lineRule="exact"/>
        <w:rPr>
          <w:rFonts w:ascii="Times New Roman" w:cs="Times New Roman" w:eastAsia="Times New Roman" w:hAnsi="Times New Roman"/>
          <w:sz w:val="18"/>
          <w:szCs w:val="18"/>
          <w:i w:val="1"/>
          <w:iCs w:val="1"/>
          <w:color w:val="auto"/>
        </w:rPr>
      </w:pPr>
    </w:p>
    <w:p>
      <w:pPr>
        <w:ind w:left="900" w:right="160" w:hanging="383"/>
        <w:spacing w:after="0" w:line="256" w:lineRule="auto"/>
        <w:tabs>
          <w:tab w:leader="none" w:pos="90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an aggregate of $ 28,641,250 principal amount due under certain promissory notes, consisting of (1) a promissory note issued by Armada to Northland Securities, Inc. for $5,141,250 with interest on the principal amount outstanding at a rate of 10% 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54" w:lineRule="exact"/>
        <w:rPr>
          <w:sz w:val="20"/>
          <w:szCs w:val="20"/>
          <w:color w:val="auto"/>
        </w:rPr>
      </w:pPr>
    </w:p>
    <w:p>
      <w:pPr>
        <w:ind w:left="880" w:hanging="363"/>
        <w:spacing w:after="0"/>
        <w:tabs>
          <w:tab w:leader="none" w:pos="8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17"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88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3" w:lineRule="exact"/>
        <w:rPr>
          <w:rFonts w:ascii="Times New Roman" w:cs="Times New Roman" w:eastAsia="Times New Roman" w:hAnsi="Times New Roman"/>
          <w:sz w:val="18"/>
          <w:szCs w:val="18"/>
          <w:i w:val="1"/>
          <w:iCs w:val="1"/>
          <w:color w:val="auto"/>
        </w:rPr>
      </w:pPr>
    </w:p>
    <w:p>
      <w:pPr>
        <w:ind w:left="900" w:right="60" w:hanging="383"/>
        <w:spacing w:after="0" w:line="282" w:lineRule="auto"/>
        <w:tabs>
          <w:tab w:leader="none" w:pos="88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360" w:hanging="383"/>
        <w:spacing w:after="0" w:line="282" w:lineRule="auto"/>
        <w:tabs>
          <w:tab w:leader="none" w:pos="88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2024.</w:t>
      </w:r>
    </w:p>
    <w:p>
      <w:pPr>
        <w:spacing w:after="0" w:line="117" w:lineRule="exact"/>
        <w:rPr>
          <w:rFonts w:ascii="Times New Roman" w:cs="Times New Roman" w:eastAsia="Times New Roman" w:hAnsi="Times New Roman"/>
          <w:sz w:val="18"/>
          <w:szCs w:val="18"/>
          <w:i w:val="1"/>
          <w:iCs w:val="1"/>
          <w:color w:val="auto"/>
        </w:rPr>
      </w:pPr>
    </w:p>
    <w:p>
      <w:pPr>
        <w:ind w:left="900" w:right="80" w:hanging="383"/>
        <w:spacing w:after="0" w:line="282" w:lineRule="auto"/>
        <w:tabs>
          <w:tab w:leader="none" w:pos="88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53" w:lineRule="exact"/>
        <w:rPr>
          <w:rFonts w:ascii="Times New Roman" w:cs="Times New Roman" w:eastAsia="Times New Roman" w:hAnsi="Times New Roman"/>
          <w:sz w:val="18"/>
          <w:szCs w:val="18"/>
          <w:i w:val="1"/>
          <w:iCs w:val="1"/>
          <w:color w:val="auto"/>
        </w:rPr>
      </w:pPr>
    </w:p>
    <w:p>
      <w:pPr>
        <w:ind w:left="900" w:right="220" w:hanging="383"/>
        <w:spacing w:after="0" w:line="282" w:lineRule="auto"/>
        <w:tabs>
          <w:tab w:leader="none" w:pos="88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2024.</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excise tax payable on the redemption of 1,300,391 shares in August 2024, respectively out of a total of 1,417,687 at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Business of Rezolve Limited—Partner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19030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540" w:firstLine="8"/>
        <w:spacing w:after="0" w:line="223" w:lineRule="auto"/>
        <w:tabs>
          <w:tab w:leader="none" w:pos="105"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6" w:name="page57"/>
    <w:bookmarkEnd w:id="56"/>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40" w:hanging="383"/>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100" w:hanging="383"/>
        <w:spacing w:after="0" w:line="268"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80" w:hanging="383"/>
        <w:spacing w:after="0" w:line="267"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17" w:lineRule="exact"/>
        <w:rPr>
          <w:rFonts w:ascii="Times New Roman" w:cs="Times New Roman" w:eastAsia="Times New Roman" w:hAnsi="Times New Roman"/>
          <w:sz w:val="18"/>
          <w:szCs w:val="18"/>
          <w:color w:val="auto"/>
        </w:rPr>
      </w:pPr>
    </w:p>
    <w:p>
      <w:pPr>
        <w:ind w:left="900" w:right="40" w:hanging="383"/>
        <w:spacing w:after="0" w:line="284"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indicators of impairment.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8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(26,006,274 )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(107,046,147 )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(4,791,782 )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(4,666,416 )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(3,628,036 )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(30,672,690 )</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(110,674,183 )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(63,408 )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(38,765 )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(110,712,948 )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-2408555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-2408555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-1302385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-1302385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-1010920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-1010920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-445135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-445135</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-153670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total revenues from ticketing transactions for the year ended December 31, 2023, as compared to the year ended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9"/>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9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2,392,697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(68,653,972 )</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821,364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14,866,460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(14,866,460 )</w:t>
            </w: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(81,009,991 )</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-993775</wp:posOffset>
            </wp:positionV>
            <wp:extent cx="641223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impaired our investment in ANY due to the loss of voting rights, the uncertainty of completing the acquisition of control of ANY at the end of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(125,366 )</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(256,659 )</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(131,293 )</w:t>
            </w:r>
          </w:p>
        </w:tc>
        <w:tc>
          <w:tcPr>
            <w:tcW w:w="3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4,666,416</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3,626,036</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5" w:lineRule="exact"/>
        <w:rPr>
          <w:sz w:val="20"/>
          <w:szCs w:val="20"/>
          <w:color w:val="auto"/>
        </w:rPr>
      </w:pPr>
    </w:p>
    <w:p>
      <w:pPr>
        <w:jc w:val="both"/>
        <w:ind w:right="280" w:firstLine="509"/>
        <w:spacing w:after="0" w:line="289" w:lineRule="auto"/>
        <w:rPr>
          <w:sz w:val="20"/>
          <w:szCs w:val="20"/>
          <w:color w:val="auto"/>
        </w:rPr>
      </w:pPr>
      <w:r>
        <w:rPr>
          <w:rFonts w:ascii="Times New Roman" w:cs="Times New Roman" w:eastAsia="Times New Roman" w:hAnsi="Times New Roman"/>
          <w:sz w:val="17"/>
          <w:szCs w:val="17"/>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5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40" w:hanging="383"/>
        <w:spacing w:after="0" w:line="284"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(110,712,948 )</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(25,638,472 )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(106,553,691 )</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-153670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17"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ind w:left="900" w:right="60" w:hanging="383"/>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(25,638,472 )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(106,553,691 )</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(375,298 )</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(714,914 )</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in ANY</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80" w:type="dxa"/>
            <w:vAlign w:val="bottom"/>
          </w:tcPr>
          <w:p>
            <w:pPr>
              <w:spacing w:after="0"/>
              <w:rPr>
                <w:sz w:val="18"/>
                <w:szCs w:val="18"/>
                <w:color w:val="auto"/>
              </w:rPr>
            </w:pPr>
          </w:p>
        </w:tc>
      </w:tr>
      <w:tr>
        <w:trPr>
          <w:trHeight w:val="198"/>
        </w:trPr>
        <w:tc>
          <w:tcPr>
            <w:tcW w:w="47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80" w:type="dxa"/>
            <w:vAlign w:val="bottom"/>
            <w:shd w:val="clear" w:color="auto" w:fill="CFF0FC"/>
          </w:tcPr>
          <w:p>
            <w:pPr>
              <w:spacing w:after="0"/>
              <w:rPr>
                <w:sz w:val="20"/>
                <w:szCs w:val="20"/>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(15,355,075 )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(24,164,553 )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23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1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3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-916305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(13,001,875 )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(26,788,906 )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(1,781,524 )</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23,999,920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(2,648,553 )</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17"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$447,067. There are no formal loan documents in place and no interest is payable.</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ind w:firstLine="509"/>
        <w:spacing w:after="0" w:line="289" w:lineRule="auto"/>
        <w:rPr>
          <w:sz w:val="20"/>
          <w:szCs w:val="20"/>
          <w:color w:val="auto"/>
        </w:rPr>
      </w:pPr>
      <w:r>
        <w:rPr>
          <w:rFonts w:ascii="Times New Roman" w:cs="Times New Roman" w:eastAsia="Times New Roman" w:hAnsi="Times New Roman"/>
          <w:sz w:val="17"/>
          <w:szCs w:val="17"/>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7"/>
          <w:szCs w:val="17"/>
          <w:b w:val="1"/>
          <w:bCs w:val="1"/>
          <w:i w:val="1"/>
          <w:iCs w:val="1"/>
          <w:color w:val="auto"/>
        </w:rPr>
        <w:t>Rezolve China</w:t>
      </w:r>
      <w:r>
        <w:rPr>
          <w:rFonts w:ascii="Times New Roman" w:cs="Times New Roman" w:eastAsia="Times New Roman" w:hAnsi="Times New Roman"/>
          <w:sz w:val="17"/>
          <w:szCs w:val="17"/>
          <w:color w:val="auto"/>
        </w:rPr>
        <w:t>”) and Rezolve China’s subsidiary Nine Stone (Shanghai) Ltd (“</w:t>
      </w:r>
      <w:r>
        <w:rPr>
          <w:rFonts w:ascii="Times New Roman" w:cs="Times New Roman" w:eastAsia="Times New Roman" w:hAnsi="Times New Roman"/>
          <w:sz w:val="17"/>
          <w:szCs w:val="17"/>
          <w:b w:val="1"/>
          <w:bCs w:val="1"/>
          <w:i w:val="1"/>
          <w:iCs w:val="1"/>
          <w:color w:val="auto"/>
        </w:rPr>
        <w:t>Nine Stone</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i w:val="1"/>
          <w:iCs w:val="1"/>
          <w:color w:val="auto"/>
        </w:rPr>
        <w:t>China Business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4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6" w:name="page67"/>
    <w:bookmarkEnd w:id="66"/>
    <w:p>
      <w:pPr>
        <w:ind w:right="20"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On September 6, 2024, YA and Rezolve AI Limited executed the Second A&amp;R YA Agreement </w:t>
      </w:r>
      <w:r>
        <w:rPr>
          <w:rFonts w:ascii="Times New Roman" w:cs="Times New Roman" w:eastAsia="Times New Roman" w:hAnsi="Times New Roman"/>
          <w:sz w:val="18"/>
          <w:szCs w:val="18"/>
          <w:color w:val="000000"/>
        </w:rPr>
        <w:t>to incorporate an additional prepaid advance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arrangement pursuant to which YA committed to provide Rezolve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this Registration Statement, and the third tranche in an original principal amount of Two Million Five Hundred Thousand Dollars ($2,500,000) to be funded upon the effectiveness of this Registration Statement. The Second A&amp;R YA Agreement superseded the YA Agreement.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000000"/>
        </w:rPr>
        <w:t>YA Note Amendment</w:t>
      </w:r>
      <w:r>
        <w:rPr>
          <w:rFonts w:ascii="Times New Roman" w:cs="Times New Roman" w:eastAsia="Times New Roman" w:hAnsi="Times New Roman"/>
          <w:sz w:val="18"/>
          <w:szCs w:val="18"/>
          <w:color w:val="000000"/>
        </w:rPr>
        <w:t>” and the YA Note, as amended by the YA Note Amendment, the “</w:t>
      </w:r>
      <w:r>
        <w:rPr>
          <w:rFonts w:ascii="Times New Roman" w:cs="Times New Roman" w:eastAsia="Times New Roman" w:hAnsi="Times New Roman"/>
          <w:sz w:val="18"/>
          <w:szCs w:val="18"/>
          <w:b w:val="1"/>
          <w:bCs w:val="1"/>
          <w:i w:val="1"/>
          <w:iCs w:val="1"/>
          <w:color w:val="000000"/>
        </w:rPr>
        <w:t>Amended YA Note</w:t>
      </w:r>
      <w:r>
        <w:rPr>
          <w:rFonts w:ascii="Times New Roman" w:cs="Times New Roman" w:eastAsia="Times New Roman" w:hAnsi="Times New Roman"/>
          <w:sz w:val="18"/>
          <w:szCs w:val="18"/>
          <w:color w:val="00000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 In connection with the initial prepaid advance of $2,500,000, YA will subscribe for a promissory note for such advance at a 5% original issuance discount (the “</w:t>
      </w:r>
      <w:r>
        <w:rPr>
          <w:rFonts w:ascii="Times New Roman" w:cs="Times New Roman" w:eastAsia="Times New Roman" w:hAnsi="Times New Roman"/>
          <w:sz w:val="18"/>
          <w:szCs w:val="18"/>
          <w:b w:val="1"/>
          <w:bCs w:val="1"/>
          <w:i w:val="1"/>
          <w:iCs w:val="1"/>
          <w:color w:val="000000"/>
        </w:rPr>
        <w:t>Additional YA Note</w:t>
      </w:r>
      <w:r>
        <w:rPr>
          <w:rFonts w:ascii="Times New Roman" w:cs="Times New Roman" w:eastAsia="Times New Roman" w:hAnsi="Times New Roman"/>
          <w:sz w:val="18"/>
          <w:szCs w:val="18"/>
          <w:color w:val="000000"/>
        </w:rPr>
        <w:t>” and together with the Amended YA Note, the “</w:t>
      </w:r>
      <w:r>
        <w:rPr>
          <w:rFonts w:ascii="Times New Roman" w:cs="Times New Roman" w:eastAsia="Times New Roman" w:hAnsi="Times New Roman"/>
          <w:sz w:val="18"/>
          <w:szCs w:val="18"/>
          <w:b w:val="1"/>
          <w:bCs w:val="1"/>
          <w:i w:val="1"/>
          <w:iCs w:val="1"/>
          <w:color w:val="000000"/>
        </w:rPr>
        <w:t>YA Notes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Amended YA Note is, and the Additional YA Note will be, convertible into Ordinary Shares. The noteholder may elect to convert all or part of the YA Notes into ordinary shares in Rezolve AI Limited at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(being the lower of (i) $10 per share (the “</w:t>
      </w:r>
      <w:r>
        <w:rPr>
          <w:rFonts w:ascii="Times New Roman" w:cs="Times New Roman" w:eastAsia="Times New Roman" w:hAnsi="Times New Roman"/>
          <w:sz w:val="18"/>
          <w:szCs w:val="18"/>
          <w:b w:val="1"/>
          <w:bCs w:val="1"/>
          <w:i w:val="1"/>
          <w:iCs w:val="1"/>
          <w:color w:val="auto"/>
        </w:rPr>
        <w:t>Fixed Price</w:t>
      </w:r>
      <w:r>
        <w:rPr>
          <w:rFonts w:ascii="Times New Roman" w:cs="Times New Roman" w:eastAsia="Times New Roman" w:hAnsi="Times New Roman"/>
          <w:sz w:val="18"/>
          <w:szCs w:val="18"/>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8"/>
          <w:szCs w:val="18"/>
          <w:b w:val="1"/>
          <w:bCs w:val="1"/>
          <w:i w:val="1"/>
          <w:iCs w:val="1"/>
          <w:color w:val="auto"/>
        </w:rPr>
        <w:t>YA Variable Price</w:t>
      </w:r>
      <w:r>
        <w:rPr>
          <w:rFonts w:ascii="Times New Roman" w:cs="Times New Roman" w:eastAsia="Times New Roman" w:hAnsi="Times New Roman"/>
          <w:sz w:val="18"/>
          <w:szCs w:val="18"/>
          <w:color w:val="auto"/>
        </w:rPr>
        <w:t>”) but which YA Variable Price shall not be lower than the “</w:t>
      </w:r>
      <w:r>
        <w:rPr>
          <w:rFonts w:ascii="Times New Roman" w:cs="Times New Roman" w:eastAsia="Times New Roman" w:hAnsi="Times New Roman"/>
          <w:sz w:val="18"/>
          <w:szCs w:val="18"/>
          <w:b w:val="1"/>
          <w:bCs w:val="1"/>
          <w:i w:val="1"/>
          <w:iCs w:val="1"/>
          <w:color w:val="auto"/>
        </w:rPr>
        <w:t>YA Floor Price</w:t>
      </w:r>
      <w:r>
        <w:rPr>
          <w:rFonts w:ascii="Times New Roman" w:cs="Times New Roman" w:eastAsia="Times New Roman" w:hAnsi="Times New Roman"/>
          <w:sz w:val="18"/>
          <w:szCs w:val="18"/>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8"/>
          <w:szCs w:val="18"/>
          <w:b w:val="1"/>
          <w:bCs w:val="1"/>
          <w:i w:val="1"/>
          <w:iCs w:val="1"/>
          <w:color w:val="auto"/>
        </w:rPr>
        <w:t>YA Exchange Cap</w:t>
      </w:r>
      <w:r>
        <w:rPr>
          <w:rFonts w:ascii="Times New Roman" w:cs="Times New Roman" w:eastAsia="Times New Roman" w:hAnsi="Times New Roman"/>
          <w:sz w:val="18"/>
          <w:szCs w:val="18"/>
          <w:color w:val="auto"/>
        </w:rPr>
        <w:t>”) (unless Rezolve AI Limited shareholders have approved such issuances, or if Rezolve AI Limited is permitted to follow (and has elected to do so) its home country practices instead of the stockholder approval requirements of Nasdaq Rule 5635).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9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w:t>
      </w:r>
      <w:r>
        <w:rPr>
          <w:rFonts w:ascii="Times New Roman" w:cs="Times New Roman" w:eastAsia="Times New Roman" w:hAnsi="Times New Roman"/>
          <w:sz w:val="18"/>
          <w:szCs w:val="18"/>
          <w:b w:val="1"/>
          <w:bCs w:val="1"/>
          <w:i w:val="1"/>
          <w:iCs w:val="1"/>
          <w:color w:val="auto"/>
        </w:rPr>
        <w:t>YA Trigger Event</w:t>
      </w:r>
      <w:r>
        <w:rPr>
          <w:rFonts w:ascii="Times New Roman" w:cs="Times New Roman" w:eastAsia="Times New Roman" w:hAnsi="Times New Roman"/>
          <w:sz w:val="18"/>
          <w:szCs w:val="18"/>
          <w:color w:val="auto"/>
        </w:rPr>
        <w:t>” occurs (being where (i) the daily VWAP is less than the YA Floor Price for five (5) trading days during a period of seven</w:t>
      </w:r>
    </w:p>
    <w:p>
      <w:pPr>
        <w:spacing w:after="0" w:line="31" w:lineRule="exact"/>
        <w:rPr>
          <w:sz w:val="20"/>
          <w:szCs w:val="20"/>
          <w:color w:val="auto"/>
        </w:rPr>
      </w:pPr>
    </w:p>
    <w:p>
      <w:pPr>
        <w:ind w:firstLine="8"/>
        <w:spacing w:after="0" w:line="25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(the “</w:t>
      </w:r>
      <w:r>
        <w:rPr>
          <w:rFonts w:ascii="Times New Roman" w:cs="Times New Roman" w:eastAsia="Times New Roman" w:hAnsi="Times New Roman"/>
          <w:sz w:val="18"/>
          <w:szCs w:val="18"/>
          <w:b w:val="1"/>
          <w:bCs w:val="1"/>
          <w:i w:val="1"/>
          <w:iCs w:val="1"/>
          <w:color w:val="auto"/>
        </w:rPr>
        <w:t>YA Floor Price Trigger</w:t>
      </w:r>
      <w:r>
        <w:rPr>
          <w:rFonts w:ascii="Times New Roman" w:cs="Times New Roman" w:eastAsia="Times New Roman" w:hAnsi="Times New Roman"/>
          <w:sz w:val="18"/>
          <w:szCs w:val="18"/>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YA Exchange Cap Trigger</w:t>
      </w:r>
      <w:r>
        <w:rPr>
          <w:rFonts w:ascii="Times New Roman" w:cs="Times New Roman" w:eastAsia="Times New Roman" w:hAnsi="Times New Roman"/>
          <w:sz w:val="18"/>
          <w:szCs w:val="18"/>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9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Amended YA Note has, and the Additional YA Note will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under which YA shall share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6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20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to pay any amount due thereunder when due.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89"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has agreed that, within forty five (45) days from the date of listing on Nasdaq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it will file with the SEC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SEC prevents Rezolve from including any or all of the Registrable Securities proposed to be registered for resale under the Registration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due to limitations on the use of Rule 415 of the Securities Act for the resale of the Rezolve securities by the applicable shareholders or otherwise,</w:t>
      </w:r>
    </w:p>
    <w:p>
      <w:pPr>
        <w:spacing w:after="0" w:line="9" w:lineRule="exact"/>
        <w:rPr>
          <w:sz w:val="20"/>
          <w:szCs w:val="20"/>
          <w:color w:val="auto"/>
        </w:rPr>
      </w:pPr>
    </w:p>
    <w:p>
      <w:pPr>
        <w:ind w:right="80" w:firstLine="8"/>
        <w:spacing w:after="0" w:line="253" w:lineRule="auto"/>
        <w:tabs>
          <w:tab w:leader="none" w:pos="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100"/>
        <w:spacing w:after="0" w:line="282" w:lineRule="auto"/>
        <w:rPr>
          <w:sz w:val="20"/>
          <w:szCs w:val="20"/>
          <w:color w:val="auto"/>
        </w:rPr>
      </w:pPr>
      <w:r>
        <w:rPr>
          <w:rFonts w:ascii="Times New Roman" w:cs="Times New Roman" w:eastAsia="Times New Roman" w:hAnsi="Times New Roman"/>
          <w:sz w:val="18"/>
          <w:szCs w:val="18"/>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5"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4" w:lineRule="exact"/>
        <w:rPr>
          <w:sz w:val="20"/>
          <w:szCs w:val="20"/>
          <w:color w:val="auto"/>
        </w:rPr>
      </w:pPr>
    </w:p>
    <w:p>
      <w:pPr>
        <w:ind w:right="540" w:firstLine="8"/>
        <w:spacing w:after="0" w:line="223" w:lineRule="auto"/>
        <w:tabs>
          <w:tab w:leader="none" w:pos="105"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2" w:name="page73"/>
    <w:bookmarkEnd w:id="72"/>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40" w:hanging="383"/>
        <w:spacing w:after="0" w:line="28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100" w:hanging="383"/>
        <w:spacing w:after="0" w:line="268"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4"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left="900" w:hanging="383"/>
        <w:spacing w:after="0" w:line="26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80" w:hanging="383"/>
        <w:spacing w:after="0" w:line="267"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six months ended June 30,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six months ended June 30, 2024.</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(9,665,758 )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(14,329,469 )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7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(3,009,002 )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(107,816 )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(3,116,818 )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(2,883,195 )</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(12,782,576 )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(17,212,664 )</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(59,870 )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(63,408 )</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(12,842,446 )</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(17,276,072 )</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-3034030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-3034030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-1919605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-1919605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-1353820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-1353820</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-1062355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-1062355</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revenues from ticketing transactions for the six months ended June 30, 2024, as compared to the six months ended June 30, 2023: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9"/>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8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$0.047 million for the six months ended June 30, 2023 as compared to $0.053 million for the six months ended June 30, 2024 is attributable to increased ticketing revenue from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six months ended June 30, 2024, as compared to the six months ended June 30, 2023:</w:t>
      </w:r>
    </w:p>
    <w:p>
      <w:pPr>
        <w:spacing w:after="0" w:line="246" w:lineRule="exact"/>
        <w:rPr>
          <w:sz w:val="20"/>
          <w:szCs w:val="20"/>
          <w:color w:val="auto"/>
        </w:rPr>
      </w:pPr>
    </w:p>
    <w:tbl>
      <w:tblPr>
        <w:tblLayout w:type="fixed"/>
        <w:tblInd w:w="5420" w:type="dxa"/>
        <w:tblCellMar>
          <w:top w:w="0" w:type="dxa"/>
          <w:left w:w="0" w:type="dxa"/>
          <w:bottom w:w="0" w:type="dxa"/>
          <w:right w:w="0" w:type="dxa"/>
        </w:tblCellMar>
      </w:tblPr>
      <w:tr>
        <w:trPr>
          <w:trHeight w:val="173"/>
        </w:trPr>
        <w:tc>
          <w:tcPr>
            <w:tcW w:w="25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126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tbl>
      <w:tblPr>
        <w:tblLayout w:type="fixed"/>
        <w:tblInd w:w="580" w:type="dxa"/>
        <w:tblCellMar>
          <w:top w:w="0" w:type="dxa"/>
          <w:left w:w="0" w:type="dxa"/>
          <w:bottom w:w="0" w:type="dxa"/>
          <w:right w:w="0" w:type="dxa"/>
        </w:tblCellMar>
      </w:tblPr>
      <w:tr>
        <w:trPr>
          <w:trHeight w:val="191"/>
        </w:trPr>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(3,278,744 )</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(677,168 )</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(700,500 )</w:t>
            </w:r>
          </w:p>
        </w:tc>
      </w:tr>
      <w:tr>
        <w:trPr>
          <w:trHeight w:val="23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10"/>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(4,657,076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80" w:hanging="125"/>
        <w:spacing w:after="0"/>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right"/>
        <w:ind w:right="44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(70 )% (8 )% (89 )% (1 )% (32 )%</w:t>
      </w:r>
    </w:p>
    <w:p>
      <w:pPr>
        <w:spacing w:after="0" w:line="592" w:lineRule="exact"/>
        <w:rPr>
          <w:sz w:val="20"/>
          <w:szCs w:val="20"/>
          <w:color w:val="auto"/>
        </w:rPr>
      </w:pPr>
    </w:p>
    <w:p>
      <w:pPr>
        <w:sectPr>
          <w:pgSz w:w="11900" w:h="16838" w:orient="portrait"/>
          <w:cols w:equalWidth="0" w:num="2">
            <w:col w:w="9600" w:space="720"/>
            <w:col w:w="920"/>
          </w:cols>
          <w:pgMar w:left="320" w:top="1089"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revenues have remained unchanged at $0.02 million, for the six months ended June 30, 2024 compared to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decreased by $3.3 million, for the six months ended June 30, 2024, compared to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due decrease in share-based payments of $2.8 million and a reduction in salary costs of $0.5 million due to reduced headcount.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for the six months ended June 30, 2024, compared to the six months ended June 30, 2023. Share-based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decreased by $0.8 million due to an impairment of a loan receivables to Swipeby in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$0.1 million, for the six months ended June 30, 2024, compared to the six months ended June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interest expense and other non-operating income for the six months ended June 30, 2024, as compared to the six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(3,009,002 )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(3,054,946 )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(107,816 )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(279,567 )</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4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(3,116,818 )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(2,883,195 )</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(233,623 )</w:t>
            </w:r>
          </w:p>
        </w:tc>
        <w:tc>
          <w:tcPr>
            <w:tcW w:w="32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non-operating (income) expense decreased by $0.3 million for the six months ended June 30, 2024 as compared to the six year ended June 30, 2023, this is due to an increase in foreign exchange losses of $0.3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60" w:hanging="383"/>
        <w:spacing w:after="0" w:line="284"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76" w:name="page77"/>
    <w:bookmarkEnd w:id="76"/>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(12,842,446 )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(17,276,072 )</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(9,652,733 )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(14,036,147 )</w:t>
            </w:r>
          </w:p>
        </w:tc>
        <w:tc>
          <w:tcPr>
            <w:tcW w:w="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-153670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2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right="50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2023 and are recorded within General and Administrative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(12,842,446 )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(17,276,072 )</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(9,652,733 )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(14,036,147 )</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570,731</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4,880,389</w:t>
            </w:r>
          </w:p>
        </w:tc>
        <w:tc>
          <w:tcPr>
            <w:tcW w:w="80" w:type="dxa"/>
            <w:vAlign w:val="bottom"/>
            <w:shd w:val="clear" w:color="auto" w:fill="CFF0FC"/>
          </w:tcPr>
          <w:p>
            <w:pPr>
              <w:spacing w:after="0"/>
              <w:rPr>
                <w:sz w:val="18"/>
                <w:szCs w:val="18"/>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(5,501,325 )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(7,472,644 )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June 30, 2024 and June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-1062355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-1062355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(4,898,451 )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(8,818,307 )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(1,364,375 )</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(112,666 )</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6,274,161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9,171,912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(159,230 )</w:t>
            </w:r>
          </w:p>
        </w:tc>
        <w:tc>
          <w:tcPr>
            <w:tcW w:w="0" w:type="dxa"/>
            <w:vAlign w:val="bottom"/>
          </w:tcPr>
          <w:p>
            <w:pPr>
              <w:spacing w:after="0"/>
              <w:rPr>
                <w:sz w:val="1"/>
                <w:szCs w:val="1"/>
                <w:color w:val="auto"/>
              </w:rPr>
            </w:pPr>
          </w:p>
        </w:tc>
      </w:tr>
      <w:tr>
        <w:trPr>
          <w:trHeight w:val="221"/>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$6.3 million for the six months ended June 30, 2024 was due to proceeds from rights issues of $1.4 million, $0.4 million of short term loans and $4.3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Unsecured interest free loan taken from DBLP Sea Cow Ltd of $860,778 consists of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80" w:lineRule="exact"/>
        <w:rPr>
          <w:sz w:val="20"/>
          <w:szCs w:val="20"/>
          <w:color w:val="auto"/>
        </w:rPr>
      </w:pPr>
    </w:p>
    <w:p>
      <w:pPr>
        <w:ind w:right="160" w:firstLine="509"/>
        <w:spacing w:after="0" w:line="272" w:lineRule="auto"/>
        <w:rPr>
          <w:sz w:val="20"/>
          <w:szCs w:val="20"/>
          <w:color w:val="auto"/>
        </w:rPr>
      </w:pPr>
      <w:r>
        <w:rPr>
          <w:rFonts w:ascii="Times New Roman" w:cs="Times New Roman" w:eastAsia="Times New Roman" w:hAnsi="Times New Roman"/>
          <w:sz w:val="18"/>
          <w:szCs w:val="18"/>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2024, $37,956 of borrowing fees have been recognized.</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9" w:name="page80"/>
    <w:bookmarkEnd w:id="79"/>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7"/>
          <w:szCs w:val="17"/>
          <w:b w:val="1"/>
          <w:bCs w:val="1"/>
          <w:i w:val="1"/>
          <w:iCs w:val="1"/>
          <w:color w:val="auto"/>
        </w:rPr>
        <w:t>Rezolve China</w:t>
      </w:r>
      <w:r>
        <w:rPr>
          <w:rFonts w:ascii="Times New Roman" w:cs="Times New Roman" w:eastAsia="Times New Roman" w:hAnsi="Times New Roman"/>
          <w:sz w:val="17"/>
          <w:szCs w:val="17"/>
          <w:color w:val="auto"/>
        </w:rPr>
        <w:t>”) and Rezolve China’s subsidiary Nine Stone (Shanghai) Ltd (“</w:t>
      </w:r>
      <w:r>
        <w:rPr>
          <w:rFonts w:ascii="Times New Roman" w:cs="Times New Roman" w:eastAsia="Times New Roman" w:hAnsi="Times New Roman"/>
          <w:sz w:val="17"/>
          <w:szCs w:val="17"/>
          <w:b w:val="1"/>
          <w:bCs w:val="1"/>
          <w:i w:val="1"/>
          <w:iCs w:val="1"/>
          <w:color w:val="auto"/>
        </w:rPr>
        <w:t>Nine Stone</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i w:val="1"/>
          <w:iCs w:val="1"/>
          <w:color w:val="auto"/>
        </w:rPr>
        <w:t>China Business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4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12529"/>
        </w:rPr>
        <w:t xml:space="preserve">On September 6, 2024, YA and Rezolve executed the Second A&amp;R YA Agreement </w:t>
      </w:r>
      <w:r>
        <w:rPr>
          <w:rFonts w:ascii="Times New Roman" w:cs="Times New Roman" w:eastAsia="Times New Roman" w:hAnsi="Times New Roman"/>
          <w:sz w:val="18"/>
          <w:szCs w:val="18"/>
          <w:color w:val="000000"/>
        </w:rPr>
        <w:t>to incorporate an additional prepaid advance arrangement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pursuant to which YA committed to provide Rezolve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1" w:name="page82"/>
    <w:bookmarkEnd w:id="81"/>
    <w:p>
      <w:pPr>
        <w:ind w:right="220"/>
        <w:spacing w:after="0" w:line="282" w:lineRule="auto"/>
        <w:rPr>
          <w:sz w:val="20"/>
          <w:szCs w:val="20"/>
          <w:color w:val="auto"/>
        </w:rPr>
      </w:pPr>
      <w:r>
        <w:rPr>
          <w:rFonts w:ascii="Times New Roman" w:cs="Times New Roman" w:eastAsia="Times New Roman" w:hAnsi="Times New Roman"/>
          <w:sz w:val="18"/>
          <w:szCs w:val="18"/>
          <w:color w:val="auto"/>
        </w:rPr>
        <w:t>Thousand Dollars ($2,500,000) to be funded upon the effectiveness of this Registration Statement. The Second A&amp;R YA Agreement superseded the YA Agreement.</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8"/>
          <w:szCs w:val="18"/>
          <w:b w:val="1"/>
          <w:bCs w:val="1"/>
          <w:i w:val="1"/>
          <w:iCs w:val="1"/>
          <w:color w:val="auto"/>
        </w:rPr>
        <w:t>Triggered Principal Amount</w:t>
      </w:r>
      <w:r>
        <w:rPr>
          <w:rFonts w:ascii="Times New Roman" w:cs="Times New Roman" w:eastAsia="Times New Roman" w:hAnsi="Times New Roman"/>
          <w:sz w:val="18"/>
          <w:szCs w:val="18"/>
          <w:color w:val="auto"/>
        </w:rPr>
        <w:t>”), plus (ii) 10% of the premium amount being paid in respect of such Triggered Principal Amount, plus (iii) accrued and unpaid interest under the Additional YA Note as of each payment date.</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YA Note and Additional YA Note (together,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(being the lower of (i) $10 per share (the “</w:t>
      </w:r>
      <w:r>
        <w:rPr>
          <w:rFonts w:ascii="Times New Roman" w:cs="Times New Roman" w:eastAsia="Times New Roman" w:hAnsi="Times New Roman"/>
          <w:sz w:val="18"/>
          <w:szCs w:val="18"/>
          <w:b w:val="1"/>
          <w:bCs w:val="1"/>
          <w:i w:val="1"/>
          <w:iCs w:val="1"/>
          <w:color w:val="auto"/>
        </w:rPr>
        <w:t>Fixed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or (ii) 90% of the lowest daily VWAP during the ten (10) consecutive trading days immediately preceding the conversion date or other later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(the “</w:t>
      </w:r>
      <w:r>
        <w:rPr>
          <w:rFonts w:ascii="Times New Roman" w:cs="Times New Roman" w:eastAsia="Times New Roman" w:hAnsi="Times New Roman"/>
          <w:sz w:val="18"/>
          <w:szCs w:val="18"/>
          <w:b w:val="1"/>
          <w:bCs w:val="1"/>
          <w:i w:val="1"/>
          <w:iCs w:val="1"/>
          <w:color w:val="auto"/>
        </w:rPr>
        <w:t>YA Variable Price</w:t>
      </w:r>
      <w:r>
        <w:rPr>
          <w:rFonts w:ascii="Times New Roman" w:cs="Times New Roman" w:eastAsia="Times New Roman" w:hAnsi="Times New Roman"/>
          <w:sz w:val="18"/>
          <w:szCs w:val="18"/>
          <w:color w:val="auto"/>
        </w:rPr>
        <w:t>”) but which YA Variable Price shall not be lower than the “</w:t>
      </w:r>
      <w:r>
        <w:rPr>
          <w:rFonts w:ascii="Times New Roman" w:cs="Times New Roman" w:eastAsia="Times New Roman" w:hAnsi="Times New Roman"/>
          <w:sz w:val="18"/>
          <w:szCs w:val="18"/>
          <w:b w:val="1"/>
          <w:bCs w:val="1"/>
          <w:i w:val="1"/>
          <w:iCs w:val="1"/>
          <w:color w:val="auto"/>
        </w:rPr>
        <w:t>YA Floor Price</w:t>
      </w:r>
      <w:r>
        <w:rPr>
          <w:rFonts w:ascii="Times New Roman" w:cs="Times New Roman" w:eastAsia="Times New Roman" w:hAnsi="Times New Roman"/>
          <w:sz w:val="18"/>
          <w:szCs w:val="18"/>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8"/>
          <w:szCs w:val="18"/>
          <w:b w:val="1"/>
          <w:bCs w:val="1"/>
          <w:i w:val="1"/>
          <w:iCs w:val="1"/>
          <w:color w:val="auto"/>
        </w:rPr>
        <w:t>YA Exchange Cap</w:t>
      </w:r>
      <w:r>
        <w:rPr>
          <w:rFonts w:ascii="Times New Roman" w:cs="Times New Roman" w:eastAsia="Times New Roman" w:hAnsi="Times New Roman"/>
          <w:sz w:val="18"/>
          <w:szCs w:val="18"/>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w:t>
      </w:r>
      <w:r>
        <w:rPr>
          <w:rFonts w:ascii="Times New Roman" w:cs="Times New Roman" w:eastAsia="Times New Roman" w:hAnsi="Times New Roman"/>
          <w:sz w:val="18"/>
          <w:szCs w:val="18"/>
          <w:b w:val="1"/>
          <w:bCs w:val="1"/>
          <w:i w:val="1"/>
          <w:iCs w:val="1"/>
          <w:color w:val="auto"/>
        </w:rPr>
        <w:t>YA Trigger Event</w:t>
      </w:r>
      <w:r>
        <w:rPr>
          <w:rFonts w:ascii="Times New Roman" w:cs="Times New Roman" w:eastAsia="Times New Roman" w:hAnsi="Times New Roman"/>
          <w:sz w:val="18"/>
          <w:szCs w:val="18"/>
          <w:color w:val="auto"/>
        </w:rPr>
        <w:t>” occurs (being where (i) the daily VWAP is less than the YA Floor Price for five (5) trading days during a period of seven</w:t>
      </w:r>
    </w:p>
    <w:p>
      <w:pPr>
        <w:spacing w:after="0" w:line="31" w:lineRule="exact"/>
        <w:rPr>
          <w:sz w:val="20"/>
          <w:szCs w:val="20"/>
          <w:color w:val="auto"/>
        </w:rPr>
      </w:pPr>
    </w:p>
    <w:p>
      <w:pPr>
        <w:ind w:firstLine="8"/>
        <w:spacing w:after="0" w:line="251"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(the “</w:t>
      </w:r>
      <w:r>
        <w:rPr>
          <w:rFonts w:ascii="Times New Roman" w:cs="Times New Roman" w:eastAsia="Times New Roman" w:hAnsi="Times New Roman"/>
          <w:sz w:val="18"/>
          <w:szCs w:val="18"/>
          <w:b w:val="1"/>
          <w:bCs w:val="1"/>
          <w:i w:val="1"/>
          <w:iCs w:val="1"/>
          <w:color w:val="auto"/>
        </w:rPr>
        <w:t>YA Floor Price Trigger</w:t>
      </w:r>
      <w:r>
        <w:rPr>
          <w:rFonts w:ascii="Times New Roman" w:cs="Times New Roman" w:eastAsia="Times New Roman" w:hAnsi="Times New Roman"/>
          <w:sz w:val="18"/>
          <w:szCs w:val="18"/>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YA Exchange Cap Trigger</w:t>
      </w:r>
      <w:r>
        <w:rPr>
          <w:rFonts w:ascii="Times New Roman" w:cs="Times New Roman" w:eastAsia="Times New Roman" w:hAnsi="Times New Roman"/>
          <w:sz w:val="18"/>
          <w:szCs w:val="18"/>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9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140"/>
        <w:spacing w:after="0" w:line="259" w:lineRule="auto"/>
        <w:rPr>
          <w:sz w:val="20"/>
          <w:szCs w:val="20"/>
          <w:color w:val="auto"/>
        </w:rPr>
      </w:pPr>
      <w:r>
        <w:rPr>
          <w:rFonts w:ascii="Times New Roman" w:cs="Times New Roman" w:eastAsia="Times New Roman" w:hAnsi="Times New Roman"/>
          <w:sz w:val="18"/>
          <w:szCs w:val="18"/>
          <w:color w:val="auto"/>
        </w:rPr>
        <w:t>Investment Group Ltd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8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20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3" w:name="page84"/>
    <w:bookmarkEnd w:id="83"/>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to pay any amount due thereunder when due.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89"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has agreed that, within forty five (45) days from the date of listing on Nasdaq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it will file with the SEC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SEC prevents Rezolve from including any or all of the Registrable Securities proposed to be registered for resale under the Registration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due to limitations on the use of Rule 415 of the Securities Act for the resale of the Rezolve securities by the applicable shareholders or otherwise,</w:t>
      </w:r>
    </w:p>
    <w:p>
      <w:pPr>
        <w:spacing w:after="0" w:line="9" w:lineRule="exact"/>
        <w:rPr>
          <w:sz w:val="20"/>
          <w:szCs w:val="20"/>
          <w:color w:val="auto"/>
        </w:rPr>
      </w:pPr>
    </w:p>
    <w:p>
      <w:pPr>
        <w:ind w:right="80" w:firstLine="8"/>
        <w:spacing w:after="0" w:line="253"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80"/>
        <w:spacing w:after="0" w:line="282" w:lineRule="auto"/>
        <w:rPr>
          <w:sz w:val="20"/>
          <w:szCs w:val="20"/>
          <w:color w:val="auto"/>
        </w:rPr>
      </w:pPr>
      <w:r>
        <w:rPr>
          <w:rFonts w:ascii="Times New Roman" w:cs="Times New Roman" w:eastAsia="Times New Roman" w:hAnsi="Times New Roman"/>
          <w:sz w:val="18"/>
          <w:szCs w:val="18"/>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1,383,298</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1,311,028</w:t>
            </w:r>
          </w:p>
        </w:tc>
        <w:tc>
          <w:tcPr>
            <w:tcW w:w="8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0"/>
          <w:szCs w:val="20"/>
          <w:color w:val="auto"/>
        </w:rPr>
      </w:pPr>
    </w:p>
    <w:p>
      <w:pPr>
        <w:ind w:right="540" w:firstLine="8"/>
        <w:spacing w:after="0" w:line="223" w:lineRule="auto"/>
        <w:tabs>
          <w:tab w:leader="none" w:pos="105"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Please see Rezolve Press Release dated July 25, 2023, available at </w:t>
      </w:r>
      <w:r>
        <w:rPr>
          <w:rFonts w:ascii="Times New Roman" w:cs="Times New Roman" w:eastAsia="Times New Roman" w:hAnsi="Times New Roman"/>
          <w:sz w:val="18"/>
          <w:szCs w:val="18"/>
          <w:u w:val="single" w:color="auto"/>
          <w:color w:val="auto"/>
        </w:rPr>
        <w:t>https://www.rezolve.com/investors/britainsbrain-heralds-new-era-of-commerce-enabled-ai/</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7" w:name="page88"/>
    <w:bookmarkEnd w:id="87"/>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8"/>
          <w:szCs w:val="18"/>
          <w:i w:val="1"/>
          <w:iCs w:val="1"/>
          <w:color w:val="auto"/>
        </w:rPr>
        <w:t>Business of Rezolve Limited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148590</wp:posOffset>
            </wp:positionV>
            <wp:extent cx="5168900" cy="26574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8" w:name="page89"/>
    <w:bookmarkEnd w:id="88"/>
    <w:p>
      <w:pPr>
        <w:ind w:right="160"/>
        <w:spacing w:after="0" w:line="282" w:lineRule="auto"/>
        <w:rPr>
          <w:sz w:val="20"/>
          <w:szCs w:val="20"/>
          <w:color w:val="auto"/>
        </w:rPr>
      </w:pPr>
      <w:r>
        <w:rPr>
          <w:rFonts w:ascii="Times New Roman" w:cs="Times New Roman" w:eastAsia="Times New Roman" w:hAnsi="Times New Roman"/>
          <w:sz w:val="18"/>
          <w:szCs w:val="18"/>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right="20"/>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900" w:right="160" w:hanging="383"/>
        <w:spacing w:after="0" w:line="261"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Instant Checkout allows websites to convert passive browsers into actors or buyers with one click directly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 images,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left="900" w:right="140" w:hanging="383"/>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color w:val="auto"/>
        </w:rPr>
      </w:pPr>
    </w:p>
    <w:p>
      <w:pPr>
        <w:ind w:left="900" w:right="100" w:hanging="383"/>
        <w:spacing w:after="0" w:line="257"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146685</wp:posOffset>
            </wp:positionV>
            <wp:extent cx="4697730" cy="27171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31115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8"/>
          <w:szCs w:val="18"/>
          <w:b w:val="1"/>
          <w:bCs w:val="1"/>
          <w:i w:val="1"/>
          <w:iCs w:val="1"/>
          <w:color w:val="auto"/>
        </w:rPr>
        <w:t>CUP</w:t>
      </w:r>
      <w:r>
        <w:rPr>
          <w:rFonts w:ascii="Times New Roman" w:cs="Times New Roman" w:eastAsia="Times New Roman" w:hAnsi="Times New Roman"/>
          <w:sz w:val="18"/>
          <w:szCs w:val="18"/>
          <w:color w:val="auto"/>
        </w:rPr>
        <w:t>”) and Allinpay (“</w:t>
      </w:r>
      <w:r>
        <w:rPr>
          <w:rFonts w:ascii="Times New Roman" w:cs="Times New Roman" w:eastAsia="Times New Roman" w:hAnsi="Times New Roman"/>
          <w:sz w:val="18"/>
          <w:szCs w:val="18"/>
          <w:b w:val="1"/>
          <w:bCs w:val="1"/>
          <w:i w:val="1"/>
          <w:iCs w:val="1"/>
          <w:color w:val="auto"/>
        </w:rPr>
        <w:t>AP</w:t>
      </w:r>
      <w:r>
        <w:rPr>
          <w:rFonts w:ascii="Times New Roman" w:cs="Times New Roman" w:eastAsia="Times New Roman" w:hAnsi="Times New Roman"/>
          <w:sz w:val="18"/>
          <w:szCs w:val="18"/>
          <w:color w:val="auto"/>
        </w:rPr>
        <w:t>”). Rezolve’s former subsidiary, Rezolve Information Technology (Shanghai) Limited (“</w:t>
      </w:r>
      <w:r>
        <w:rPr>
          <w:rFonts w:ascii="Times New Roman" w:cs="Times New Roman" w:eastAsia="Times New Roman" w:hAnsi="Times New Roman"/>
          <w:sz w:val="18"/>
          <w:szCs w:val="18"/>
          <w:b w:val="1"/>
          <w:bCs w:val="1"/>
          <w:i w:val="1"/>
          <w:iCs w:val="1"/>
          <w:color w:val="auto"/>
        </w:rPr>
        <w:t>Rezolve Shanghai</w:t>
      </w:r>
      <w:r>
        <w:rPr>
          <w:rFonts w:ascii="Times New Roman" w:cs="Times New Roman" w:eastAsia="Times New Roman" w:hAnsi="Times New Roman"/>
          <w:sz w:val="18"/>
          <w:szCs w:val="18"/>
          <w:color w:val="auto"/>
        </w:rPr>
        <w:t>”) is a Wholly owned Foreign Entity (“</w:t>
      </w:r>
      <w:r>
        <w:rPr>
          <w:rFonts w:ascii="Times New Roman" w:cs="Times New Roman" w:eastAsia="Times New Roman" w:hAnsi="Times New Roman"/>
          <w:sz w:val="18"/>
          <w:szCs w:val="18"/>
          <w:b w:val="1"/>
          <w:bCs w:val="1"/>
          <w:i w:val="1"/>
          <w:iCs w:val="1"/>
          <w:color w:val="auto"/>
        </w:rPr>
        <w:t>WoFE</w:t>
      </w:r>
      <w:r>
        <w:rPr>
          <w:rFonts w:ascii="Times New Roman" w:cs="Times New Roman" w:eastAsia="Times New Roman" w:hAnsi="Times New Roman"/>
          <w:sz w:val="18"/>
          <w:szCs w:val="18"/>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8"/>
          <w:szCs w:val="18"/>
          <w:b w:val="1"/>
          <w:bCs w:val="1"/>
          <w:i w:val="1"/>
          <w:iCs w:val="1"/>
          <w:color w:val="auto"/>
        </w:rPr>
        <w:t>SOE</w:t>
      </w:r>
      <w:r>
        <w:rPr>
          <w:rFonts w:ascii="Times New Roman" w:cs="Times New Roman" w:eastAsia="Times New Roman" w:hAnsi="Times New Roman"/>
          <w:sz w:val="18"/>
          <w:szCs w:val="18"/>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2" w:name="page93"/>
    <w:bookmarkEnd w:id="92"/>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jc w:val="both"/>
        <w:ind w:left="900" w:right="100" w:hanging="383"/>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color w:val="auto"/>
        </w:rPr>
      </w:pPr>
    </w:p>
    <w:p>
      <w:pPr>
        <w:ind w:left="900" w:right="180" w:hanging="383"/>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color w:val="auto"/>
        </w:rPr>
      </w:pPr>
    </w:p>
    <w:p>
      <w:pPr>
        <w:ind w:left="900" w:right="520" w:hanging="383"/>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65" w:lineRule="exact"/>
        <w:rPr>
          <w:rFonts w:ascii="Times New Roman" w:cs="Times New Roman" w:eastAsia="Times New Roman" w:hAnsi="Times New Roman"/>
          <w:sz w:val="18"/>
          <w:szCs w:val="18"/>
          <w:color w:val="auto"/>
        </w:rPr>
      </w:pPr>
    </w:p>
    <w:p>
      <w:pPr>
        <w:ind w:left="900" w:right="160" w:hanging="383"/>
        <w:spacing w:after="0" w:line="290"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Upsell/Cross Sell</w:t>
      </w:r>
      <w:r>
        <w:rPr>
          <w:rFonts w:ascii="Times New Roman" w:cs="Times New Roman" w:eastAsia="Times New Roman" w:hAnsi="Times New Roman"/>
          <w:sz w:val="17"/>
          <w:szCs w:val="17"/>
          <w:color w:val="auto"/>
        </w:rPr>
        <w:t>. We expect to further penetrate our customer base. We intend to expand direct and indirect sales capabilities, drive dynamic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47" w:lineRule="exact"/>
        <w:rPr>
          <w:rFonts w:ascii="Times New Roman" w:cs="Times New Roman" w:eastAsia="Times New Roman" w:hAnsi="Times New Roman"/>
          <w:sz w:val="17"/>
          <w:szCs w:val="17"/>
          <w:color w:val="auto"/>
        </w:rPr>
      </w:pPr>
    </w:p>
    <w:p>
      <w:pPr>
        <w:ind w:left="900" w:hanging="383"/>
        <w:spacing w:after="0" w:line="284"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 Canada and Brazil.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left="900" w:hanging="383"/>
        <w:spacing w:after="0" w:line="281"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Strategic Acquisitions</w:t>
      </w:r>
      <w:r>
        <w:rPr>
          <w:rFonts w:ascii="Times New Roman" w:cs="Times New Roman" w:eastAsia="Times New Roman" w:hAnsi="Times New Roman"/>
          <w:sz w:val="17"/>
          <w:szCs w:val="17"/>
          <w:color w:val="auto"/>
        </w:rPr>
        <w:t>. We intend to selectively pursue acquisitions that enhance our existing platform capabilities and are consistent with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24" w:lineRule="exact"/>
        <w:rPr>
          <w:sz w:val="20"/>
          <w:szCs w:val="20"/>
          <w:color w:val="auto"/>
        </w:rPr>
      </w:pPr>
    </w:p>
    <w:p>
      <w:pPr>
        <w:ind w:left="900" w:right="80" w:hanging="383"/>
        <w:spacing w:after="0" w:line="246" w:lineRule="auto"/>
        <w:tabs>
          <w:tab w:leader="none" w:pos="9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151765</wp:posOffset>
            </wp:positionV>
            <wp:extent cx="4997450" cy="1808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right="80" w:hanging="383"/>
        <w:spacing w:after="0" w:line="290" w:lineRule="auto"/>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Loyalty Programs. </w:t>
      </w:r>
      <w:r>
        <w:rPr>
          <w:rFonts w:ascii="Times New Roman" w:cs="Times New Roman" w:eastAsia="Times New Roman" w:hAnsi="Times New Roman"/>
          <w:sz w:val="17"/>
          <w:szCs w:val="17"/>
          <w:color w:val="auto"/>
        </w:rPr>
        <w:t>We expect to bring together merchants and consumers with the goal of empowering merchants to engage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47" w:lineRule="exact"/>
        <w:rPr>
          <w:rFonts w:ascii="Times New Roman" w:cs="Times New Roman" w:eastAsia="Times New Roman" w:hAnsi="Times New Roman"/>
          <w:sz w:val="17"/>
          <w:szCs w:val="17"/>
          <w:color w:val="auto"/>
        </w:rPr>
      </w:pPr>
    </w:p>
    <w:p>
      <w:pPr>
        <w:ind w:left="900" w:right="200" w:hanging="383"/>
        <w:spacing w:after="0" w:line="26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color w:val="auto"/>
        </w:rPr>
      </w:pPr>
    </w:p>
    <w:p>
      <w:pPr>
        <w:jc w:val="both"/>
        <w:ind w:left="900" w:right="220" w:hanging="383"/>
        <w:spacing w:after="0" w:line="315" w:lineRule="auto"/>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Mobile Vouchering</w:t>
      </w:r>
      <w:r>
        <w:rPr>
          <w:rFonts w:ascii="Times New Roman" w:cs="Times New Roman" w:eastAsia="Times New Roman" w:hAnsi="Times New Roman"/>
          <w:sz w:val="17"/>
          <w:szCs w:val="17"/>
          <w:color w:val="auto"/>
        </w:rPr>
        <w:t>. We expect to enable merchants to be more flexible in their offerings to consumers. With the Rezolve platform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merchants’ apps, consumers are able to scan products and buy them through the app, eliminating the need to wait online in retail stores.</w:t>
      </w:r>
    </w:p>
    <w:p>
      <w:pPr>
        <w:spacing w:after="0" w:line="26" w:lineRule="exact"/>
        <w:rPr>
          <w:rFonts w:ascii="Times New Roman" w:cs="Times New Roman" w:eastAsia="Times New Roman" w:hAnsi="Times New Roman"/>
          <w:sz w:val="17"/>
          <w:szCs w:val="17"/>
          <w:color w:val="auto"/>
        </w:rPr>
      </w:pPr>
    </w:p>
    <w:p>
      <w:pPr>
        <w:ind w:left="900" w:right="280" w:hanging="383"/>
        <w:spacing w:after="0" w:line="284"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color w:val="auto"/>
        </w:rPr>
      </w:pPr>
    </w:p>
    <w:p>
      <w:pPr>
        <w:ind w:left="900" w:right="340" w:hanging="383"/>
        <w:spacing w:after="0" w:line="315" w:lineRule="auto"/>
        <w:tabs>
          <w:tab w:leader="none" w:pos="9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color w:val="auto"/>
        </w:rPr>
      </w:pPr>
    </w:p>
    <w:p>
      <w:pPr>
        <w:ind w:left="900" w:right="20" w:hanging="383"/>
        <w:spacing w:after="0" w:line="26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Consumers are able to find offers nearby and browse through products both online and offline. For local offers, consumers can simply go into the brick-and-mortar stores or can order through an app.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900" w:hanging="383"/>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4"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color w:val="auto"/>
        </w:rPr>
      </w:pPr>
    </w:p>
    <w:p>
      <w:pPr>
        <w:ind w:left="900" w:right="520" w:hanging="383"/>
        <w:spacing w:after="0" w:line="284"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4"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52" w:lineRule="exact"/>
        <w:rPr>
          <w:sz w:val="20"/>
          <w:szCs w:val="20"/>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4"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display wall</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 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900" w:hanging="383"/>
        <w:spacing w:after="0" w:line="255"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95" w:name="page96"/>
    <w:bookmarkEnd w:id="95"/>
    <w:p>
      <w:pPr>
        <w:ind w:left="383" w:right="120"/>
        <w:spacing w:after="0" w:line="261" w:lineRule="auto"/>
        <w:rPr>
          <w:sz w:val="20"/>
          <w:szCs w:val="20"/>
          <w:color w:val="auto"/>
        </w:rPr>
      </w:pPr>
      <w:r>
        <w:rPr>
          <w:rFonts w:ascii="Times New Roman" w:cs="Times New Roman" w:eastAsia="Times New Roman" w:hAnsi="Times New Roman"/>
          <w:sz w:val="18"/>
          <w:szCs w:val="18"/>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142875</wp:posOffset>
            </wp:positionV>
            <wp:extent cx="4320540" cy="254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3" w:right="120" w:hanging="383"/>
        <w:spacing w:after="0" w:line="284"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383" w:hanging="383"/>
        <w:spacing w:after="0" w:line="256"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383" w:hanging="383"/>
        <w:spacing w:after="0" w:line="258"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383" w:right="300" w:hanging="383"/>
        <w:spacing w:after="0" w:line="267"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383" w:right="60" w:hanging="383"/>
        <w:spacing w:after="0" w:line="261"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383" w:right="40" w:hanging="383"/>
        <w:spacing w:after="0" w:line="267" w:lineRule="auto"/>
        <w:tabs>
          <w:tab w:leader="none" w:pos="3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Android and iOS app. The accompanying SDK sample app and documents allow third-party developers to quickly leverage the power of our solution.</w:t>
      </w:r>
    </w:p>
    <w:p>
      <w:pPr>
        <w:spacing w:after="0" w:line="17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96" w:name="page97"/>
    <w:bookmarkEnd w:id="96"/>
    <w:p>
      <w:pPr>
        <w:ind w:left="900" w:right="440" w:hanging="383"/>
        <w:spacing w:after="0" w:line="284"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Engine to churn out smart Dashboards and Reports.</w:t>
      </w:r>
    </w:p>
    <w:p>
      <w:pPr>
        <w:spacing w:after="0" w:line="50" w:lineRule="exact"/>
        <w:rPr>
          <w:rFonts w:ascii="Times New Roman" w:cs="Times New Roman" w:eastAsia="Times New Roman" w:hAnsi="Times New Roman"/>
          <w:sz w:val="18"/>
          <w:szCs w:val="18"/>
          <w:color w:val="auto"/>
        </w:rPr>
      </w:pPr>
    </w:p>
    <w:p>
      <w:pPr>
        <w:jc w:val="both"/>
        <w:ind w:left="900" w:hanging="383"/>
        <w:spacing w:after="0" w:line="267"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900" w:right="80" w:hanging="383"/>
        <w:spacing w:after="0" w:line="267"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900" w:right="60" w:hanging="383"/>
        <w:spacing w:after="0" w:line="267"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7" w:name="page98"/>
    <w:bookmarkEnd w:id="9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5" w:lineRule="exact"/>
        <w:rPr>
          <w:sz w:val="20"/>
          <w:szCs w:val="20"/>
          <w:color w:val="auto"/>
        </w:rPr>
      </w:pPr>
    </w:p>
    <w:p>
      <w:pPr>
        <w:jc w:val="both"/>
        <w:ind w:right="2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w:t>
      </w:r>
      <w:r>
        <w:rPr>
          <w:rFonts w:ascii="Times New Roman" w:cs="Times New Roman" w:eastAsia="Times New Roman" w:hAnsi="Times New Roman"/>
          <w:sz w:val="18"/>
          <w:szCs w:val="18"/>
          <w:b w:val="1"/>
          <w:bCs w:val="1"/>
          <w:i w:val="1"/>
          <w:iCs w:val="1"/>
          <w:color w:val="auto"/>
        </w:rPr>
        <w:t>Adobe</w:t>
      </w:r>
      <w:r>
        <w:rPr>
          <w:rFonts w:ascii="Times New Roman" w:cs="Times New Roman" w:eastAsia="Times New Roman" w:hAnsi="Times New Roman"/>
          <w:sz w:val="18"/>
          <w:szCs w:val="18"/>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On March 31, 2022, Rezolve entered into an agreement with ACI Worldwide (EMEA) Limited (“</w:t>
      </w:r>
      <w:r>
        <w:rPr>
          <w:rFonts w:ascii="Times New Roman" w:cs="Times New Roman" w:eastAsia="Times New Roman" w:hAnsi="Times New Roman"/>
          <w:sz w:val="18"/>
          <w:szCs w:val="18"/>
          <w:b w:val="1"/>
          <w:bCs w:val="1"/>
          <w:i w:val="1"/>
          <w:iCs w:val="1"/>
          <w:color w:val="auto"/>
        </w:rPr>
        <w:t>ACI</w:t>
      </w:r>
      <w:r>
        <w:rPr>
          <w:rFonts w:ascii="Times New Roman" w:cs="Times New Roman" w:eastAsia="Times New Roman" w:hAnsi="Times New Roman"/>
          <w:sz w:val="18"/>
          <w:szCs w:val="18"/>
          <w:color w:val="auto"/>
        </w:rPr>
        <w:t>”),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w:t>
      </w:r>
      <w:r>
        <w:rPr>
          <w:rFonts w:ascii="Times New Roman" w:cs="Times New Roman" w:eastAsia="Times New Roman" w:hAnsi="Times New Roman"/>
          <w:sz w:val="18"/>
          <w:szCs w:val="18"/>
          <w:b w:val="1"/>
          <w:bCs w:val="1"/>
          <w:i w:val="1"/>
          <w:iCs w:val="1"/>
          <w:color w:val="auto"/>
        </w:rPr>
        <w:t>Haendlerbund</w:t>
      </w:r>
      <w:r>
        <w:rPr>
          <w:rFonts w:ascii="Times New Roman" w:cs="Times New Roman" w:eastAsia="Times New Roman" w:hAnsi="Times New Roman"/>
          <w:sz w:val="18"/>
          <w:szCs w:val="18"/>
          <w:color w:val="auto"/>
        </w:rPr>
        <w:t>”),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w:t>
      </w:r>
      <w:r>
        <w:rPr>
          <w:rFonts w:ascii="Times New Roman" w:cs="Times New Roman" w:eastAsia="Times New Roman" w:hAnsi="Times New Roman"/>
          <w:sz w:val="18"/>
          <w:szCs w:val="18"/>
          <w:b w:val="1"/>
          <w:bCs w:val="1"/>
          <w:i w:val="1"/>
          <w:iCs w:val="1"/>
          <w:color w:val="auto"/>
        </w:rPr>
        <w:t>Epages</w:t>
      </w:r>
      <w:r>
        <w:rPr>
          <w:rFonts w:ascii="Times New Roman" w:cs="Times New Roman" w:eastAsia="Times New Roman" w:hAnsi="Times New Roman"/>
          <w:sz w:val="18"/>
          <w:szCs w:val="18"/>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5"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w:t>
      </w:r>
      <w:r>
        <w:rPr>
          <w:rFonts w:ascii="Times New Roman" w:cs="Times New Roman" w:eastAsia="Times New Roman" w:hAnsi="Times New Roman"/>
          <w:sz w:val="18"/>
          <w:szCs w:val="18"/>
          <w:b w:val="1"/>
          <w:bCs w:val="1"/>
          <w:i w:val="1"/>
          <w:iCs w:val="1"/>
          <w:color w:val="auto"/>
        </w:rPr>
        <w:t>JTL</w:t>
      </w:r>
      <w:r>
        <w:rPr>
          <w:rFonts w:ascii="Times New Roman" w:cs="Times New Roman" w:eastAsia="Times New Roman" w:hAnsi="Times New Roman"/>
          <w:sz w:val="18"/>
          <w:szCs w:val="18"/>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w:t>
      </w:r>
      <w:r>
        <w:rPr>
          <w:rFonts w:ascii="Times New Roman" w:cs="Times New Roman" w:eastAsia="Times New Roman" w:hAnsi="Times New Roman"/>
          <w:sz w:val="18"/>
          <w:szCs w:val="18"/>
          <w:b w:val="1"/>
          <w:bCs w:val="1"/>
          <w:i w:val="1"/>
          <w:iCs w:val="1"/>
          <w:color w:val="auto"/>
        </w:rPr>
        <w:t>OXID</w:t>
      </w:r>
      <w:r>
        <w:rPr>
          <w:rFonts w:ascii="Times New Roman" w:cs="Times New Roman" w:eastAsia="Times New Roman" w:hAnsi="Times New Roman"/>
          <w:sz w:val="18"/>
          <w:szCs w:val="18"/>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w:t>
      </w:r>
      <w:r>
        <w:rPr>
          <w:rFonts w:ascii="Times New Roman" w:cs="Times New Roman" w:eastAsia="Times New Roman" w:hAnsi="Times New Roman"/>
          <w:sz w:val="18"/>
          <w:szCs w:val="18"/>
          <w:b w:val="1"/>
          <w:bCs w:val="1"/>
          <w:i w:val="1"/>
          <w:iCs w:val="1"/>
          <w:color w:val="auto"/>
        </w:rPr>
        <w:t>Chatwerk</w:t>
      </w:r>
      <w:r>
        <w:rPr>
          <w:rFonts w:ascii="Times New Roman" w:cs="Times New Roman" w:eastAsia="Times New Roman" w:hAnsi="Times New Roman"/>
          <w:sz w:val="18"/>
          <w:szCs w:val="18"/>
          <w:color w:val="auto"/>
        </w:rPr>
        <w:t>”) to purchase Rezolve’s products. Under the agreement, Chatwerk will receive 20% on all Rezolve services-based revenues generated by Chatwerk.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99" w:name="page100"/>
    <w:bookmarkEnd w:id="99"/>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August 30, 2024. The Company’s Amended and Restated Memorandum and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Age</w:t>
            </w:r>
          </w:p>
        </w:tc>
        <w:tc>
          <w:tcPr>
            <w:tcW w:w="51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9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91</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80</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64</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Derek Smith</w:t>
            </w:r>
          </w:p>
        </w:tc>
        <w:tc>
          <w:tcPr>
            <w:tcW w:w="1900" w:type="dxa"/>
            <w:vAlign w:val="bottom"/>
          </w:tcPr>
          <w:p>
            <w:pPr>
              <w:jc w:val="right"/>
              <w:ind w:right="1031"/>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51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Class II Director</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52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49</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51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ind w:right="100"/>
        <w:spacing w:after="0" w:line="282" w:lineRule="auto"/>
        <w:rPr>
          <w:sz w:val="20"/>
          <w:szCs w:val="20"/>
          <w:color w:val="auto"/>
        </w:rPr>
      </w:pPr>
      <w:r>
        <w:rPr>
          <w:rFonts w:ascii="Times New Roman" w:cs="Times New Roman" w:eastAsia="Times New Roman" w:hAnsi="Times New Roman"/>
          <w:sz w:val="18"/>
          <w:szCs w:val="18"/>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ind w:right="580"/>
        <w:spacing w:after="0" w:line="282" w:lineRule="auto"/>
        <w:rPr>
          <w:sz w:val="20"/>
          <w:szCs w:val="20"/>
          <w:color w:val="auto"/>
        </w:rPr>
      </w:pPr>
      <w:r>
        <w:rPr>
          <w:rFonts w:ascii="Times New Roman" w:cs="Times New Roman" w:eastAsia="Times New Roman" w:hAnsi="Times New Roman"/>
          <w:sz w:val="18"/>
          <w:szCs w:val="18"/>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900" w:right="34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right="280" w:hanging="383"/>
        <w:spacing w:after="0" w:line="261"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920" w:hanging="403"/>
        <w:spacing w:after="0"/>
        <w:tabs>
          <w:tab w:leader="none" w:pos="9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ind w:right="420"/>
        <w:spacing w:after="0" w:line="282" w:lineRule="auto"/>
        <w:rPr>
          <w:sz w:val="20"/>
          <w:szCs w:val="20"/>
          <w:color w:val="auto"/>
        </w:rPr>
      </w:pPr>
      <w:r>
        <w:rPr>
          <w:rFonts w:ascii="Times New Roman" w:cs="Times New Roman" w:eastAsia="Times New Roman" w:hAnsi="Times New Roman"/>
          <w:sz w:val="18"/>
          <w:szCs w:val="18"/>
          <w:color w:val="auto"/>
        </w:rPr>
        <w:t>directors and will serve until our annual meeting in 2026. Messrs. Dan Wagner and John Wagner are Class III directors and will serve until our annual meeting in 2027.</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22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900" w:right="26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900" w:hanging="383"/>
        <w:spacing w:after="0" w:line="266"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900" w:hanging="383"/>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cost of defense, settlement or payment of a judgment in some circumstances and insures us against our obligations to indemnify our officers and directors.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2022 was $2,213,626.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w:t>
      </w:r>
    </w:p>
    <w:p>
      <w:pPr>
        <w:spacing w:after="0" w:line="3" w:lineRule="exact"/>
        <w:rPr>
          <w:sz w:val="20"/>
          <w:szCs w:val="20"/>
          <w:color w:val="auto"/>
        </w:rPr>
      </w:pPr>
    </w:p>
    <w:p>
      <w:pPr>
        <w:ind w:right="20" w:firstLine="8"/>
        <w:spacing w:after="0" w:line="255" w:lineRule="auto"/>
        <w:tabs>
          <w:tab w:leader="none" w:pos="4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 Stephen Herbert)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900" w:right="80" w:hanging="383"/>
        <w:spacing w:after="0" w:line="261"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Ordinary Shares as of November 27, 2024:</w:t>
      </w:r>
    </w:p>
    <w:p>
      <w:pPr>
        <w:spacing w:after="0" w:line="117" w:lineRule="exact"/>
        <w:rPr>
          <w:sz w:val="20"/>
          <w:szCs w:val="20"/>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percentage of Ordinary Shares beneficially owned is computed on the basis of 172,182,769 Ordinary Shares outstanding as of November 27, 2024, after giving effect to the Business Combination, and does not include (i) 8,069,976 Ordinary Shares issuable upon the exercise of outstanding Warrants; (ii) 20,895,861 Ordinary Shares issuable upon the conversion of the Convertible Notes; (iii) 15,374,145 Ordinary Shares issuable pursuant to the advanced subscription agreements; (iv) 4,838,779 Ordinary Shares issuable pursuant to an agreement with </w:t>
      </w:r>
      <w:r>
        <w:rPr>
          <w:rFonts w:ascii="Times New Roman" w:cs="Times New Roman" w:eastAsia="Times New Roman" w:hAnsi="Times New Roman"/>
          <w:sz w:val="18"/>
          <w:szCs w:val="18"/>
          <w:color w:val="212529"/>
        </w:rPr>
        <w:t>YA II PN, LTD; (v) 1,071,429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issuable upon conversion of the YA Notes; (vii) 400,625 Ordinary Shares issuable pursuant to the Northland Note </w:t>
      </w:r>
      <w:r>
        <w:rPr>
          <w:rFonts w:ascii="Times New Roman" w:cs="Times New Roman" w:eastAsia="Times New Roman" w:hAnsi="Times New Roman"/>
          <w:sz w:val="18"/>
          <w:szCs w:val="18"/>
          <w:color w:val="000000"/>
        </w:rPr>
        <w:t>and (viii) 545,373 Ordinary Shares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issuable upon the conversion of the Promissory Notes (as defined herein). .</w:t>
      </w:r>
    </w:p>
    <w:p>
      <w:pPr>
        <w:spacing w:after="0" w:line="1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740" w:type="dxa"/>
            <w:vAlign w:val="bottom"/>
            <w:tcBorders>
              <w:top w:val="single" w:sz="8" w:color="auto"/>
              <w:left w:val="single" w:sz="8" w:color="auto"/>
              <w:bottom w:val="single" w:sz="8" w:color="auto"/>
              <w:right w:val="single" w:sz="8" w:color="auto"/>
            </w:tcBorders>
          </w:tcPr>
          <w:p>
            <w:pPr>
              <w:ind w:left="1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4"/>
                <w:szCs w:val="24"/>
                <w:i w:val="1"/>
                <w:iCs w:val="1"/>
                <w:color w:val="auto"/>
                <w:vertAlign w:val="superscript"/>
              </w:rPr>
              <w:t>(1)</w:t>
            </w:r>
          </w:p>
        </w:tc>
        <w:tc>
          <w:tcPr>
            <w:tcW w:w="1600" w:type="dxa"/>
            <w:vAlign w:val="bottom"/>
            <w:tcBorders>
              <w:top w:val="single" w:sz="8" w:color="auto"/>
              <w:bottom w:val="single" w:sz="8" w:color="auto"/>
            </w:tcBorders>
          </w:tcPr>
          <w:p>
            <w:pPr>
              <w:spacing w:after="0"/>
              <w:rPr>
                <w:sz w:val="22"/>
                <w:szCs w:val="22"/>
                <w:color w:val="auto"/>
              </w:rPr>
            </w:pPr>
          </w:p>
        </w:tc>
        <w:tc>
          <w:tcPr>
            <w:tcW w:w="2080" w:type="dxa"/>
            <w:vAlign w:val="bottom"/>
            <w:tcBorders>
              <w:top w:val="single" w:sz="8" w:color="auto"/>
              <w:bottom w:val="single" w:sz="8" w:color="auto"/>
              <w:right w:val="single" w:sz="8" w:color="auto"/>
            </w:tcBorders>
          </w:tcPr>
          <w:p>
            <w:pPr>
              <w:spacing w:after="0"/>
              <w:rPr>
                <w:sz w:val="22"/>
                <w:szCs w:val="22"/>
                <w:color w:val="auto"/>
              </w:rPr>
            </w:pPr>
          </w:p>
        </w:tc>
        <w:tc>
          <w:tcPr>
            <w:tcW w:w="3700" w:type="dxa"/>
            <w:vAlign w:val="bottom"/>
            <w:tcBorders>
              <w:top w:val="single" w:sz="8" w:color="auto"/>
              <w:bottom w:val="single" w:sz="8" w:color="auto"/>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93"/>
        </w:trPr>
        <w:tc>
          <w:tcPr>
            <w:tcW w:w="374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600" w:type="dxa"/>
            <w:vAlign w:val="bottom"/>
            <w:tcBorders>
              <w:bottom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Number of Shares</w:t>
            </w:r>
          </w:p>
        </w:tc>
        <w:tc>
          <w:tcPr>
            <w:tcW w:w="208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Pr>
          <w:p>
            <w:pPr>
              <w:spacing w:after="0"/>
              <w:rPr>
                <w:sz w:val="16"/>
                <w:szCs w:val="16"/>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Daniel Wagner</w:t>
            </w:r>
            <w:r>
              <w:rPr>
                <w:rFonts w:ascii="Times New Roman" w:cs="Times New Roman" w:eastAsia="Times New Roman" w:hAnsi="Times New Roman"/>
                <w:sz w:val="24"/>
                <w:szCs w:val="24"/>
                <w:i w:val="1"/>
                <w:iCs w:val="1"/>
                <w:color w:val="auto"/>
                <w:vertAlign w:val="superscript"/>
              </w:rPr>
              <w:t>(2)</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39,965,221</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John Wagner</w:t>
            </w:r>
            <w:r>
              <w:rPr>
                <w:rFonts w:ascii="Times New Roman" w:cs="Times New Roman" w:eastAsia="Times New Roman" w:hAnsi="Times New Roman"/>
                <w:sz w:val="24"/>
                <w:szCs w:val="24"/>
                <w:i w:val="1"/>
                <w:iCs w:val="1"/>
                <w:color w:val="auto"/>
                <w:vertAlign w:val="superscript"/>
              </w:rPr>
              <w:t>(3)</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36,082,705</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1,879,352</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564,935</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1,142,384</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Burchill</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Sauvik Banerjee</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45,565,901</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60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i w:val="1"/>
                <w:iCs w:val="1"/>
                <w:color w:val="auto"/>
                <w:vertAlign w:val="superscript"/>
              </w:rPr>
              <w:t>(4)</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35,266,716</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34,771,000</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15,170,676</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 Wickens</w:t>
            </w:r>
          </w:p>
        </w:tc>
        <w:tc>
          <w:tcPr>
            <w:tcW w:w="1600" w:type="dxa"/>
            <w:vAlign w:val="bottom"/>
            <w:tcBorders>
              <w:bottom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9,138,778</w:t>
            </w:r>
            <w:r>
              <w:rPr>
                <w:rFonts w:ascii="Times New Roman" w:cs="Times New Roman" w:eastAsia="Times New Roman" w:hAnsi="Times New Roman"/>
                <w:sz w:val="24"/>
                <w:szCs w:val="24"/>
                <w:color w:val="auto"/>
                <w:vertAlign w:val="superscript"/>
              </w:rPr>
              <w:t>(5)</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600" w:type="dxa"/>
            <w:vAlign w:val="bottom"/>
            <w:tcBorders>
              <w:bottom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14,712,645</w:t>
            </w:r>
            <w:r>
              <w:rPr>
                <w:rFonts w:ascii="Times New Roman" w:cs="Times New Roman" w:eastAsia="Times New Roman" w:hAnsi="Times New Roman"/>
                <w:sz w:val="24"/>
                <w:szCs w:val="24"/>
                <w:color w:val="auto"/>
                <w:vertAlign w:val="superscript"/>
              </w:rPr>
              <w:t>(6)</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Cocoa Wagner</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9,955,060</w:t>
            </w:r>
          </w:p>
        </w:tc>
        <w:tc>
          <w:tcPr>
            <w:tcW w:w="20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8"/>
                <w:szCs w:val="18"/>
                <w:color w:val="auto"/>
              </w:rPr>
            </w:pPr>
          </w:p>
        </w:tc>
      </w:tr>
      <w:tr>
        <w:trPr>
          <w:trHeight w:val="939"/>
        </w:trPr>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101</w:t>
            </w: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85" w:lineRule="exact"/>
        <w:rPr>
          <w:sz w:val="20"/>
          <w:szCs w:val="20"/>
          <w:color w:val="auto"/>
        </w:rPr>
      </w:pPr>
    </w:p>
    <w:p>
      <w:pPr>
        <w:ind w:right="500" w:firstLine="8"/>
        <w:spacing w:after="0" w:line="282"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30" w:lineRule="exact"/>
        <w:rPr>
          <w:rFonts w:ascii="Times New Roman" w:cs="Times New Roman" w:eastAsia="Times New Roman" w:hAnsi="Times New Roman"/>
          <w:sz w:val="18"/>
          <w:szCs w:val="18"/>
          <w:color w:val="auto"/>
        </w:rPr>
      </w:pPr>
    </w:p>
    <w:p>
      <w:pPr>
        <w:ind w:firstLine="8"/>
        <w:spacing w:after="0" w:line="268"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and (ii) 35,266,716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Mr. Wagner and Mr. Wagner is a director of DBLP and therefore Mr. Wagner may be deemed to share voting and investment power over the shares held by DBLP.</w:t>
      </w:r>
    </w:p>
    <w:p>
      <w:pPr>
        <w:spacing w:after="0" w:line="134"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135" w:lineRule="exact"/>
        <w:rPr>
          <w:rFonts w:ascii="Times New Roman" w:cs="Times New Roman" w:eastAsia="Times New Roman" w:hAnsi="Times New Roman"/>
          <w:sz w:val="18"/>
          <w:szCs w:val="18"/>
          <w:color w:val="auto"/>
        </w:rPr>
      </w:pPr>
    </w:p>
    <w:p>
      <w:pPr>
        <w:ind w:right="460" w:firstLine="8"/>
        <w:spacing w:after="0" w:line="282" w:lineRule="auto"/>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13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7,897,913 Ordinary Shares and (ii) 1,240,865 Ordinary Shares currently held by Apeiron on Brad Wickens' behalf.</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(6</w:t>
        <w:tab/>
        <w:t>Based on the Schedule 13G filed by Apeiron on September 24, 2024.</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prospectus also relates to the resale by certain of the Selling Holders of up to 185,068,790 Ordinary Shares, consisting of (i) 122,655,854 Ordinary Shares; (ii) 569,982 Ordinary Shares issuable in respect of the Private Warrants; (iii) 39,612,603 Ordinary Shares issuable upon conversion of the Convertible Notes; (iv) 15,374,145 Ordinary Shares issuable pursuant to the advanced subscription agreements; (v) 4,838,779 Ordinary Shares issuable pursuant to the </w:t>
      </w:r>
      <w:r>
        <w:rPr>
          <w:rFonts w:ascii="Times New Roman" w:cs="Times New Roman" w:eastAsia="Times New Roman" w:hAnsi="Times New Roman"/>
          <w:sz w:val="18"/>
          <w:szCs w:val="18"/>
          <w:color w:val="212529"/>
        </w:rPr>
        <w:t>Second A&amp;R</w:t>
      </w:r>
      <w:r>
        <w:rPr>
          <w:rFonts w:ascii="Times New Roman" w:cs="Times New Roman" w:eastAsia="Times New Roman" w:hAnsi="Times New Roman"/>
          <w:sz w:val="18"/>
          <w:szCs w:val="18"/>
          <w:color w:val="auto"/>
        </w:rPr>
        <w:t xml:space="preserve"> YA Agreement; (vi) </w:t>
      </w:r>
      <w:r>
        <w:rPr>
          <w:rFonts w:ascii="Times New Roman" w:cs="Times New Roman" w:eastAsia="Times New Roman" w:hAnsi="Times New Roman"/>
          <w:sz w:val="18"/>
          <w:szCs w:val="18"/>
          <w:color w:val="212529"/>
        </w:rPr>
        <w:t>1,071,429 Ordinary Shares issuable upon conversion of the YA Notes</w:t>
      </w:r>
      <w:r>
        <w:rPr>
          <w:rFonts w:ascii="Times New Roman" w:cs="Times New Roman" w:eastAsia="Times New Roman" w:hAnsi="Times New Roman"/>
          <w:sz w:val="18"/>
          <w:szCs w:val="18"/>
          <w:color w:val="auto"/>
        </w:rPr>
        <w:t>; (vii) 400,625 Ordinary Shares issuable upon conversion of the Northland Note and (viii) and 545,373 Ordinary Shares issuable upon the conversion of the Promissory Notes.</w:t>
      </w:r>
    </w:p>
    <w:p>
      <w:pPr>
        <w:spacing w:after="0" w:line="183"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(and the Ordinary Shares issuable upon exercise of the Private Warrants and the conversion of the Rezolve Convertible Notes, the YA Note and the Promissory Notes),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percentage ownership prior to this offering on 172,182,769 Ordinary Shares outstanding as of November 27, 2024.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2" w:name="page113"/>
    <w:bookmarkEnd w:id="112"/>
    <w:p>
      <w:pPr>
        <w:ind w:right="520"/>
        <w:spacing w:after="0" w:line="282" w:lineRule="auto"/>
        <w:rPr>
          <w:sz w:val="20"/>
          <w:szCs w:val="20"/>
          <w:color w:val="auto"/>
        </w:rPr>
      </w:pPr>
      <w:r>
        <w:rPr>
          <w:rFonts w:ascii="Times New Roman" w:cs="Times New Roman" w:eastAsia="Times New Roman" w:hAnsi="Times New Roman"/>
          <w:sz w:val="18"/>
          <w:szCs w:val="18"/>
          <w:color w:val="auto"/>
        </w:rPr>
        <w:t>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2700" w:type="dxa"/>
            <w:vAlign w:val="bottom"/>
            <w:tcBorders>
              <w:top w:val="single" w:sz="8" w:color="auto"/>
              <w:left w:val="single" w:sz="8" w:color="auto"/>
              <w:right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520" w:type="dxa"/>
            <w:vAlign w:val="bottom"/>
            <w:tcBorders>
              <w:top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b w:val="1"/>
                <w:bCs w:val="1"/>
                <w:i w:val="1"/>
                <w:iCs w:val="1"/>
                <w:color w:val="auto"/>
                <w:vertAlign w:val="superscript"/>
              </w:rPr>
              <w:t>(1)</w:t>
            </w:r>
          </w:p>
        </w:tc>
        <w:tc>
          <w:tcPr>
            <w:tcW w:w="1840" w:type="dxa"/>
            <w:vAlign w:val="bottom"/>
            <w:tcBorders>
              <w:top w:val="single" w:sz="8" w:color="auto"/>
              <w:right w:val="single" w:sz="8" w:color="auto"/>
            </w:tcBorders>
          </w:tcPr>
          <w:p>
            <w:pPr>
              <w:spacing w:after="0"/>
              <w:rPr>
                <w:sz w:val="24"/>
                <w:szCs w:val="24"/>
                <w:color w:val="auto"/>
              </w:rPr>
            </w:pPr>
          </w:p>
        </w:tc>
      </w:tr>
      <w:tr>
        <w:trPr>
          <w:trHeight w:val="135"/>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r>
      <w:tr>
        <w:trPr>
          <w:trHeight w:val="150"/>
        </w:trPr>
        <w:tc>
          <w:tcPr>
            <w:tcW w:w="270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8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9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5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8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w:t>
            </w:r>
          </w:p>
        </w:tc>
      </w:tr>
      <w:tr>
        <w:trPr>
          <w:trHeight w:val="196"/>
        </w:trPr>
        <w:tc>
          <w:tcPr>
            <w:tcW w:w="27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9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5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After the Offered Shares are</w:t>
            </w:r>
          </w:p>
        </w:tc>
        <w:tc>
          <w:tcPr>
            <w:tcW w:w="1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the Offered Shares</w:t>
            </w:r>
          </w:p>
        </w:tc>
      </w:tr>
      <w:tr>
        <w:trPr>
          <w:trHeight w:val="321"/>
        </w:trPr>
        <w:tc>
          <w:tcPr>
            <w:tcW w:w="27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w:t>
            </w:r>
            <w:r>
              <w:rPr>
                <w:rFonts w:ascii="Times New Roman" w:cs="Times New Roman" w:eastAsia="Times New Roman" w:hAnsi="Times New Roman"/>
                <w:sz w:val="24"/>
                <w:szCs w:val="24"/>
                <w:b w:val="1"/>
                <w:bCs w:val="1"/>
                <w:i w:val="1"/>
                <w:iCs w:val="1"/>
                <w:color w:val="auto"/>
                <w:vertAlign w:val="superscript"/>
              </w:rPr>
              <w:t>(2)</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are Sold</w:t>
            </w:r>
          </w:p>
        </w:tc>
      </w:tr>
      <w:tr>
        <w:trPr>
          <w:trHeight w:val="140"/>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w:t>
            </w:r>
            <w:r>
              <w:rPr>
                <w:rFonts w:ascii="Times New Roman" w:cs="Times New Roman" w:eastAsia="Times New Roman" w:hAnsi="Times New Roman"/>
                <w:sz w:val="24"/>
                <w:szCs w:val="24"/>
                <w:color w:val="auto"/>
                <w:vertAlign w:val="superscript"/>
              </w:rPr>
              <w:t>(3)</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4,698,504</w:t>
            </w:r>
            <w:r>
              <w:rPr>
                <w:rFonts w:ascii="Times New Roman" w:cs="Times New Roman" w:eastAsia="Times New Roman" w:hAnsi="Times New Roman"/>
                <w:sz w:val="24"/>
                <w:szCs w:val="24"/>
                <w:color w:val="auto"/>
                <w:vertAlign w:val="superscript"/>
              </w:rPr>
              <w:t>(15)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Wagner</w:t>
            </w:r>
            <w:r>
              <w:rPr>
                <w:rFonts w:ascii="Times New Roman" w:cs="Times New Roman" w:eastAsia="Times New Roman" w:hAnsi="Times New Roman"/>
                <w:sz w:val="24"/>
                <w:szCs w:val="24"/>
                <w:color w:val="auto"/>
                <w:vertAlign w:val="superscript"/>
              </w:rPr>
              <w:t>(4)</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822,793</w:t>
            </w:r>
            <w:r>
              <w:rPr>
                <w:rFonts w:ascii="Times New Roman" w:cs="Times New Roman" w:eastAsia="Times New Roman" w:hAnsi="Times New Roman"/>
                <w:sz w:val="24"/>
                <w:szCs w:val="24"/>
                <w:color w:val="auto"/>
                <w:vertAlign w:val="superscript"/>
              </w:rPr>
              <w:t>(5) (15)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822,793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r>
              <w:rPr>
                <w:rFonts w:ascii="Times New Roman" w:cs="Times New Roman" w:eastAsia="Times New Roman" w:hAnsi="Times New Roman"/>
                <w:sz w:val="24"/>
                <w:szCs w:val="24"/>
                <w:color w:val="auto"/>
                <w:vertAlign w:val="superscript"/>
              </w:rPr>
              <w:t>(6)</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1,948,964</w:t>
            </w:r>
            <w:r>
              <w:rPr>
                <w:rFonts w:ascii="Times New Roman" w:cs="Times New Roman" w:eastAsia="Times New Roman" w:hAnsi="Times New Roman"/>
                <w:sz w:val="24"/>
                <w:szCs w:val="24"/>
                <w:color w:val="auto"/>
                <w:vertAlign w:val="superscript"/>
              </w:rPr>
              <w:t>(7)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1,948,964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r>
              <w:rPr>
                <w:rFonts w:ascii="Times New Roman" w:cs="Times New Roman" w:eastAsia="Times New Roman" w:hAnsi="Times New Roman"/>
                <w:sz w:val="24"/>
                <w:szCs w:val="24"/>
                <w:color w:val="auto"/>
                <w:vertAlign w:val="superscript"/>
              </w:rPr>
              <w:t>(8)</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r>
              <w:rPr>
                <w:rFonts w:ascii="Times New Roman" w:cs="Times New Roman" w:eastAsia="Times New Roman" w:hAnsi="Times New Roman"/>
                <w:sz w:val="24"/>
                <w:szCs w:val="24"/>
                <w:color w:val="auto"/>
                <w:vertAlign w:val="superscript"/>
              </w:rPr>
              <w:t>(9)</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715,723</w:t>
            </w:r>
            <w:r>
              <w:rPr>
                <w:rFonts w:ascii="Times New Roman" w:cs="Times New Roman" w:eastAsia="Times New Roman" w:hAnsi="Times New Roman"/>
                <w:sz w:val="24"/>
                <w:szCs w:val="24"/>
                <w:color w:val="auto"/>
                <w:vertAlign w:val="superscript"/>
              </w:rPr>
              <w:t>(10)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715,723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w:t>
            </w:r>
            <w:r>
              <w:rPr>
                <w:rFonts w:ascii="Times New Roman" w:cs="Times New Roman" w:eastAsia="Times New Roman" w:hAnsi="Times New Roman"/>
                <w:sz w:val="24"/>
                <w:szCs w:val="24"/>
                <w:color w:val="auto"/>
                <w:vertAlign w:val="superscript"/>
              </w:rPr>
              <w:t>(11)</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403,941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403,941</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r>
              <w:rPr>
                <w:rFonts w:ascii="Times New Roman" w:cs="Times New Roman" w:eastAsia="Times New Roman" w:hAnsi="Times New Roman"/>
                <w:sz w:val="24"/>
                <w:szCs w:val="24"/>
                <w:color w:val="auto"/>
                <w:vertAlign w:val="superscript"/>
              </w:rPr>
              <w:t>(12)</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298,436</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r>
              <w:rPr>
                <w:rFonts w:ascii="Times New Roman" w:cs="Times New Roman" w:eastAsia="Times New Roman" w:hAnsi="Times New Roman"/>
                <w:sz w:val="24"/>
                <w:szCs w:val="24"/>
                <w:color w:val="auto"/>
                <w:vertAlign w:val="superscript"/>
              </w:rPr>
              <w:t>(13)</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w:t>
            </w:r>
            <w:r>
              <w:rPr>
                <w:rFonts w:ascii="Times New Roman" w:cs="Times New Roman" w:eastAsia="Times New Roman" w:hAnsi="Times New Roman"/>
                <w:sz w:val="24"/>
                <w:szCs w:val="24"/>
                <w:color w:val="auto"/>
                <w:vertAlign w:val="superscript"/>
              </w:rPr>
              <w:t>(14)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(15)</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39,845,287</w:t>
            </w:r>
            <w:r>
              <w:rPr>
                <w:rFonts w:ascii="Times New Roman" w:cs="Times New Roman" w:eastAsia="Times New Roman" w:hAnsi="Times New Roman"/>
                <w:sz w:val="24"/>
                <w:szCs w:val="24"/>
                <w:color w:val="auto"/>
                <w:vertAlign w:val="superscript"/>
              </w:rPr>
              <w:t>(16)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39,845,287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r>
              <w:rPr>
                <w:rFonts w:ascii="Times New Roman" w:cs="Times New Roman" w:eastAsia="Times New Roman" w:hAnsi="Times New Roman"/>
                <w:sz w:val="24"/>
                <w:szCs w:val="24"/>
                <w:color w:val="auto"/>
                <w:vertAlign w:val="superscript"/>
              </w:rPr>
              <w:t>(17)</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35,913,857</w:t>
            </w:r>
            <w:r>
              <w:rPr>
                <w:rFonts w:ascii="Times New Roman" w:cs="Times New Roman" w:eastAsia="Times New Roman" w:hAnsi="Times New Roman"/>
                <w:sz w:val="24"/>
                <w:szCs w:val="24"/>
                <w:color w:val="auto"/>
                <w:vertAlign w:val="superscript"/>
              </w:rPr>
              <w:t>(18)</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35,913,857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Apeiron Investment Group</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32,973,312</w:t>
            </w:r>
            <w:r>
              <w:rPr>
                <w:rFonts w:ascii="Times New Roman" w:cs="Times New Roman" w:eastAsia="Times New Roman" w:hAnsi="Times New Roman"/>
                <w:sz w:val="22"/>
                <w:szCs w:val="22"/>
                <w:color w:val="auto"/>
                <w:vertAlign w:val="superscript"/>
              </w:rPr>
              <w:t>(20)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32,973,312</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Limited </w:t>
            </w:r>
            <w:r>
              <w:rPr>
                <w:rFonts w:ascii="Times New Roman" w:cs="Times New Roman" w:eastAsia="Times New Roman" w:hAnsi="Times New Roman"/>
                <w:sz w:val="24"/>
                <w:szCs w:val="24"/>
                <w:color w:val="auto"/>
                <w:vertAlign w:val="superscript"/>
              </w:rPr>
              <w:t>(19)</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YA II PN, Ltd. </w:t>
            </w:r>
            <w:r>
              <w:rPr>
                <w:rFonts w:ascii="Times New Roman" w:cs="Times New Roman" w:eastAsia="Times New Roman" w:hAnsi="Times New Roman"/>
                <w:sz w:val="24"/>
                <w:szCs w:val="24"/>
                <w:color w:val="auto"/>
                <w:vertAlign w:val="superscript"/>
              </w:rPr>
              <w:t>(21)</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6,210,200</w:t>
            </w:r>
            <w:r>
              <w:rPr>
                <w:rFonts w:ascii="Times New Roman" w:cs="Times New Roman" w:eastAsia="Times New Roman" w:hAnsi="Times New Roman"/>
                <w:sz w:val="24"/>
                <w:szCs w:val="24"/>
                <w:color w:val="auto"/>
                <w:vertAlign w:val="superscript"/>
              </w:rPr>
              <w:t>(22)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6,060,204</w:t>
            </w:r>
          </w:p>
        </w:tc>
        <w:tc>
          <w:tcPr>
            <w:tcW w:w="25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149,996</w:t>
            </w:r>
          </w:p>
        </w:tc>
        <w:tc>
          <w:tcPr>
            <w:tcW w:w="18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ACM Alameda Special Purpose</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45,634</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45,634</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w:t>
            </w:r>
            <w:r>
              <w:rPr>
                <w:rFonts w:ascii="Times New Roman" w:cs="Times New Roman" w:eastAsia="Times New Roman" w:hAnsi="Times New Roman"/>
                <w:sz w:val="24"/>
                <w:szCs w:val="24"/>
                <w:color w:val="auto"/>
                <w:vertAlign w:val="superscript"/>
              </w:rPr>
              <w:t>(23)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ACM Alamosa (Cayman) Holdco</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51,889</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51,889</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(24)</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ACM ASOF VII (Cayman)</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48,967</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48,967</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w:t>
            </w:r>
            <w:r>
              <w:rPr>
                <w:rFonts w:ascii="Times New Roman" w:cs="Times New Roman" w:eastAsia="Times New Roman" w:hAnsi="Times New Roman"/>
                <w:sz w:val="24"/>
                <w:szCs w:val="24"/>
                <w:color w:val="auto"/>
                <w:vertAlign w:val="superscript"/>
              </w:rPr>
              <w:t>(25)</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w:t>
            </w:r>
            <w:r>
              <w:rPr>
                <w:rFonts w:ascii="Times New Roman" w:cs="Times New Roman" w:eastAsia="Times New Roman" w:hAnsi="Times New Roman"/>
                <w:sz w:val="24"/>
                <w:szCs w:val="24"/>
                <w:color w:val="auto"/>
                <w:vertAlign w:val="superscript"/>
              </w:rPr>
              <w:t>(26)</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91,593</w:t>
            </w:r>
            <w:r>
              <w:rPr>
                <w:rFonts w:ascii="Times New Roman" w:cs="Times New Roman" w:eastAsia="Times New Roman" w:hAnsi="Times New Roman"/>
                <w:sz w:val="24"/>
                <w:szCs w:val="24"/>
                <w:color w:val="auto"/>
                <w:vertAlign w:val="superscript"/>
              </w:rPr>
              <w:t>(27)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24,480</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989,900</w:t>
            </w:r>
            <w:r>
              <w:rPr>
                <w:rFonts w:ascii="Times New Roman" w:cs="Times New Roman" w:eastAsia="Times New Roman" w:hAnsi="Times New Roman"/>
                <w:sz w:val="24"/>
                <w:szCs w:val="24"/>
                <w:color w:val="auto"/>
                <w:vertAlign w:val="superscript"/>
              </w:rPr>
              <w:t>(28)</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10,714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979,186</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Antara Capital Total Return</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265,483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131,250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134,233</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SPAC</w:t>
            </w:r>
            <w:r>
              <w:rPr>
                <w:rFonts w:ascii="Times New Roman" w:cs="Times New Roman" w:eastAsia="Times New Roman" w:hAnsi="Times New Roman"/>
                <w:sz w:val="24"/>
                <w:szCs w:val="24"/>
                <w:color w:val="auto"/>
                <w:vertAlign w:val="superscript"/>
              </w:rPr>
              <w:t>(29)</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w:t>
            </w:r>
            <w:r>
              <w:rPr>
                <w:rFonts w:ascii="Times New Roman" w:cs="Times New Roman" w:eastAsia="Times New Roman" w:hAnsi="Times New Roman"/>
                <w:sz w:val="24"/>
                <w:szCs w:val="24"/>
                <w:color w:val="auto"/>
                <w:vertAlign w:val="superscript"/>
              </w:rPr>
              <w:t>(30)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AQR Absolute Return Master</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13,750</w:t>
            </w:r>
            <w:r>
              <w:rPr>
                <w:rFonts w:ascii="Times New Roman" w:cs="Times New Roman" w:eastAsia="Times New Roman" w:hAnsi="Times New Roman"/>
                <w:sz w:val="22"/>
                <w:szCs w:val="22"/>
                <w:color w:val="auto"/>
                <w:vertAlign w:val="superscript"/>
              </w:rPr>
              <w:t>(32)</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4,125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9,625</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Account, L.P. </w:t>
            </w:r>
            <w:r>
              <w:rPr>
                <w:rFonts w:ascii="Times New Roman" w:cs="Times New Roman" w:eastAsia="Times New Roman" w:hAnsi="Times New Roman"/>
                <w:sz w:val="24"/>
                <w:szCs w:val="24"/>
                <w:color w:val="auto"/>
                <w:vertAlign w:val="superscript"/>
              </w:rPr>
              <w:t>(31)</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AQR Diversified Arbitrage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84,041</w:t>
            </w:r>
            <w:r>
              <w:rPr>
                <w:rFonts w:ascii="Times New Roman" w:cs="Times New Roman" w:eastAsia="Times New Roman" w:hAnsi="Times New Roman"/>
                <w:sz w:val="22"/>
                <w:szCs w:val="22"/>
                <w:color w:val="auto"/>
                <w:vertAlign w:val="superscript"/>
              </w:rPr>
              <w:t>(34)</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19,875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64,166</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series of AQR Funds</w:t>
            </w:r>
            <w:r>
              <w:rPr>
                <w:rFonts w:ascii="Times New Roman" w:cs="Times New Roman" w:eastAsia="Times New Roman" w:hAnsi="Times New Roman"/>
                <w:sz w:val="24"/>
                <w:szCs w:val="24"/>
                <w:color w:val="auto"/>
                <w:vertAlign w:val="superscript"/>
              </w:rPr>
              <w:t>(33)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AQR Global Alternative</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62,857</w:t>
            </w:r>
            <w:r>
              <w:rPr>
                <w:rFonts w:ascii="Times New Roman" w:cs="Times New Roman" w:eastAsia="Times New Roman" w:hAnsi="Times New Roman"/>
                <w:sz w:val="24"/>
                <w:szCs w:val="24"/>
                <w:color w:val="auto"/>
                <w:vertAlign w:val="superscript"/>
              </w:rPr>
              <w:t>(36)</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18,857</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44,000</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270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Investment Offshore Fund,</w:t>
            </w:r>
          </w:p>
        </w:tc>
        <w:tc>
          <w:tcPr>
            <w:tcW w:w="21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(35)</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w:t>
            </w:r>
            <w:r>
              <w:rPr>
                <w:rFonts w:ascii="Times New Roman" w:cs="Times New Roman" w:eastAsia="Times New Roman" w:hAnsi="Times New Roman"/>
                <w:sz w:val="24"/>
                <w:szCs w:val="24"/>
                <w:color w:val="auto"/>
                <w:vertAlign w:val="superscript"/>
              </w:rPr>
              <w:t>(37)</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1,274,429</w:t>
            </w:r>
            <w:r>
              <w:rPr>
                <w:rFonts w:ascii="Times New Roman" w:cs="Times New Roman" w:eastAsia="Times New Roman" w:hAnsi="Times New Roman"/>
                <w:sz w:val="24"/>
                <w:szCs w:val="24"/>
                <w:color w:val="auto"/>
                <w:vertAlign w:val="superscript"/>
              </w:rPr>
              <w:t>(38)</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82,094</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1,192,335</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ASJC Global LLC - Series 14 </w:t>
            </w:r>
            <w:r>
              <w:rPr>
                <w:rFonts w:ascii="Times New Roman" w:cs="Times New Roman" w:eastAsia="Times New Roman" w:hAnsi="Times New Roman"/>
                <w:sz w:val="24"/>
                <w:szCs w:val="24"/>
                <w:color w:val="auto"/>
                <w:vertAlign w:val="superscript"/>
              </w:rPr>
              <w:t>(39)</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1,036,863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1,036,863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104</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21"/>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Atalaya Special Purpose</w:t>
            </w:r>
          </w:p>
        </w:tc>
        <w:tc>
          <w:tcPr>
            <w:tcW w:w="21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35,177</w:t>
            </w:r>
          </w:p>
        </w:tc>
        <w:tc>
          <w:tcPr>
            <w:tcW w:w="1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35,177</w:t>
            </w:r>
          </w:p>
        </w:tc>
        <w:tc>
          <w:tcPr>
            <w:tcW w:w="2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w:t>
            </w:r>
            <w:r>
              <w:rPr>
                <w:rFonts w:ascii="Times New Roman" w:cs="Times New Roman" w:eastAsia="Times New Roman" w:hAnsi="Times New Roman"/>
                <w:sz w:val="24"/>
                <w:szCs w:val="24"/>
                <w:color w:val="auto"/>
                <w:vertAlign w:val="superscript"/>
              </w:rPr>
              <w:t>(40)</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60"/>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Berenberg Capital Markets LLC</w:t>
            </w:r>
          </w:p>
        </w:tc>
        <w:tc>
          <w:tcPr>
            <w:tcW w:w="2180" w:type="dxa"/>
            <w:vAlign w:val="bottom"/>
            <w:tcBorders>
              <w:bottom w:val="single" w:sz="8" w:color="auto"/>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24"/>
                <w:szCs w:val="24"/>
                <w:color w:val="auto"/>
                <w:vertAlign w:val="superscript"/>
              </w:rPr>
              <w:t>(41)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Boston Patriot Merrimack ST.</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29,495</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29,495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2"/>
                <w:szCs w:val="12"/>
                <w:color w:val="auto"/>
              </w:rPr>
              <w:t>(42)</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12,544,460</w:t>
            </w:r>
            <w:r>
              <w:rPr>
                <w:rFonts w:ascii="Times New Roman" w:cs="Times New Roman" w:eastAsia="Times New Roman" w:hAnsi="Times New Roman"/>
                <w:sz w:val="24"/>
                <w:szCs w:val="24"/>
                <w:color w:val="auto"/>
                <w:vertAlign w:val="superscript"/>
              </w:rPr>
              <w:t>(43)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12,544,460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24,470,676</w:t>
            </w:r>
            <w:r>
              <w:rPr>
                <w:rFonts w:ascii="Times New Roman" w:cs="Times New Roman" w:eastAsia="Times New Roman" w:hAnsi="Times New Roman"/>
                <w:sz w:val="24"/>
                <w:szCs w:val="24"/>
                <w:color w:val="auto"/>
                <w:vertAlign w:val="superscript"/>
              </w:rPr>
              <w:t>(44)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24,470,676</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Cantor Fitzgerald &amp; Co</w:t>
            </w:r>
            <w:r>
              <w:rPr>
                <w:rFonts w:ascii="Times New Roman" w:cs="Times New Roman" w:eastAsia="Times New Roman" w:hAnsi="Times New Roman"/>
                <w:sz w:val="24"/>
                <w:szCs w:val="24"/>
                <w:color w:val="auto"/>
                <w:vertAlign w:val="superscript"/>
              </w:rPr>
              <w:t>(45)</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1,930,036</w:t>
            </w:r>
            <w:r>
              <w:rPr>
                <w:rFonts w:ascii="Times New Roman" w:cs="Times New Roman" w:eastAsia="Times New Roman" w:hAnsi="Times New Roman"/>
                <w:sz w:val="24"/>
                <w:szCs w:val="24"/>
                <w:color w:val="auto"/>
                <w:vertAlign w:val="superscript"/>
              </w:rPr>
              <w:t>(46)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1,930,036</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w:t>
            </w:r>
            <w:r>
              <w:rPr>
                <w:rFonts w:ascii="Times New Roman" w:cs="Times New Roman" w:eastAsia="Times New Roman" w:hAnsi="Times New Roman"/>
                <w:sz w:val="24"/>
                <w:szCs w:val="24"/>
                <w:color w:val="auto"/>
                <w:vertAlign w:val="superscript"/>
              </w:rPr>
              <w:t>(47)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w:t>
            </w:r>
            <w:r>
              <w:rPr>
                <w:rFonts w:ascii="Times New Roman" w:cs="Times New Roman" w:eastAsia="Times New Roman" w:hAnsi="Times New Roman"/>
                <w:sz w:val="24"/>
                <w:szCs w:val="24"/>
                <w:color w:val="auto"/>
                <w:vertAlign w:val="superscript"/>
              </w:rPr>
              <w:t>(48)</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Cohen &amp; Company Financial</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7"/>
                <w:szCs w:val="17"/>
                <w:color w:val="auto"/>
              </w:rPr>
              <w:t>12,579,532</w:t>
            </w:r>
            <w:r>
              <w:rPr>
                <w:rFonts w:ascii="Times New Roman" w:cs="Times New Roman" w:eastAsia="Times New Roman" w:hAnsi="Times New Roman"/>
                <w:sz w:val="22"/>
                <w:szCs w:val="22"/>
                <w:color w:val="auto"/>
                <w:vertAlign w:val="superscript"/>
              </w:rPr>
              <w:t>(50)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4"/>
                <w:szCs w:val="24"/>
                <w:color w:val="auto"/>
                <w:vertAlign w:val="superscript"/>
              </w:rPr>
              <w:t>(49)</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w:t>
            </w:r>
            <w:r>
              <w:rPr>
                <w:rFonts w:ascii="Times New Roman" w:cs="Times New Roman" w:eastAsia="Times New Roman" w:hAnsi="Times New Roman"/>
                <w:sz w:val="24"/>
                <w:szCs w:val="24"/>
                <w:color w:val="auto"/>
                <w:vertAlign w:val="superscript"/>
              </w:rPr>
              <w:t>(51)</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494,203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494,203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Context Partners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131,250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131,250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(52)</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Corbin ERISA Opportunity</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24,583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24,583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Fund, Ltd. </w:t>
            </w:r>
            <w:r>
              <w:rPr>
                <w:rFonts w:ascii="Times New Roman" w:cs="Times New Roman" w:eastAsia="Times New Roman" w:hAnsi="Times New Roman"/>
                <w:sz w:val="24"/>
                <w:szCs w:val="24"/>
                <w:color w:val="auto"/>
                <w:vertAlign w:val="superscript"/>
              </w:rPr>
              <w:t>(53)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Julius Meller Management</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12,857</w:t>
            </w:r>
            <w:r>
              <w:rPr>
                <w:rFonts w:ascii="Times New Roman" w:cs="Times New Roman" w:eastAsia="Times New Roman" w:hAnsi="Times New Roman"/>
                <w:sz w:val="24"/>
                <w:szCs w:val="24"/>
                <w:color w:val="auto"/>
                <w:vertAlign w:val="superscript"/>
              </w:rPr>
              <w:t>(54)</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12,857</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Services LTD</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w:t>
            </w:r>
            <w:r>
              <w:rPr>
                <w:rFonts w:ascii="Times New Roman" w:cs="Times New Roman" w:eastAsia="Times New Roman" w:hAnsi="Times New Roman"/>
                <w:sz w:val="24"/>
                <w:szCs w:val="24"/>
                <w:color w:val="auto"/>
                <w:vertAlign w:val="superscript"/>
              </w:rPr>
              <w:t>(55)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w:t>
            </w:r>
            <w:r>
              <w:rPr>
                <w:rFonts w:ascii="Times New Roman" w:cs="Times New Roman" w:eastAsia="Times New Roman" w:hAnsi="Times New Roman"/>
                <w:sz w:val="24"/>
                <w:szCs w:val="24"/>
                <w:color w:val="auto"/>
                <w:vertAlign w:val="superscript"/>
              </w:rPr>
              <w:t>(56)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w:t>
            </w:r>
            <w:r>
              <w:rPr>
                <w:rFonts w:ascii="Times New Roman" w:cs="Times New Roman" w:eastAsia="Times New Roman" w:hAnsi="Times New Roman"/>
                <w:sz w:val="24"/>
                <w:szCs w:val="24"/>
                <w:color w:val="auto"/>
                <w:vertAlign w:val="superscript"/>
              </w:rPr>
              <w:t>(57)</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w:t>
            </w:r>
            <w:r>
              <w:rPr>
                <w:rFonts w:ascii="Times New Roman" w:cs="Times New Roman" w:eastAsia="Times New Roman" w:hAnsi="Times New Roman"/>
                <w:sz w:val="24"/>
                <w:szCs w:val="24"/>
                <w:color w:val="auto"/>
                <w:vertAlign w:val="superscript"/>
              </w:rPr>
              <w:t>(58)</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w:t>
            </w:r>
            <w:r>
              <w:rPr>
                <w:rFonts w:ascii="Times New Roman" w:cs="Times New Roman" w:eastAsia="Times New Roman" w:hAnsi="Times New Roman"/>
                <w:sz w:val="24"/>
                <w:szCs w:val="24"/>
                <w:color w:val="auto"/>
                <w:vertAlign w:val="superscript"/>
              </w:rPr>
              <w:t>(59)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EarlyBirdCapital, Inc.</w:t>
            </w:r>
            <w:r>
              <w:rPr>
                <w:rFonts w:ascii="Times New Roman" w:cs="Times New Roman" w:eastAsia="Times New Roman" w:hAnsi="Times New Roman"/>
                <w:sz w:val="24"/>
                <w:szCs w:val="24"/>
                <w:color w:val="auto"/>
                <w:vertAlign w:val="superscript"/>
              </w:rPr>
              <w:t>(60)</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162,500</w:t>
            </w:r>
            <w:r>
              <w:rPr>
                <w:rFonts w:ascii="Times New Roman" w:cs="Times New Roman" w:eastAsia="Times New Roman" w:hAnsi="Times New Roman"/>
                <w:sz w:val="24"/>
                <w:szCs w:val="24"/>
                <w:color w:val="auto"/>
                <w:vertAlign w:val="superscript"/>
              </w:rPr>
              <w:t>(61)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162,500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w:t>
            </w:r>
            <w:r>
              <w:rPr>
                <w:rFonts w:ascii="Times New Roman" w:cs="Times New Roman" w:eastAsia="Times New Roman" w:hAnsi="Times New Roman"/>
                <w:sz w:val="24"/>
                <w:szCs w:val="24"/>
                <w:color w:val="auto"/>
                <w:vertAlign w:val="superscript"/>
              </w:rPr>
              <w:t>(62)</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24"/>
                <w:szCs w:val="24"/>
                <w:color w:val="auto"/>
                <w:vertAlign w:val="superscript"/>
              </w:rPr>
              <w:t>(63)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w:t>
            </w:r>
            <w:r>
              <w:rPr>
                <w:rFonts w:ascii="Times New Roman" w:cs="Times New Roman" w:eastAsia="Times New Roman" w:hAnsi="Times New Roman"/>
                <w:sz w:val="24"/>
                <w:szCs w:val="24"/>
                <w:color w:val="auto"/>
                <w:vertAlign w:val="superscript"/>
              </w:rPr>
              <w:t>(64)</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w:t>
            </w:r>
            <w:r>
              <w:rPr>
                <w:rFonts w:ascii="Times New Roman" w:cs="Times New Roman" w:eastAsia="Times New Roman" w:hAnsi="Times New Roman"/>
                <w:sz w:val="24"/>
                <w:szCs w:val="24"/>
                <w:color w:val="auto"/>
                <w:vertAlign w:val="superscript"/>
              </w:rPr>
              <w:t>(65)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9,122</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9,122</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4"/>
                <w:szCs w:val="24"/>
                <w:color w:val="auto"/>
                <w:vertAlign w:val="superscript"/>
              </w:rPr>
              <w:t>(66)</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15,414</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15,414</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III, LP</w:t>
            </w:r>
            <w:r>
              <w:rPr>
                <w:rFonts w:ascii="Times New Roman" w:cs="Times New Roman" w:eastAsia="Times New Roman" w:hAnsi="Times New Roman"/>
                <w:sz w:val="24"/>
                <w:szCs w:val="24"/>
                <w:color w:val="auto"/>
                <w:vertAlign w:val="superscript"/>
              </w:rPr>
              <w:t>(67)</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Fir Tree Value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14,048</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14,048</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(68)</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FT SOF XIII (SPAC) Holdings,</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6,921</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6,921</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2"/>
                <w:szCs w:val="12"/>
                <w:color w:val="auto"/>
              </w:rPr>
              <w:t>(69)</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Fujian Limatong XinXi Keji</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225,714</w:t>
            </w:r>
            <w:r>
              <w:rPr>
                <w:rFonts w:ascii="Times New Roman" w:cs="Times New Roman" w:eastAsia="Times New Roman" w:hAnsi="Times New Roman"/>
                <w:sz w:val="24"/>
                <w:szCs w:val="24"/>
                <w:color w:val="auto"/>
                <w:vertAlign w:val="superscript"/>
              </w:rPr>
              <w:t>(70)</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225,714</w:t>
            </w: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3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Youxian Gongsi</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24"/>
                <w:szCs w:val="24"/>
                <w:color w:val="auto"/>
                <w:vertAlign w:val="superscript"/>
              </w:rPr>
              <w:t>(71)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Highbridge Tactical Credit</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59,775</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59,775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Master Fund, L.P. </w:t>
            </w:r>
            <w:r>
              <w:rPr>
                <w:rFonts w:ascii="Times New Roman" w:cs="Times New Roman" w:eastAsia="Times New Roman" w:hAnsi="Times New Roman"/>
                <w:sz w:val="24"/>
                <w:szCs w:val="24"/>
                <w:color w:val="auto"/>
                <w:vertAlign w:val="superscript"/>
              </w:rPr>
              <w:t>(72)</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Highbridge Tactical Credit</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15,225</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15,225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Institutional Fund Ltd.</w:t>
            </w:r>
            <w:r>
              <w:rPr>
                <w:rFonts w:ascii="Times New Roman" w:cs="Times New Roman" w:eastAsia="Times New Roman" w:hAnsi="Times New Roman"/>
                <w:sz w:val="24"/>
                <w:szCs w:val="24"/>
                <w:color w:val="auto"/>
                <w:vertAlign w:val="superscript"/>
              </w:rPr>
              <w:t>(73)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Jamie Beadle</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w:t>
            </w:r>
            <w:r>
              <w:rPr>
                <w:rFonts w:ascii="Times New Roman" w:cs="Times New Roman" w:eastAsia="Times New Roman" w:hAnsi="Times New Roman"/>
                <w:sz w:val="24"/>
                <w:szCs w:val="24"/>
                <w:color w:val="auto"/>
                <w:vertAlign w:val="superscript"/>
              </w:rPr>
              <w:t>(74)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425"/>
        </w:trPr>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105</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317"/>
        </w:trPr>
        <w:tc>
          <w:tcPr>
            <w:tcW w:w="27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J.V.B. Financial Group, LLC</w:t>
            </w:r>
          </w:p>
        </w:tc>
        <w:tc>
          <w:tcPr>
            <w:tcW w:w="21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1,888,888</w:t>
            </w:r>
            <w:r>
              <w:rPr>
                <w:rFonts w:ascii="Times New Roman" w:cs="Times New Roman" w:eastAsia="Times New Roman" w:hAnsi="Times New Roman"/>
                <w:sz w:val="24"/>
                <w:szCs w:val="24"/>
                <w:color w:val="auto"/>
                <w:vertAlign w:val="superscript"/>
              </w:rPr>
              <w:t>(75)</w:t>
            </w:r>
          </w:p>
        </w:tc>
        <w:tc>
          <w:tcPr>
            <w:tcW w:w="25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w:t>
            </w:r>
          </w:p>
        </w:tc>
        <w:tc>
          <w:tcPr>
            <w:tcW w:w="2180" w:type="dxa"/>
            <w:vAlign w:val="bottom"/>
            <w:tcBorders>
              <w:bottom w:val="single" w:sz="8" w:color="auto"/>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18"/>
                <w:szCs w:val="18"/>
                <w:color w:val="auto"/>
              </w:rPr>
              <w:t>23,517</w:t>
            </w:r>
            <w:r>
              <w:rPr>
                <w:rFonts w:ascii="Times New Roman" w:cs="Times New Roman" w:eastAsia="Times New Roman" w:hAnsi="Times New Roman"/>
                <w:sz w:val="24"/>
                <w:szCs w:val="24"/>
                <w:color w:val="auto"/>
                <w:vertAlign w:val="superscript"/>
              </w:rPr>
              <w:t>(76)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16,329</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7,188</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43,275</w:t>
            </w:r>
            <w:r>
              <w:rPr>
                <w:rFonts w:ascii="Times New Roman" w:cs="Times New Roman" w:eastAsia="Times New Roman" w:hAnsi="Times New Roman"/>
                <w:sz w:val="24"/>
                <w:szCs w:val="24"/>
                <w:color w:val="auto"/>
                <w:vertAlign w:val="superscript"/>
              </w:rPr>
              <w:t>(77)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43,275</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Kantor Investment Company</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79,785</w:t>
            </w:r>
            <w:r>
              <w:rPr>
                <w:rFonts w:ascii="Times New Roman" w:cs="Times New Roman" w:eastAsia="Times New Roman" w:hAnsi="Times New Roman"/>
                <w:sz w:val="24"/>
                <w:szCs w:val="24"/>
                <w:color w:val="auto"/>
                <w:vertAlign w:val="superscript"/>
              </w:rPr>
              <w:t>(78)</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69,785</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86,708</w:t>
            </w:r>
            <w:r>
              <w:rPr>
                <w:rFonts w:ascii="Times New Roman" w:cs="Times New Roman" w:eastAsia="Times New Roman" w:hAnsi="Times New Roman"/>
                <w:sz w:val="24"/>
                <w:szCs w:val="24"/>
                <w:color w:val="auto"/>
                <w:vertAlign w:val="superscript"/>
              </w:rPr>
              <w:t>(79)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65,279</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Kepos Alpha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155,000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155,000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4"/>
                <w:szCs w:val="24"/>
                <w:color w:val="auto"/>
                <w:vertAlign w:val="superscript"/>
              </w:rPr>
              <w:t>(80)</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Kepos Special Opportunities</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51,250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51,250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Master Fund L.P. </w:t>
            </w:r>
            <w:r>
              <w:rPr>
                <w:rFonts w:ascii="Times New Roman" w:cs="Times New Roman" w:eastAsia="Times New Roman" w:hAnsi="Times New Roman"/>
                <w:sz w:val="24"/>
                <w:szCs w:val="24"/>
                <w:color w:val="auto"/>
                <w:vertAlign w:val="superscript"/>
              </w:rPr>
              <w:t>(81)</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Northland Securities Inc.</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400,625</w:t>
            </w:r>
            <w:r>
              <w:rPr>
                <w:rFonts w:ascii="Times New Roman" w:cs="Times New Roman" w:eastAsia="Times New Roman" w:hAnsi="Times New Roman"/>
                <w:sz w:val="24"/>
                <w:szCs w:val="24"/>
                <w:color w:val="auto"/>
                <w:vertAlign w:val="superscript"/>
              </w:rPr>
              <w:t>(82)</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Capital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2,277</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2,277</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Constellation Fund II,</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14,140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14,140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Ltd.</w:t>
            </w:r>
            <w:r>
              <w:rPr>
                <w:rFonts w:ascii="Times New Roman" w:cs="Times New Roman" w:eastAsia="Times New Roman" w:hAnsi="Times New Roman"/>
                <w:sz w:val="12"/>
                <w:szCs w:val="12"/>
                <w:color w:val="auto"/>
              </w:rPr>
              <w:t xml:space="preserve"> (83)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Constellation Master</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44,075</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44,075</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Fund, Ltd. </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Discovery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1,587</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1,587</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Lake Credit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13,503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13,503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2"/>
                <w:szCs w:val="12"/>
                <w:color w:val="auto"/>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Magnetar SC Fund Ltd. </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11,592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11,592</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Structured Credit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16,052</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16,052</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Magnetar Xing He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17,323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17,323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w:t>
            </w:r>
            <w:r>
              <w:rPr>
                <w:rFonts w:ascii="Times New Roman" w:cs="Times New Roman" w:eastAsia="Times New Roman" w:hAnsi="Times New Roman"/>
                <w:sz w:val="24"/>
                <w:szCs w:val="24"/>
                <w:color w:val="auto"/>
                <w:vertAlign w:val="superscript"/>
              </w:rPr>
              <w:t>(84)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24"/>
                <w:szCs w:val="24"/>
                <w:color w:val="auto"/>
                <w:vertAlign w:val="superscript"/>
              </w:rPr>
              <w:t>(85)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Meteora Capital Partners, L.P. </w:t>
            </w:r>
            <w:r>
              <w:rPr>
                <w:rFonts w:ascii="Times New Roman" w:cs="Times New Roman" w:eastAsia="Times New Roman" w:hAnsi="Times New Roman"/>
                <w:sz w:val="24"/>
                <w:szCs w:val="24"/>
                <w:color w:val="auto"/>
                <w:vertAlign w:val="superscript"/>
              </w:rPr>
              <w:t>(86)</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w:t>
            </w:r>
            <w:r>
              <w:rPr>
                <w:rFonts w:ascii="Times New Roman" w:cs="Times New Roman" w:eastAsia="Times New Roman" w:hAnsi="Times New Roman"/>
                <w:sz w:val="24"/>
                <w:szCs w:val="24"/>
                <w:color w:val="auto"/>
                <w:vertAlign w:val="superscript"/>
              </w:rPr>
              <w:t>(87)</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Nautilus Master Fund, L.P. </w:t>
            </w:r>
            <w:r>
              <w:rPr>
                <w:rFonts w:ascii="Times New Roman" w:cs="Times New Roman" w:eastAsia="Times New Roman" w:hAnsi="Times New Roman"/>
                <w:sz w:val="24"/>
                <w:szCs w:val="24"/>
                <w:color w:val="auto"/>
                <w:vertAlign w:val="superscript"/>
              </w:rPr>
              <w:t>(88)</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106,000</w:t>
            </w:r>
            <w:r>
              <w:rPr>
                <w:rFonts w:ascii="Times New Roman" w:cs="Times New Roman" w:eastAsia="Times New Roman" w:hAnsi="Times New Roman"/>
                <w:sz w:val="24"/>
                <w:szCs w:val="24"/>
                <w:color w:val="auto"/>
                <w:vertAlign w:val="superscript"/>
              </w:rPr>
              <w:t>(89)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70,200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35,800</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w:t>
            </w:r>
            <w:r>
              <w:rPr>
                <w:rFonts w:ascii="Times New Roman" w:cs="Times New Roman" w:eastAsia="Times New Roman" w:hAnsi="Times New Roman"/>
                <w:sz w:val="24"/>
                <w:szCs w:val="24"/>
                <w:color w:val="auto"/>
                <w:vertAlign w:val="superscript"/>
              </w:rPr>
              <w:t>(90)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Polar Multi-Strategy Master</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1,086,250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1,086,250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4"/>
                <w:szCs w:val="24"/>
                <w:color w:val="auto"/>
                <w:vertAlign w:val="superscript"/>
              </w:rPr>
              <w:t>(91)</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Purpose Alternative Credit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7,898</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7,898</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Ltd</w:t>
            </w:r>
            <w:r>
              <w:rPr>
                <w:rFonts w:ascii="Times New Roman" w:cs="Times New Roman" w:eastAsia="Times New Roman" w:hAnsi="Times New Roman"/>
                <w:sz w:val="12"/>
                <w:szCs w:val="12"/>
                <w:color w:val="auto"/>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Purpose Alternative Credit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2,803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2,803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 LLC</w:t>
            </w:r>
            <w:r>
              <w:rPr>
                <w:rFonts w:ascii="Times New Roman" w:cs="Times New Roman" w:eastAsia="Times New Roman" w:hAnsi="Times New Roman"/>
                <w:sz w:val="24"/>
                <w:szCs w:val="24"/>
                <w:color w:val="auto"/>
                <w:vertAlign w:val="superscript"/>
              </w:rPr>
              <w:t>(83)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w:t>
            </w:r>
            <w:r>
              <w:rPr>
                <w:rFonts w:ascii="Times New Roman" w:cs="Times New Roman" w:eastAsia="Times New Roman" w:hAnsi="Times New Roman"/>
                <w:sz w:val="24"/>
                <w:szCs w:val="24"/>
                <w:color w:val="auto"/>
                <w:vertAlign w:val="superscript"/>
              </w:rPr>
              <w:t>(92)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Radcliffe SPAC Master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206,250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206,250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 xml:space="preserve"> (93)</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Jingquain Hou</w:t>
            </w:r>
            <w:r>
              <w:rPr>
                <w:rFonts w:ascii="Times New Roman" w:cs="Times New Roman" w:eastAsia="Times New Roman" w:hAnsi="Times New Roman"/>
                <w:sz w:val="24"/>
                <w:szCs w:val="24"/>
                <w:color w:val="auto"/>
                <w:vertAlign w:val="superscript"/>
              </w:rPr>
              <w:t>(94)</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r>
              <w:rPr>
                <w:rFonts w:ascii="Times New Roman" w:cs="Times New Roman" w:eastAsia="Times New Roman" w:hAnsi="Times New Roman"/>
                <w:sz w:val="24"/>
                <w:szCs w:val="24"/>
                <w:color w:val="auto"/>
                <w:vertAlign w:val="superscript"/>
              </w:rPr>
              <w:t>(95)</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RiverNorth Capital Partners,</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47,438</w:t>
            </w:r>
            <w:r>
              <w:rPr>
                <w:rFonts w:ascii="Times New Roman" w:cs="Times New Roman" w:eastAsia="Times New Roman" w:hAnsi="Times New Roman"/>
                <w:sz w:val="22"/>
                <w:szCs w:val="22"/>
                <w:color w:val="auto"/>
                <w:vertAlign w:val="superscript"/>
              </w:rPr>
              <w:t>(97)</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10,313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37,125</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left w:val="single" w:sz="8" w:color="auto"/>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(96)</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425"/>
        </w:trPr>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106</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221"/>
        </w:trPr>
        <w:tc>
          <w:tcPr>
            <w:tcW w:w="27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RiverNorth Institutional Partners,</w:t>
            </w:r>
          </w:p>
        </w:tc>
        <w:tc>
          <w:tcPr>
            <w:tcW w:w="2180" w:type="dxa"/>
            <w:vAlign w:val="bottom"/>
            <w:tcBorders>
              <w:top w:val="single" w:sz="8" w:color="auto"/>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18"/>
                <w:szCs w:val="18"/>
                <w:color w:val="auto"/>
              </w:rPr>
              <w:t>364,957</w:t>
            </w:r>
            <w:r>
              <w:rPr>
                <w:rFonts w:ascii="Times New Roman" w:cs="Times New Roman" w:eastAsia="Times New Roman" w:hAnsi="Times New Roman"/>
                <w:sz w:val="24"/>
                <w:szCs w:val="24"/>
                <w:color w:val="auto"/>
                <w:vertAlign w:val="superscript"/>
              </w:rPr>
              <w:t>(99)</w:t>
            </w:r>
          </w:p>
        </w:tc>
        <w:tc>
          <w:tcPr>
            <w:tcW w:w="19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92,812</w:t>
            </w:r>
          </w:p>
        </w:tc>
        <w:tc>
          <w:tcPr>
            <w:tcW w:w="2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272,145</w:t>
            </w:r>
          </w:p>
        </w:tc>
        <w:tc>
          <w:tcPr>
            <w:tcW w:w="1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700" w:type="dxa"/>
            <w:vAlign w:val="bottom"/>
            <w:tcBorders>
              <w:left w:val="single" w:sz="8" w:color="auto"/>
              <w:bottom w:val="single" w:sz="8" w:color="auto"/>
              <w:right w:val="single" w:sz="8" w:color="auto"/>
            </w:tcBorders>
          </w:tcPr>
          <w:p>
            <w:pPr>
              <w:ind w:left="120"/>
              <w:spacing w:after="0" w:line="291" w:lineRule="exact"/>
              <w:rPr>
                <w:sz w:val="20"/>
                <w:szCs w:val="20"/>
                <w:color w:val="auto"/>
              </w:rPr>
            </w:pPr>
            <w:r>
              <w:rPr>
                <w:rFonts w:ascii="Times New Roman" w:cs="Times New Roman" w:eastAsia="Times New Roman" w:hAnsi="Times New Roman"/>
                <w:sz w:val="33"/>
                <w:szCs w:val="33"/>
                <w:color w:val="auto"/>
                <w:vertAlign w:val="subscript"/>
              </w:rPr>
              <w:t>LP</w:t>
            </w:r>
            <w:r>
              <w:rPr>
                <w:rFonts w:ascii="Times New Roman" w:cs="Times New Roman" w:eastAsia="Times New Roman" w:hAnsi="Times New Roman"/>
                <w:sz w:val="12"/>
                <w:szCs w:val="12"/>
                <w:color w:val="auto"/>
              </w:rPr>
              <w:t>(98)</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81"/>
        </w:trPr>
        <w:tc>
          <w:tcPr>
            <w:tcW w:w="270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RiverNorth SPAC Arbitrage</w:t>
            </w:r>
          </w:p>
        </w:tc>
        <w:tc>
          <w:tcPr>
            <w:tcW w:w="218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6"/>
                <w:szCs w:val="16"/>
                <w:color w:val="auto"/>
              </w:rPr>
              <w:t>474,375</w:t>
            </w:r>
            <w:r>
              <w:rPr>
                <w:rFonts w:ascii="Times New Roman" w:cs="Times New Roman" w:eastAsia="Times New Roman" w:hAnsi="Times New Roman"/>
                <w:sz w:val="21"/>
                <w:szCs w:val="21"/>
                <w:color w:val="auto"/>
                <w:vertAlign w:val="superscript"/>
              </w:rPr>
              <w:t>(101)</w:t>
            </w:r>
          </w:p>
        </w:tc>
        <w:tc>
          <w:tcPr>
            <w:tcW w:w="198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103,125</w:t>
            </w:r>
          </w:p>
        </w:tc>
        <w:tc>
          <w:tcPr>
            <w:tcW w:w="25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371,250</w:t>
            </w:r>
          </w:p>
        </w:tc>
        <w:tc>
          <w:tcPr>
            <w:tcW w:w="18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4"/>
                <w:szCs w:val="24"/>
                <w:color w:val="auto"/>
                <w:vertAlign w:val="superscript"/>
              </w:rPr>
              <w:t>(100)</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 LLC</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4"/>
                <w:szCs w:val="24"/>
                <w:color w:val="auto"/>
                <w:vertAlign w:val="superscript"/>
              </w:rPr>
              <w:t>(102)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Rong Lin</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25,603</w:t>
            </w:r>
            <w:r>
              <w:rPr>
                <w:rFonts w:ascii="Times New Roman" w:cs="Times New Roman" w:eastAsia="Times New Roman" w:hAnsi="Times New Roman"/>
                <w:sz w:val="24"/>
                <w:szCs w:val="24"/>
                <w:color w:val="auto"/>
                <w:vertAlign w:val="superscript"/>
              </w:rPr>
              <w:t>(103)</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16,320</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137,832</w:t>
            </w:r>
            <w:r>
              <w:rPr>
                <w:rFonts w:ascii="Times New Roman" w:cs="Times New Roman" w:eastAsia="Times New Roman" w:hAnsi="Times New Roman"/>
                <w:sz w:val="24"/>
                <w:szCs w:val="24"/>
                <w:color w:val="auto"/>
                <w:vertAlign w:val="superscript"/>
              </w:rPr>
              <w:t>(104)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117,832</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Sandia Investment Management</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53,503</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53,503</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bottom w:val="single" w:sz="8" w:color="auto"/>
              <w:right w:val="single" w:sz="8" w:color="auto"/>
            </w:tcBorders>
          </w:tcPr>
          <w:p>
            <w:pPr>
              <w:ind w:left="120"/>
              <w:spacing w:after="0" w:line="295" w:lineRule="exact"/>
              <w:rPr>
                <w:sz w:val="20"/>
                <w:szCs w:val="20"/>
                <w:color w:val="auto"/>
              </w:rPr>
            </w:pPr>
            <w:r>
              <w:rPr>
                <w:rFonts w:ascii="Times New Roman" w:cs="Times New Roman" w:eastAsia="Times New Roman" w:hAnsi="Times New Roman"/>
                <w:sz w:val="34"/>
                <w:szCs w:val="34"/>
                <w:color w:val="auto"/>
                <w:vertAlign w:val="subscript"/>
              </w:rPr>
              <w:t>LP</w:t>
            </w:r>
            <w:r>
              <w:rPr>
                <w:rFonts w:ascii="Times New Roman" w:cs="Times New Roman" w:eastAsia="Times New Roman" w:hAnsi="Times New Roman"/>
                <w:sz w:val="12"/>
                <w:szCs w:val="12"/>
                <w:color w:val="auto"/>
              </w:rPr>
              <w:t>(105)</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3,372</w:t>
            </w:r>
            <w:r>
              <w:rPr>
                <w:rFonts w:ascii="Times New Roman" w:cs="Times New Roman" w:eastAsia="Times New Roman" w:hAnsi="Times New Roman"/>
                <w:sz w:val="24"/>
                <w:szCs w:val="24"/>
                <w:color w:val="auto"/>
                <w:vertAlign w:val="superscript"/>
              </w:rPr>
              <w:t>(106)</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35,155</w:t>
            </w:r>
            <w:r>
              <w:rPr>
                <w:rFonts w:ascii="Times New Roman" w:cs="Times New Roman" w:eastAsia="Times New Roman" w:hAnsi="Times New Roman"/>
                <w:sz w:val="24"/>
                <w:szCs w:val="24"/>
                <w:color w:val="auto"/>
                <w:vertAlign w:val="superscript"/>
              </w:rPr>
              <w:t>(107)</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35,155</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999,978</w:t>
            </w:r>
            <w:r>
              <w:rPr>
                <w:rFonts w:ascii="Times New Roman" w:cs="Times New Roman" w:eastAsia="Times New Roman" w:hAnsi="Times New Roman"/>
                <w:sz w:val="24"/>
                <w:szCs w:val="24"/>
                <w:color w:val="auto"/>
                <w:vertAlign w:val="superscript"/>
              </w:rPr>
              <w:t>(108)</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209,523</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790,455</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Techouts Solutions India Pvt ltd</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17,078</w:t>
            </w:r>
            <w:r>
              <w:rPr>
                <w:rFonts w:ascii="Times New Roman" w:cs="Times New Roman" w:eastAsia="Times New Roman" w:hAnsi="Times New Roman"/>
                <w:sz w:val="24"/>
                <w:szCs w:val="24"/>
                <w:color w:val="auto"/>
                <w:vertAlign w:val="superscript"/>
              </w:rPr>
              <w:t>(109)</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w:t>
            </w: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The K2 Principal Fund L.P. </w:t>
            </w:r>
            <w:r>
              <w:rPr>
                <w:rFonts w:ascii="Times New Roman" w:cs="Times New Roman" w:eastAsia="Times New Roman" w:hAnsi="Times New Roman"/>
                <w:sz w:val="24"/>
                <w:szCs w:val="24"/>
                <w:color w:val="auto"/>
                <w:vertAlign w:val="superscript"/>
              </w:rPr>
              <w:t>(110)</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184,825</w:t>
            </w:r>
            <w:r>
              <w:rPr>
                <w:rFonts w:ascii="Times New Roman" w:cs="Times New Roman" w:eastAsia="Times New Roman" w:hAnsi="Times New Roman"/>
                <w:sz w:val="24"/>
                <w:szCs w:val="24"/>
                <w:color w:val="auto"/>
                <w:vertAlign w:val="superscript"/>
              </w:rPr>
              <w:t>(111)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53,575</w:t>
            </w: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w:t>
            </w:r>
            <w:r>
              <w:rPr>
                <w:rFonts w:ascii="Times New Roman" w:cs="Times New Roman" w:eastAsia="Times New Roman" w:hAnsi="Times New Roman"/>
                <w:sz w:val="24"/>
                <w:szCs w:val="24"/>
                <w:color w:val="auto"/>
                <w:vertAlign w:val="superscript"/>
              </w:rPr>
              <w:t>(112)</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w:t>
            </w:r>
          </w:p>
        </w:tc>
        <w:tc>
          <w:tcPr>
            <w:tcW w:w="218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462,063</w:t>
            </w:r>
            <w:r>
              <w:rPr>
                <w:rFonts w:ascii="Times New Roman" w:cs="Times New Roman" w:eastAsia="Times New Roman" w:hAnsi="Times New Roman"/>
                <w:sz w:val="24"/>
                <w:szCs w:val="24"/>
                <w:color w:val="auto"/>
                <w:vertAlign w:val="superscript"/>
              </w:rPr>
              <w:t>(113)</w:t>
            </w:r>
          </w:p>
        </w:tc>
        <w:tc>
          <w:tcPr>
            <w:tcW w:w="1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440,634</w:t>
            </w:r>
          </w:p>
        </w:tc>
        <w:tc>
          <w:tcPr>
            <w:tcW w:w="1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Pension</w:t>
            </w:r>
          </w:p>
        </w:tc>
        <w:tc>
          <w:tcPr>
            <w:tcW w:w="21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27"/>
        </w:trPr>
        <w:tc>
          <w:tcPr>
            <w:tcW w:w="2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21,429</w:t>
            </w:r>
            <w:r>
              <w:rPr>
                <w:rFonts w:ascii="Times New Roman" w:cs="Times New Roman" w:eastAsia="Times New Roman" w:hAnsi="Times New Roman"/>
                <w:sz w:val="24"/>
                <w:szCs w:val="24"/>
                <w:color w:val="auto"/>
                <w:vertAlign w:val="superscript"/>
              </w:rPr>
              <w:t>(114)</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700" w:type="dxa"/>
            <w:vAlign w:val="bottom"/>
            <w:tcBorders>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Walleye Investments Fund LLC</w:t>
            </w:r>
          </w:p>
        </w:tc>
        <w:tc>
          <w:tcPr>
            <w:tcW w:w="21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7,166</w:t>
            </w:r>
          </w:p>
        </w:tc>
        <w:tc>
          <w:tcPr>
            <w:tcW w:w="19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7,166</w:t>
            </w:r>
          </w:p>
        </w:tc>
        <w:tc>
          <w:tcPr>
            <w:tcW w:w="25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2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(115)</w:t>
            </w:r>
          </w:p>
        </w:tc>
        <w:tc>
          <w:tcPr>
            <w:tcW w:w="218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r>
      <w:tr>
        <w:trPr>
          <w:trHeight w:val="61"/>
        </w:trPr>
        <w:tc>
          <w:tcPr>
            <w:tcW w:w="270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r>
      <w:tr>
        <w:trPr>
          <w:trHeight w:val="198"/>
        </w:trPr>
        <w:tc>
          <w:tcPr>
            <w:tcW w:w="27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Walleye Opportunities Master</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72,239</w:t>
            </w:r>
            <w:r>
              <w:rPr>
                <w:rFonts w:ascii="Times New Roman" w:cs="Times New Roman" w:eastAsia="Times New Roman" w:hAnsi="Times New Roman"/>
                <w:sz w:val="22"/>
                <w:szCs w:val="22"/>
                <w:color w:val="auto"/>
                <w:vertAlign w:val="superscript"/>
              </w:rPr>
              <w:t>(117)</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14,331</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57,908</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4"/>
                <w:szCs w:val="24"/>
                <w:color w:val="auto"/>
                <w:vertAlign w:val="superscript"/>
              </w:rPr>
              <w:t>(116)</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8"/>
        </w:trPr>
        <w:tc>
          <w:tcPr>
            <w:tcW w:w="270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Vellar Opportunities Fund</w:t>
            </w:r>
          </w:p>
        </w:tc>
        <w:tc>
          <w:tcPr>
            <w:tcW w:w="2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33,000</w:t>
            </w:r>
          </w:p>
        </w:tc>
        <w:tc>
          <w:tcPr>
            <w:tcW w:w="19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33,000</w:t>
            </w:r>
          </w:p>
        </w:tc>
        <w:tc>
          <w:tcPr>
            <w:tcW w:w="25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95"/>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Ltd.</w:t>
            </w:r>
            <w:r>
              <w:rPr>
                <w:rFonts w:ascii="Times New Roman" w:cs="Times New Roman" w:eastAsia="Times New Roman" w:hAnsi="Times New Roman"/>
                <w:sz w:val="24"/>
                <w:szCs w:val="24"/>
                <w:color w:val="auto"/>
                <w:vertAlign w:val="superscript"/>
              </w:rPr>
              <w:t>(118)</w:t>
            </w:r>
          </w:p>
        </w:tc>
        <w:tc>
          <w:tcPr>
            <w:tcW w:w="21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Yi-Han Pao</w:t>
            </w:r>
            <w:r>
              <w:rPr>
                <w:rFonts w:ascii="Times New Roman" w:cs="Times New Roman" w:eastAsia="Times New Roman" w:hAnsi="Times New Roman"/>
                <w:sz w:val="24"/>
                <w:szCs w:val="24"/>
                <w:color w:val="auto"/>
                <w:vertAlign w:val="superscript"/>
              </w:rPr>
              <w:t>(119)</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24"/>
                <w:szCs w:val="24"/>
                <w:color w:val="auto"/>
                <w:vertAlign w:val="superscript"/>
              </w:rPr>
              <w:t>(120)</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4"/>
                <w:szCs w:val="24"/>
                <w:color w:val="auto"/>
                <w:vertAlign w:val="superscript"/>
              </w:rPr>
              <w:t>(121)</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w:t>
            </w:r>
          </w:p>
        </w:tc>
        <w:tc>
          <w:tcPr>
            <w:tcW w:w="2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1,857</w:t>
            </w:r>
            <w:r>
              <w:rPr>
                <w:rFonts w:ascii="Times New Roman" w:cs="Times New Roman" w:eastAsia="Times New Roman" w:hAnsi="Times New Roman"/>
                <w:sz w:val="24"/>
                <w:szCs w:val="24"/>
                <w:color w:val="auto"/>
                <w:vertAlign w:val="superscript"/>
              </w:rPr>
              <w:t>(122)</w:t>
            </w:r>
          </w:p>
        </w:tc>
        <w:tc>
          <w:tcPr>
            <w:tcW w:w="1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underlying Warrants.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Daniel Wagner is the CEO and a director of Rezolve.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 Wagner is a director of Rezolve.</w:t>
      </w:r>
    </w:p>
    <w:p>
      <w:pPr>
        <w:spacing w:after="0" w:line="117"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815,989 Ordinary Shares; (ii) 2,835 Ordinary Shares, which is the maximum amount of Ordinary Shares issuable upon conversion of the Promissory Note held by Mr. Wagner, when converted at $7 per share; and (iii) 3,969 Ordinary Shares underlying the Private Warrants held by Mr. Wagner.</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Sharp is a director of Rezolve.</w:t>
      </w:r>
    </w:p>
    <w:p>
      <w:pPr>
        <w:spacing w:after="0" w:line="117" w:lineRule="exact"/>
        <w:rPr>
          <w:rFonts w:ascii="Times New Roman" w:cs="Times New Roman" w:eastAsia="Times New Roman" w:hAnsi="Times New Roman"/>
          <w:sz w:val="18"/>
          <w:szCs w:val="18"/>
          <w:color w:val="auto"/>
        </w:rPr>
      </w:pPr>
    </w:p>
    <w:p>
      <w:pPr>
        <w:ind w:left="380" w:right="160" w:hanging="372"/>
        <w:spacing w:after="0" w:line="261"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which is the maximum amount of Ordinary Shares issuable upon conversion of the Promissory Note held by Mr. Sharp, when converted at $7 per share; (iii) 42,441 Ordinary Shares, which is the maximum number of Ordinary Shares issuable upon the conversion of the Advance Subscription made by Mr. Sharp; and (iv) 15,850 Ordinary Shares underlying the Private Warrants held by Mr. Sharp.</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 David Wright is a director of Rezolve.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director of Rezolve.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6" w:name="page117"/>
    <w:bookmarkEnd w:id="116"/>
    <w:p>
      <w:pPr>
        <w:ind w:left="372" w:right="220" w:hanging="372"/>
        <w:spacing w:after="0" w:line="258"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9,071 Ordinary Shares, which is the maximum amount of Ordinary Shares issuable upon conversion of the Promissory Note held by Mr. Perry, when converted at $7 per share; (iii) 110,000 Ordinary Shares; which is the maximum number of Ordinary Shares issuable upon the conversion of the Advance Subscription made by Mr. Perry; (iv) 12,700 Ordinary Shares underlying the Private Warrants held by Mr. Perry; and (v) 19,017 Ordinary Shares, which is the maximum number of Ordinary Shares issuable upon conversion of the Convertible Note held by Mr. Perry.</w:t>
      </w:r>
    </w:p>
    <w:p>
      <w:pPr>
        <w:spacing w:after="0" w:line="75" w:lineRule="exact"/>
        <w:rPr>
          <w:rFonts w:ascii="Times New Roman" w:cs="Times New Roman" w:eastAsia="Times New Roman" w:hAnsi="Times New Roman"/>
          <w:sz w:val="18"/>
          <w:szCs w:val="18"/>
          <w:color w:val="auto"/>
        </w:rPr>
      </w:pPr>
    </w:p>
    <w:p>
      <w:pPr>
        <w:ind w:left="372" w:right="160" w:hanging="372"/>
        <w:spacing w:after="0" w:line="266"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w:t>
      </w:r>
    </w:p>
    <w:p>
      <w:pPr>
        <w:spacing w:after="0" w:line="67" w:lineRule="exact"/>
        <w:rPr>
          <w:rFonts w:ascii="Times New Roman" w:cs="Times New Roman" w:eastAsia="Times New Roman" w:hAnsi="Times New Roman"/>
          <w:sz w:val="18"/>
          <w:szCs w:val="18"/>
          <w:color w:val="auto"/>
        </w:rPr>
      </w:pPr>
    </w:p>
    <w:p>
      <w:pPr>
        <w:ind w:left="372" w:right="560" w:hanging="372"/>
        <w:spacing w:after="0" w:line="266"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Herbert is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6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Vesco is the Chief Commercial Officer and General Manager (EMEA) of Rezolve.</w:t>
      </w:r>
    </w:p>
    <w:p>
      <w:pPr>
        <w:spacing w:after="0" w:line="117" w:lineRule="exact"/>
        <w:rPr>
          <w:rFonts w:ascii="Times New Roman" w:cs="Times New Roman" w:eastAsia="Times New Roman" w:hAnsi="Times New Roman"/>
          <w:sz w:val="18"/>
          <w:szCs w:val="18"/>
          <w:color w:val="auto"/>
        </w:rPr>
      </w:pPr>
    </w:p>
    <w:p>
      <w:pPr>
        <w:ind w:left="372" w:right="500" w:hanging="372"/>
        <w:spacing w:after="0" w:line="282"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which is the maximum number of Ordinary Shares issuable upon the conversion of the Advance Subscription made by Mr. Vesco.</w:t>
      </w:r>
    </w:p>
    <w:p>
      <w:pPr>
        <w:spacing w:after="0" w:line="49" w:lineRule="exact"/>
        <w:rPr>
          <w:rFonts w:ascii="Times New Roman" w:cs="Times New Roman" w:eastAsia="Times New Roman" w:hAnsi="Times New Roman"/>
          <w:sz w:val="18"/>
          <w:szCs w:val="18"/>
          <w:color w:val="auto"/>
        </w:rPr>
      </w:pPr>
    </w:p>
    <w:p>
      <w:pPr>
        <w:ind w:left="372" w:right="20" w:hanging="372"/>
        <w:spacing w:after="0" w:line="268"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spacing w:after="0" w:line="66" w:lineRule="exact"/>
        <w:rPr>
          <w:rFonts w:ascii="Times New Roman" w:cs="Times New Roman" w:eastAsia="Times New Roman" w:hAnsi="Times New Roman"/>
          <w:sz w:val="18"/>
          <w:szCs w:val="18"/>
          <w:color w:val="auto"/>
        </w:rPr>
      </w:pPr>
    </w:p>
    <w:p>
      <w:pPr>
        <w:ind w:left="372" w:hanging="372"/>
        <w:spacing w:after="0" w:line="261"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35,266,716 Ordinary Shares; (ii) 178,571 Ordinary Shares, which is the maximum amount of Ordinary Shares issuable upon conversion of the Promissory Note held by DBLP, when converted at $7 per share; (iii) 4,150,000 Ordinary Shares, which is the maximum number of Ordinary Shares issuable upon the conversion of the Advance Subscription made by DBLP; and (iv) 250,000 Ordinary Shares underlying the Private Warrants held by DBLP.</w:t>
      </w:r>
    </w:p>
    <w:p>
      <w:pPr>
        <w:spacing w:after="0" w:line="71" w:lineRule="exact"/>
        <w:rPr>
          <w:rFonts w:ascii="Times New Roman" w:cs="Times New Roman" w:eastAsia="Times New Roman" w:hAnsi="Times New Roman"/>
          <w:sz w:val="18"/>
          <w:szCs w:val="18"/>
          <w:color w:val="auto"/>
        </w:rPr>
      </w:pPr>
    </w:p>
    <w:p>
      <w:pPr>
        <w:ind w:left="372" w:right="160" w:hanging="372"/>
        <w:spacing w:after="0" w:line="261"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71" w:lineRule="exact"/>
        <w:rPr>
          <w:rFonts w:ascii="Times New Roman" w:cs="Times New Roman" w:eastAsia="Times New Roman" w:hAnsi="Times New Roman"/>
          <w:sz w:val="18"/>
          <w:szCs w:val="18"/>
          <w:color w:val="auto"/>
        </w:rPr>
      </w:pPr>
    </w:p>
    <w:p>
      <w:pPr>
        <w:ind w:left="372" w:right="320" w:hanging="372"/>
        <w:spacing w:after="0" w:line="329" w:lineRule="auto"/>
        <w:tabs>
          <w:tab w:leader="none" w:pos="37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34,771,000 Ordinary Shares and (ii) 1,142,857 Ordinary Shares issuable upon conversion of the Convertible Note held by Mr. Lychagov. The aforementioned 1,142,857 Ordinary Shares figure accounts for only the principal amount of the loan and excludes accrued interest.</w:t>
      </w:r>
    </w:p>
    <w:p>
      <w:pPr>
        <w:spacing w:after="0" w:line="13" w:lineRule="exact"/>
        <w:rPr>
          <w:rFonts w:ascii="Times New Roman" w:cs="Times New Roman" w:eastAsia="Times New Roman" w:hAnsi="Times New Roman"/>
          <w:sz w:val="17"/>
          <w:szCs w:val="17"/>
          <w:color w:val="auto"/>
        </w:rPr>
      </w:pPr>
    </w:p>
    <w:p>
      <w:pPr>
        <w:ind w:left="372" w:right="440" w:hanging="372"/>
        <w:spacing w:after="0" w:line="268"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66" w:lineRule="exact"/>
        <w:rPr>
          <w:rFonts w:ascii="Times New Roman" w:cs="Times New Roman" w:eastAsia="Times New Roman" w:hAnsi="Times New Roman"/>
          <w:sz w:val="18"/>
          <w:szCs w:val="18"/>
          <w:color w:val="auto"/>
        </w:rPr>
      </w:pPr>
    </w:p>
    <w:p>
      <w:pPr>
        <w:ind w:left="372" w:right="120" w:hanging="372"/>
        <w:spacing w:after="0" w:line="253"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Schedule 13G filing on September 24, 2024, Apeiron reported beneficial ownership of 18,281,638 Ordinary Shares representing 10.4% of the class of Ordinary Shares, comprised of (i) 14,712,645 Ordinary Shares held beneficially and of record by Apeiron, (ii) 62,500 Ordinary Shares underlying currently exercisable warrants which Apeiron may be deemed to beneficially own, (iii) 3,173,160 Ordinary Shares that Apeiron has the right to acquire upon conversion of various convertible debt instruments which Apeiron may be deemed to beneficially own and (iv) 333,333 Ordinary Shares that Apeiron has the right to acquire pursuant to a contractual obligation with the Issuer which Apeiron may be deemed to beneficially own. The number of Ordinary Shares registered for resale by Apeiron pursuant to this Registration Statement has been calculated based on the aggregate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21,681,948 Ordinary Shares with respect to Ordinary Shares issuable upon potential conversion of the Convertible Note held by Apeiron. Excludes 1,240,865 Ordinary Shares held by Apeiron on Brad Wickens' behalf.</w:t>
      </w:r>
    </w:p>
    <w:p>
      <w:pPr>
        <w:spacing w:after="0" w:line="79" w:lineRule="exact"/>
        <w:rPr>
          <w:rFonts w:ascii="Times New Roman" w:cs="Times New Roman" w:eastAsia="Times New Roman" w:hAnsi="Times New Roman"/>
          <w:sz w:val="18"/>
          <w:szCs w:val="18"/>
          <w:color w:val="auto"/>
        </w:rPr>
      </w:pPr>
    </w:p>
    <w:p>
      <w:pPr>
        <w:jc w:val="both"/>
        <w:ind w:left="372" w:right="140" w:hanging="372"/>
        <w:spacing w:after="0" w:line="268"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is managed by Yorkville Advisors Global, LP (“</w:t>
      </w:r>
      <w:r>
        <w:rPr>
          <w:rFonts w:ascii="Times New Roman" w:cs="Times New Roman" w:eastAsia="Times New Roman" w:hAnsi="Times New Roman"/>
          <w:sz w:val="18"/>
          <w:szCs w:val="18"/>
          <w:b w:val="1"/>
          <w:bCs w:val="1"/>
          <w:i w:val="1"/>
          <w:iCs w:val="1"/>
          <w:color w:val="auto"/>
        </w:rPr>
        <w:t>Yorkville LP</w:t>
      </w:r>
      <w:r>
        <w:rPr>
          <w:rFonts w:ascii="Times New Roman" w:cs="Times New Roman" w:eastAsia="Times New Roman" w:hAnsi="Times New Roman"/>
          <w:sz w:val="18"/>
          <w:szCs w:val="18"/>
          <w:color w:val="auto"/>
        </w:rPr>
        <w:t>”). Yorkville Advisors Global II, LLC (“</w:t>
      </w:r>
      <w:r>
        <w:rPr>
          <w:rFonts w:ascii="Times New Roman" w:cs="Times New Roman" w:eastAsia="Times New Roman" w:hAnsi="Times New Roman"/>
          <w:sz w:val="18"/>
          <w:szCs w:val="18"/>
          <w:b w:val="1"/>
          <w:bCs w:val="1"/>
          <w:i w:val="1"/>
          <w:iCs w:val="1"/>
          <w:color w:val="auto"/>
        </w:rPr>
        <w:t>Yorkville LLC</w:t>
      </w:r>
      <w:r>
        <w:rPr>
          <w:rFonts w:ascii="Times New Roman" w:cs="Times New Roman" w:eastAsia="Times New Roman" w:hAnsi="Times New Roman"/>
          <w:sz w:val="18"/>
          <w:szCs w:val="18"/>
          <w:color w:val="auto"/>
        </w:rPr>
        <w:t>”) is the General Partner of Yorkville LP. All investment decisions for YA II PN, Ltd. are made by Yorkville LLC’s President and Managing Member, Mr. Mark Angelo. The business address of YA is 1012 Springfield Avenue, Mountainside, NJ 07092.</w:t>
      </w:r>
    </w:p>
    <w:p>
      <w:pPr>
        <w:spacing w:after="0" w:line="66" w:lineRule="exact"/>
        <w:rPr>
          <w:rFonts w:ascii="Times New Roman" w:cs="Times New Roman" w:eastAsia="Times New Roman" w:hAnsi="Times New Roman"/>
          <w:sz w:val="18"/>
          <w:szCs w:val="18"/>
          <w:color w:val="auto"/>
        </w:rPr>
      </w:pPr>
    </w:p>
    <w:p>
      <w:pPr>
        <w:ind w:left="372" w:right="80" w:hanging="372"/>
        <w:spacing w:after="0" w:line="266" w:lineRule="auto"/>
        <w:tabs>
          <w:tab w:leader="none" w:pos="3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149,996 Ordinary Shares directly held; (ii) 1,071,429 Ordinary Shares, which is the maximum amount of Ordinary Shares issuable upon conversion of the YA Notes by Yorkville, when converted at $7 per share; and (iii) 4,988,775 Ordinary Shares, which is the number of Ordinary Shares issuable upon a $50 million draw by the Company on the Second A&amp;R YA Agreement.</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17" w:name="page118"/>
    <w:bookmarkEnd w:id="117"/>
    <w:p>
      <w:pPr>
        <w:ind w:left="372" w:hanging="372"/>
        <w:spacing w:after="0"/>
        <w:tabs>
          <w:tab w:leader="none" w:pos="37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business address of ACM Almeda Special Purpose Investment Fund II LP is One Rockefeller Center,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7"/>
          <w:szCs w:val="17"/>
          <w:color w:val="auto"/>
        </w:rPr>
        <w:t xml:space="preserve"> Floor, New York, NY 10020.</w:t>
      </w:r>
    </w:p>
    <w:p>
      <w:pPr>
        <w:spacing w:after="0" w:line="75" w:lineRule="exact"/>
        <w:rPr>
          <w:rFonts w:ascii="Times New Roman" w:cs="Times New Roman" w:eastAsia="Times New Roman" w:hAnsi="Times New Roman"/>
          <w:sz w:val="17"/>
          <w:szCs w:val="17"/>
          <w:color w:val="auto"/>
        </w:rPr>
      </w:pPr>
    </w:p>
    <w:p>
      <w:pPr>
        <w:ind w:left="372" w:right="340" w:hanging="372"/>
        <w:spacing w:after="0" w:line="281"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Ivan Zinn may be deemed to share beneficial ownership of the securities beneficially owned by ACM Alamosa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Alamosa</w:t>
      </w:r>
      <w:r>
        <w:rPr>
          <w:rFonts w:ascii="Times New Roman" w:cs="Times New Roman" w:eastAsia="Times New Roman" w:hAnsi="Times New Roman"/>
          <w:sz w:val="18"/>
          <w:szCs w:val="18"/>
          <w:color w:val="auto"/>
        </w:rPr>
        <w:t>”).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Floor, New York, NY 10020.</w:t>
      </w:r>
    </w:p>
    <w:p>
      <w:pPr>
        <w:spacing w:after="0" w:line="1" w:lineRule="exact"/>
        <w:rPr>
          <w:rFonts w:ascii="Times New Roman" w:cs="Times New Roman" w:eastAsia="Times New Roman" w:hAnsi="Times New Roman"/>
          <w:sz w:val="18"/>
          <w:szCs w:val="18"/>
          <w:color w:val="auto"/>
        </w:rPr>
      </w:pPr>
    </w:p>
    <w:p>
      <w:pPr>
        <w:ind w:left="372" w:right="220" w:hanging="372"/>
        <w:spacing w:after="0" w:line="283"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Ivan Zinn may be deemed to share beneficial ownership of the securities beneficially owned by ACM ASOF VII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ASOF</w:t>
      </w:r>
      <w:r>
        <w:rPr>
          <w:rFonts w:ascii="Times New Roman" w:cs="Times New Roman" w:eastAsia="Times New Roman" w:hAnsi="Times New Roman"/>
          <w:sz w:val="18"/>
          <w:szCs w:val="18"/>
          <w:color w:val="auto"/>
        </w:rPr>
        <w:t>”).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Floor, New York, NY 10020.</w:t>
      </w:r>
    </w:p>
    <w:p>
      <w:pPr>
        <w:spacing w:after="0" w:line="1"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Krupczynski is a long-term employee of Rezolve and currently holds an active employment contract with the Company. The principal business address for Mr. Krupczynski is Przy Agorze 26/191, 01-930 Warsaw, Poland.</w:t>
      </w:r>
    </w:p>
    <w:p>
      <w:pPr>
        <w:spacing w:after="0" w:line="53" w:lineRule="exact"/>
        <w:rPr>
          <w:rFonts w:ascii="Times New Roman" w:cs="Times New Roman" w:eastAsia="Times New Roman" w:hAnsi="Times New Roman"/>
          <w:sz w:val="18"/>
          <w:szCs w:val="18"/>
          <w:color w:val="auto"/>
        </w:rPr>
      </w:pPr>
    </w:p>
    <w:p>
      <w:pPr>
        <w:ind w:left="372" w:right="100" w:hanging="372"/>
        <w:spacing w:after="0" w:line="266"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24,480 Ordinary Shares; (ii) 67,113 Ordinary Shares, which is the maximum number of Ordinary Shares issuable upon the conversion of the Advance Subscription made by Mr. Krupczynski; and (iii) 16,230 Rezolve Options pursuant to an option grant agreement between Mr. Krupczynski and the Company.</w:t>
      </w:r>
    </w:p>
    <w:p>
      <w:pPr>
        <w:spacing w:after="0" w:line="67" w:lineRule="exact"/>
        <w:rPr>
          <w:rFonts w:ascii="Times New Roman" w:cs="Times New Roman" w:eastAsia="Times New Roman" w:hAnsi="Times New Roman"/>
          <w:sz w:val="18"/>
          <w:szCs w:val="18"/>
          <w:color w:val="auto"/>
        </w:rPr>
      </w:pPr>
    </w:p>
    <w:p>
      <w:pPr>
        <w:ind w:left="372" w:right="20" w:hanging="372"/>
        <w:spacing w:after="0" w:line="266"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979,186 Ordinary Shares, (ii) 4,464 Ordinary Shares, which is the maximum amount of Ordinary Shares issuable upon conversion of the Promissory Note held by Mr. Adam Wagner, when converted at $7 per share, and (iii) 6,250 Ordinary Shares underlying the Private Warrants held by Mr. Adam Wagner.</w:t>
      </w:r>
    </w:p>
    <w:p>
      <w:pPr>
        <w:spacing w:after="0" w:line="63" w:lineRule="exact"/>
        <w:rPr>
          <w:rFonts w:ascii="Times New Roman" w:cs="Times New Roman" w:eastAsia="Times New Roman" w:hAnsi="Times New Roman"/>
          <w:sz w:val="18"/>
          <w:szCs w:val="18"/>
          <w:color w:val="auto"/>
        </w:rPr>
      </w:pPr>
    </w:p>
    <w:p>
      <w:pPr>
        <w:ind w:left="372" w:right="140" w:hanging="372"/>
        <w:spacing w:after="0" w:line="268"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Himanshu Gulati is the Managing Member of the general partner of Antara Capital Total Return SPAC Master Fund L.P. ("</w:t>
      </w:r>
      <w:r>
        <w:rPr>
          <w:rFonts w:ascii="Times New Roman" w:cs="Times New Roman" w:eastAsia="Times New Roman" w:hAnsi="Times New Roman"/>
          <w:sz w:val="18"/>
          <w:szCs w:val="18"/>
          <w:b w:val="1"/>
          <w:bCs w:val="1"/>
          <w:i w:val="1"/>
          <w:iCs w:val="1"/>
          <w:color w:val="auto"/>
        </w:rPr>
        <w:t>Antara Capital 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w:t>
      </w:r>
      <w:r>
        <w:rPr>
          <w:rFonts w:ascii="Times New Roman" w:cs="Times New Roman" w:eastAsia="Times New Roman" w:hAnsi="Times New Roman"/>
          <w:sz w:val="18"/>
          <w:szCs w:val="18"/>
          <w:color w:val="auto"/>
        </w:rPr>
        <w:t>") and may be deemed to beneficially own the securities owned by Antara Capital Total Return. The principal business address of Antara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Total Return is 2005 Market Street, Suite 3120, Philadelphia, PA 19103.</w:t>
      </w:r>
    </w:p>
    <w:p>
      <w:pPr>
        <w:spacing w:after="0" w:line="66" w:lineRule="exact"/>
        <w:rPr>
          <w:rFonts w:ascii="Times New Roman" w:cs="Times New Roman" w:eastAsia="Times New Roman" w:hAnsi="Times New Roman"/>
          <w:sz w:val="18"/>
          <w:szCs w:val="18"/>
          <w:color w:val="auto"/>
        </w:rPr>
      </w:pPr>
    </w:p>
    <w:p>
      <w:pPr>
        <w:ind w:left="372" w:right="440" w:hanging="372"/>
        <w:spacing w:after="0" w:line="282"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1,631,977 Ordinary Shares and (ii) 33,333 Ordinary Shares, which is the maximum number of Ordinary Shares issuable upon the conversion of the Advance Subscription made by Aperitus Limited.</w:t>
      </w:r>
    </w:p>
    <w:p>
      <w:pPr>
        <w:spacing w:after="0" w:line="49" w:lineRule="exact"/>
        <w:rPr>
          <w:rFonts w:ascii="Times New Roman" w:cs="Times New Roman" w:eastAsia="Times New Roman" w:hAnsi="Times New Roman"/>
          <w:sz w:val="18"/>
          <w:szCs w:val="18"/>
          <w:color w:val="auto"/>
        </w:rPr>
      </w:pPr>
    </w:p>
    <w:p>
      <w:pPr>
        <w:ind w:left="372" w:hanging="372"/>
        <w:spacing w:after="0" w:line="254"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 (“</w:t>
      </w:r>
      <w:r>
        <w:rPr>
          <w:rFonts w:ascii="Times New Roman" w:cs="Times New Roman" w:eastAsia="Times New Roman" w:hAnsi="Times New Roman"/>
          <w:sz w:val="18"/>
          <w:szCs w:val="18"/>
          <w:b w:val="1"/>
          <w:bCs w:val="1"/>
          <w:i w:val="1"/>
          <w:iCs w:val="1"/>
          <w:color w:val="auto"/>
        </w:rPr>
        <w:t>AQR Absolute Return</w:t>
      </w:r>
      <w:r>
        <w:rPr>
          <w:rFonts w:ascii="Times New Roman" w:cs="Times New Roman" w:eastAsia="Times New Roman" w:hAnsi="Times New Roman"/>
          <w:sz w:val="18"/>
          <w:szCs w:val="18"/>
          <w:color w:val="auto"/>
        </w:rPr>
        <w:t>”) is a Cayman Islands exempted limited partnership. AQR Principal Global Asset Allocation LLC, a Delaware limited liability company, is its general partner. AQR Capital Management, LLC (“</w:t>
      </w:r>
      <w:r>
        <w:rPr>
          <w:rFonts w:ascii="Times New Roman" w:cs="Times New Roman" w:eastAsia="Times New Roman" w:hAnsi="Times New Roman"/>
          <w:sz w:val="18"/>
          <w:szCs w:val="18"/>
          <w:b w:val="1"/>
          <w:bCs w:val="1"/>
          <w:i w:val="1"/>
          <w:iCs w:val="1"/>
          <w:color w:val="auto"/>
        </w:rPr>
        <w:t>AQR Capital Management</w:t>
      </w:r>
      <w:r>
        <w:rPr>
          <w:rFonts w:ascii="Times New Roman" w:cs="Times New Roman" w:eastAsia="Times New Roman" w:hAnsi="Times New Roman"/>
          <w:sz w:val="18"/>
          <w:szCs w:val="18"/>
          <w:color w:val="auto"/>
        </w:rPr>
        <w:t>”) and AQR Arbitrage, LLC (“</w:t>
      </w:r>
      <w:r>
        <w:rPr>
          <w:rFonts w:ascii="Times New Roman" w:cs="Times New Roman" w:eastAsia="Times New Roman" w:hAnsi="Times New Roman"/>
          <w:sz w:val="18"/>
          <w:szCs w:val="18"/>
          <w:b w:val="1"/>
          <w:bCs w:val="1"/>
          <w:i w:val="1"/>
          <w:iCs w:val="1"/>
          <w:color w:val="auto"/>
        </w:rPr>
        <w:t>AQR Arbitrage</w:t>
      </w:r>
      <w:r>
        <w:rPr>
          <w:rFonts w:ascii="Times New Roman" w:cs="Times New Roman" w:eastAsia="Times New Roman" w:hAnsi="Times New Roman"/>
          <w:sz w:val="18"/>
          <w:szCs w:val="18"/>
          <w:color w:val="auto"/>
        </w:rPr>
        <w:t>”), each a Delaware limited liability company, act as investment adviser to AQR Absolute Return. AQR Arbitrage is deemed to be controlled by AQR Capital Management. AQR Capital Management is a wholly-owned subsidiary of AQR Capital Management Holdings, LLC, a Delaware limited liability company (“</w:t>
      </w:r>
      <w:r>
        <w:rPr>
          <w:rFonts w:ascii="Times New Roman" w:cs="Times New Roman" w:eastAsia="Times New Roman" w:hAnsi="Times New Roman"/>
          <w:sz w:val="18"/>
          <w:szCs w:val="18"/>
          <w:b w:val="1"/>
          <w:bCs w:val="1"/>
          <w:i w:val="1"/>
          <w:iCs w:val="1"/>
          <w:color w:val="auto"/>
        </w:rPr>
        <w:t>AQR Capital Management Holdings</w:t>
      </w:r>
      <w:r>
        <w:rPr>
          <w:rFonts w:ascii="Times New Roman" w:cs="Times New Roman" w:eastAsia="Times New Roman" w:hAnsi="Times New Roman"/>
          <w:sz w:val="18"/>
          <w:szCs w:val="18"/>
          <w:color w:val="auto"/>
        </w:rPr>
        <w:t>”). AQR Absolute Return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Absolute Return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Absolute Return is One Greenwich Plaza, Suite 130, Greenwich, CT 06830.</w:t>
      </w:r>
    </w:p>
    <w:p>
      <w:pPr>
        <w:spacing w:after="0" w:line="78" w:lineRule="exact"/>
        <w:rPr>
          <w:rFonts w:ascii="Times New Roman" w:cs="Times New Roman" w:eastAsia="Times New Roman" w:hAnsi="Times New Roman"/>
          <w:sz w:val="18"/>
          <w:szCs w:val="18"/>
          <w:color w:val="auto"/>
        </w:rPr>
      </w:pPr>
    </w:p>
    <w:p>
      <w:pPr>
        <w:ind w:left="372" w:right="340" w:hanging="372"/>
        <w:spacing w:after="0" w:line="282"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4,125 Ordinary Shares and (ii) 9,625 Ordinary Shares underlying the Public Warrants owned by AQR Absolute Return that will be exercisable within 60 days of the date hereof.</w:t>
      </w:r>
    </w:p>
    <w:p>
      <w:pPr>
        <w:spacing w:after="0" w:line="49" w:lineRule="exact"/>
        <w:rPr>
          <w:rFonts w:ascii="Times New Roman" w:cs="Times New Roman" w:eastAsia="Times New Roman" w:hAnsi="Times New Roman"/>
          <w:sz w:val="18"/>
          <w:szCs w:val="18"/>
          <w:color w:val="auto"/>
        </w:rPr>
      </w:pPr>
    </w:p>
    <w:p>
      <w:pPr>
        <w:ind w:left="372" w:right="60" w:hanging="372"/>
        <w:spacing w:after="0" w:line="254"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Diversified Arbitrage Fund (“</w:t>
      </w:r>
      <w:r>
        <w:rPr>
          <w:rFonts w:ascii="Times New Roman" w:cs="Times New Roman" w:eastAsia="Times New Roman" w:hAnsi="Times New Roman"/>
          <w:sz w:val="18"/>
          <w:szCs w:val="18"/>
          <w:b w:val="1"/>
          <w:bCs w:val="1"/>
          <w:i w:val="1"/>
          <w:iCs w:val="1"/>
          <w:color w:val="auto"/>
        </w:rPr>
        <w:t>AQR Diversified Arbitrage</w:t>
      </w:r>
      <w:r>
        <w:rPr>
          <w:rFonts w:ascii="Times New Roman" w:cs="Times New Roman" w:eastAsia="Times New Roman" w:hAnsi="Times New Roman"/>
          <w:sz w:val="18"/>
          <w:szCs w:val="18"/>
          <w:color w:val="auto"/>
        </w:rPr>
        <w:t>”)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AQR Diversified Arbitrage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Diversified Arbitrage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Diversified Arbitrage is One Greenwich Plaza, Suite 130, Greenwich, CT 06830.</w:t>
      </w:r>
    </w:p>
    <w:p>
      <w:pPr>
        <w:spacing w:after="0" w:line="81" w:lineRule="exact"/>
        <w:rPr>
          <w:rFonts w:ascii="Times New Roman" w:cs="Times New Roman" w:eastAsia="Times New Roman" w:hAnsi="Times New Roman"/>
          <w:sz w:val="18"/>
          <w:szCs w:val="18"/>
          <w:color w:val="auto"/>
        </w:rPr>
      </w:pPr>
    </w:p>
    <w:p>
      <w:pPr>
        <w:ind w:left="372" w:right="320" w:hanging="372"/>
        <w:spacing w:after="0" w:line="282"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19,875 Ordinary Shares and (ii) 66,166 Ordinary Shares underlying the Warrants owned by AQR Diversified Arbitrage that will be exercisable within 60 days of the date hereof.</w:t>
      </w:r>
    </w:p>
    <w:p>
      <w:pPr>
        <w:spacing w:after="0" w:line="49" w:lineRule="exact"/>
        <w:rPr>
          <w:rFonts w:ascii="Times New Roman" w:cs="Times New Roman" w:eastAsia="Times New Roman" w:hAnsi="Times New Roman"/>
          <w:sz w:val="18"/>
          <w:szCs w:val="18"/>
          <w:color w:val="auto"/>
        </w:rPr>
      </w:pPr>
    </w:p>
    <w:p>
      <w:pPr>
        <w:ind w:left="372" w:right="100" w:hanging="372"/>
        <w:spacing w:after="0" w:line="259" w:lineRule="auto"/>
        <w:tabs>
          <w:tab w:leader="none" w:pos="3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Global Alternative Investment Offshore Fund, L.P. (“</w:t>
      </w:r>
      <w:r>
        <w:rPr>
          <w:rFonts w:ascii="Times New Roman" w:cs="Times New Roman" w:eastAsia="Times New Roman" w:hAnsi="Times New Roman"/>
          <w:sz w:val="18"/>
          <w:szCs w:val="18"/>
          <w:b w:val="1"/>
          <w:bCs w:val="1"/>
          <w:i w:val="1"/>
          <w:iCs w:val="1"/>
          <w:color w:val="auto"/>
        </w:rPr>
        <w:t>AQR Global</w:t>
      </w:r>
      <w:r>
        <w:rPr>
          <w:rFonts w:ascii="Times New Roman" w:cs="Times New Roman" w:eastAsia="Times New Roman" w:hAnsi="Times New Roman"/>
          <w:sz w:val="18"/>
          <w:szCs w:val="18"/>
          <w:color w:val="auto"/>
        </w:rPr>
        <w:t>”)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 Management is a wholly owned subsidiary of AQR Capital Management Holdings. AQR Global is an affiliate of a registered broker-dealer and has represented to us that the Ordinary Shares held by it were purchased in the ordinary course of</w:t>
      </w:r>
    </w:p>
    <w:p>
      <w:pPr>
        <w:spacing w:after="0" w:line="1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00" w:right="379" w:bottom="1440" w:gutter="0" w:footer="0" w:header="0"/>
        </w:sectPr>
      </w:pPr>
    </w:p>
    <w:bookmarkStart w:id="118" w:name="page119"/>
    <w:bookmarkEnd w:id="118"/>
    <w:p>
      <w:pPr>
        <w:ind w:left="372"/>
        <w:spacing w:after="0" w:line="258" w:lineRule="auto"/>
        <w:rPr>
          <w:sz w:val="20"/>
          <w:szCs w:val="20"/>
          <w:color w:val="auto"/>
        </w:rPr>
      </w:pPr>
      <w:r>
        <w:rPr>
          <w:rFonts w:ascii="Times New Roman" w:cs="Times New Roman" w:eastAsia="Times New Roman" w:hAnsi="Times New Roman"/>
          <w:sz w:val="18"/>
          <w:szCs w:val="18"/>
          <w:color w:val="auto"/>
        </w:rPr>
        <w:t>business and that at the time of purchase, it did not have any agreements or understandings, directly or indirectly, with any person to distribute such shares. To the extent that we become aware that AQR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Global is One Greenwich Plaza, Suite 130, Greenwich, CT 06830.</w:t>
      </w:r>
    </w:p>
    <w:p>
      <w:pPr>
        <w:spacing w:after="0" w:line="75" w:lineRule="exact"/>
        <w:rPr>
          <w:sz w:val="20"/>
          <w:szCs w:val="20"/>
          <w:color w:val="auto"/>
        </w:rPr>
      </w:pPr>
    </w:p>
    <w:p>
      <w:pPr>
        <w:ind w:left="372" w:right="40" w:hanging="372"/>
        <w:spacing w:after="0" w:line="282"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18,857 Ordinary Shares and (ii) 44,000 Ordinary Shares underlying the Public Warrants owned by AQR Global that will be exercisable within 60 days of the date hereof.</w:t>
      </w:r>
    </w:p>
    <w:p>
      <w:pPr>
        <w:spacing w:after="0" w:line="53"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Yao is the Chief Executive Officer of Rezolve’s China office. The principal business address for Mr. Yao is No. 2 Zhuang, 268 Hao, Qinggong Lu, Fengxianqu, Shanghai, China.</w:t>
      </w:r>
    </w:p>
    <w:p>
      <w:pPr>
        <w:spacing w:after="0" w:line="53" w:lineRule="exact"/>
        <w:rPr>
          <w:rFonts w:ascii="Times New Roman" w:cs="Times New Roman" w:eastAsia="Times New Roman" w:hAnsi="Times New Roman"/>
          <w:sz w:val="18"/>
          <w:szCs w:val="18"/>
          <w:color w:val="auto"/>
        </w:rPr>
      </w:pPr>
    </w:p>
    <w:p>
      <w:pPr>
        <w:jc w:val="both"/>
        <w:ind w:left="372" w:right="20" w:hanging="372"/>
        <w:spacing w:after="0" w:line="266"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13,393, which is the maximum amount of Ordinary Shares issuable upon conversion of the Promissory Note held by Mr. Yao, when converted at $7 per share; (iii) 49,951 Ordinary Shares, which is the maximum number of Ordinary Shares issuable upon the conversion of the Advance Subscription made by Mr. Yao; and (iv) 18,750 Ordinary Shares underlying the Private Warrants held by Mr. Yao.</w:t>
      </w:r>
    </w:p>
    <w:p>
      <w:pPr>
        <w:spacing w:after="0" w:line="67" w:lineRule="exact"/>
        <w:rPr>
          <w:rFonts w:ascii="Times New Roman" w:cs="Times New Roman" w:eastAsia="Times New Roman" w:hAnsi="Times New Roman"/>
          <w:sz w:val="18"/>
          <w:szCs w:val="18"/>
          <w:color w:val="auto"/>
        </w:rPr>
      </w:pPr>
    </w:p>
    <w:p>
      <w:pPr>
        <w:ind w:left="372" w:right="20" w:hanging="372"/>
        <w:spacing w:after="0" w:line="255"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Andrew Davilman, in his capacity as the Chief Operating Officer, may be deemed to control the securities owned by ASJC Global LLC - Series 14 ("</w:t>
      </w:r>
      <w:r>
        <w:rPr>
          <w:rFonts w:ascii="Times New Roman" w:cs="Times New Roman" w:eastAsia="Times New Roman" w:hAnsi="Times New Roman"/>
          <w:sz w:val="18"/>
          <w:szCs w:val="18"/>
          <w:b w:val="1"/>
          <w:bCs w:val="1"/>
          <w:i w:val="1"/>
          <w:iCs w:val="1"/>
          <w:color w:val="auto"/>
        </w:rPr>
        <w:t>ASJC Global</w:t>
      </w:r>
      <w:r>
        <w:rPr>
          <w:rFonts w:ascii="Times New Roman" w:cs="Times New Roman" w:eastAsia="Times New Roman" w:hAnsi="Times New Roman"/>
          <w:sz w:val="18"/>
          <w:szCs w:val="18"/>
          <w:color w:val="auto"/>
        </w:rPr>
        <w:t>").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24th Floor, New York, NY 10019.</w:t>
      </w:r>
    </w:p>
    <w:p>
      <w:pPr>
        <w:spacing w:after="0" w:line="8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68" w:lineRule="exact"/>
        <w:rPr>
          <w:rFonts w:ascii="Times New Roman" w:cs="Times New Roman" w:eastAsia="Times New Roman" w:hAnsi="Times New Roman"/>
          <w:sz w:val="18"/>
          <w:szCs w:val="18"/>
          <w:color w:val="auto"/>
        </w:rPr>
      </w:pPr>
    </w:p>
    <w:p>
      <w:pPr>
        <w:ind w:left="372" w:right="60" w:hanging="372"/>
        <w:spacing w:after="0" w:line="254"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securities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80"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Boston Patriot Merrimack ST. LLC is c/o PRIM Board, 84 State St. Suite 250, Boston, MA 02109.</w:t>
      </w:r>
    </w:p>
    <w:p>
      <w:pPr>
        <w:spacing w:after="0" w:line="117" w:lineRule="exact"/>
        <w:rPr>
          <w:rFonts w:ascii="Times New Roman" w:cs="Times New Roman" w:eastAsia="Times New Roman" w:hAnsi="Times New Roman"/>
          <w:sz w:val="18"/>
          <w:szCs w:val="18"/>
          <w:color w:val="auto"/>
        </w:rPr>
      </w:pPr>
    </w:p>
    <w:p>
      <w:pPr>
        <w:ind w:left="372" w:right="60" w:hanging="372"/>
        <w:spacing w:after="0" w:line="258"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7,897,913 Ordinary Shares, (ii) 1,240,865 Ordinary Shares currently held by Apeiron on Mr. Wickens' behalf, (iii) 44,643 Ordinary Shares, which is the amount of Ordinary Shares issuable upon conversion of the Promissory Note held by Mr. Wickens when converted at $7 per share, (iv) 333,333 Ordinary Shares, which is the maximum number of Ordinary Shares issuable upon the conversion of the Advance Subscription made by Mr. Wickens, (v) 62,500 Ordinary Shares underlying the Private Warrants held by Mr. Wickens; and (vi) 2,965,206 Ordinary Shares issuable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372" w:right="180" w:hanging="372"/>
        <w:spacing w:after="0" w:line="282" w:lineRule="auto"/>
        <w:tabs>
          <w:tab w:leader="none" w:pos="3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15,170,676 Ordinary Shares and (ii) 9,200,000 Ordinary Shares, which is the maximum number of Ordinary Shares issuable upon the conversion of the Advance Subscription made by Mr. Newmark.</w:t>
      </w:r>
    </w:p>
    <w:p>
      <w:pPr>
        <w:spacing w:after="0" w:line="49" w:lineRule="exact"/>
        <w:rPr>
          <w:rFonts w:ascii="Times New Roman" w:cs="Times New Roman" w:eastAsia="Times New Roman" w:hAnsi="Times New Roman"/>
          <w:sz w:val="18"/>
          <w:szCs w:val="18"/>
          <w:color w:val="auto"/>
        </w:rPr>
      </w:pPr>
    </w:p>
    <w:p>
      <w:pPr>
        <w:ind w:left="372" w:right="180" w:hanging="372"/>
        <w:spacing w:after="0" w:line="256" w:lineRule="auto"/>
        <w:tabs>
          <w:tab w:leader="none" w:pos="4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Cantor Fitzgerald &amp; Co. ("</w:t>
      </w:r>
      <w:r>
        <w:rPr>
          <w:rFonts w:ascii="Times New Roman" w:cs="Times New Roman" w:eastAsia="Times New Roman" w:hAnsi="Times New Roman"/>
          <w:sz w:val="18"/>
          <w:szCs w:val="18"/>
          <w:b w:val="1"/>
          <w:bCs w:val="1"/>
          <w:i w:val="1"/>
          <w:iCs w:val="1"/>
          <w:color w:val="auto"/>
        </w:rPr>
        <w:t>CF&amp;CO</w:t>
      </w:r>
      <w:r>
        <w:rPr>
          <w:rFonts w:ascii="Times New Roman" w:cs="Times New Roman" w:eastAsia="Times New Roman" w:hAnsi="Times New Roman"/>
          <w:sz w:val="18"/>
          <w:szCs w:val="18"/>
          <w:color w:val="auto"/>
        </w:rPr>
        <w:t>")is the record owner of the securities. The business address of CF&amp;CO is 110 East 59th Street, New York, NY 10022. Cantor Fitzgerald Securities ("</w:t>
      </w:r>
      <w:r>
        <w:rPr>
          <w:rFonts w:ascii="Times New Roman" w:cs="Times New Roman" w:eastAsia="Times New Roman" w:hAnsi="Times New Roman"/>
          <w:sz w:val="18"/>
          <w:szCs w:val="18"/>
          <w:b w:val="1"/>
          <w:bCs w:val="1"/>
          <w:i w:val="1"/>
          <w:iCs w:val="1"/>
          <w:color w:val="auto"/>
        </w:rPr>
        <w:t>CFS</w:t>
      </w:r>
      <w:r>
        <w:rPr>
          <w:rFonts w:ascii="Times New Roman" w:cs="Times New Roman" w:eastAsia="Times New Roman" w:hAnsi="Times New Roman"/>
          <w:sz w:val="18"/>
          <w:szCs w:val="18"/>
          <w:color w:val="auto"/>
        </w:rPr>
        <w:t>") controls the managing general partner of CF&amp;CO. Cantor Fitzgerald, L.P. ("CFLP") indirectly controls each of CFS and CF&amp;CO. CFLP is controlled by CF Group Management, Inc. ("</w:t>
      </w:r>
      <w:r>
        <w:rPr>
          <w:rFonts w:ascii="Times New Roman" w:cs="Times New Roman" w:eastAsia="Times New Roman" w:hAnsi="Times New Roman"/>
          <w:sz w:val="18"/>
          <w:szCs w:val="18"/>
          <w:b w:val="1"/>
          <w:bCs w:val="1"/>
          <w:i w:val="1"/>
          <w:iCs w:val="1"/>
          <w:color w:val="auto"/>
        </w:rPr>
        <w:t>CFGM</w:t>
      </w:r>
      <w:r>
        <w:rPr>
          <w:rFonts w:ascii="Times New Roman" w:cs="Times New Roman" w:eastAsia="Times New Roman" w:hAnsi="Times New Roman"/>
          <w:sz w:val="18"/>
          <w:szCs w:val="18"/>
          <w:color w:val="auto"/>
        </w:rPr>
        <w:t>"), its managing general partner. Mr. Howard Lutnick is the Chairman and Chief Executive Officer of CFGM and also the trustee of CFGM's sole stockholder and therefore controls CFGM. As such, each of CFS, CFLP, CFGM and Mr. Lutnick may be deemed to have beneficial ownership of the securities directly held by CF&amp;CO. Each such entity or person disclaims any beneficial ownership of the reported shares other than to the extent of any pecuniary interest they may have therein, directly or indirectly.</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19" w:name="page120"/>
    <w:bookmarkEnd w:id="119"/>
    <w:p>
      <w:pPr>
        <w:jc w:val="both"/>
        <w:ind w:left="372" w:right="40" w:hanging="372"/>
        <w:spacing w:after="0" w:line="266" w:lineRule="auto"/>
        <w:tabs>
          <w:tab w:leader="none" w:pos="4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securities consist of the maximum number of Ordinary Shares that may be issued in relation to those Ordinary Shares the Company issued to CF&amp;CO, a registered broker-dealer, as transaction-based compensation for the performance of investment banking services rendered to the Company in connection with the recently completed Business Combination.</w:t>
      </w:r>
    </w:p>
    <w:p>
      <w:pPr>
        <w:spacing w:after="0" w:line="67" w:lineRule="exact"/>
        <w:rPr>
          <w:rFonts w:ascii="Times New Roman" w:cs="Times New Roman" w:eastAsia="Times New Roman" w:hAnsi="Times New Roman"/>
          <w:sz w:val="18"/>
          <w:szCs w:val="18"/>
          <w:color w:val="auto"/>
        </w:rPr>
      </w:pPr>
    </w:p>
    <w:p>
      <w:pPr>
        <w:ind w:left="372" w:right="70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20,553 Ordinary Shares and (ii) 10,000 Ordinary Shares, which is the maximum number of Ordinary Shares issuable upon the conversion of the Advance Subscription made by Cecil Levy.</w:t>
      </w:r>
    </w:p>
    <w:p>
      <w:pPr>
        <w:spacing w:after="0" w:line="53" w:lineRule="exact"/>
        <w:rPr>
          <w:rFonts w:ascii="Times New Roman" w:cs="Times New Roman" w:eastAsia="Times New Roman" w:hAnsi="Times New Roman"/>
          <w:sz w:val="18"/>
          <w:szCs w:val="18"/>
          <w:color w:val="auto"/>
        </w:rPr>
      </w:pPr>
    </w:p>
    <w:p>
      <w:pPr>
        <w:ind w:left="372" w:right="16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49" w:lineRule="exact"/>
        <w:rPr>
          <w:rFonts w:ascii="Times New Roman" w:cs="Times New Roman" w:eastAsia="Times New Roman" w:hAnsi="Times New Roman"/>
          <w:sz w:val="18"/>
          <w:szCs w:val="18"/>
          <w:color w:val="auto"/>
        </w:rPr>
      </w:pPr>
    </w:p>
    <w:p>
      <w:pPr>
        <w:ind w:left="372" w:right="20" w:hanging="372"/>
        <w:spacing w:after="0" w:line="257"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spacing w:after="0" w:line="78" w:lineRule="exact"/>
        <w:rPr>
          <w:rFonts w:ascii="Times New Roman" w:cs="Times New Roman" w:eastAsia="Times New Roman" w:hAnsi="Times New Roman"/>
          <w:sz w:val="18"/>
          <w:szCs w:val="18"/>
          <w:color w:val="auto"/>
        </w:rPr>
      </w:pPr>
    </w:p>
    <w:p>
      <w:pPr>
        <w:ind w:left="372" w:hanging="372"/>
        <w:spacing w:after="0" w:line="273" w:lineRule="auto"/>
        <w:tabs>
          <w:tab w:leader="none" w:pos="37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12,579,532 Ordinary Shares, which is the maximum number of Ordinary Shares issuable upon the conversion of the unsecured convertible loan (the "</w:t>
      </w:r>
      <w:r>
        <w:rPr>
          <w:rFonts w:ascii="Times New Roman" w:cs="Times New Roman" w:eastAsia="Times New Roman" w:hAnsi="Times New Roman"/>
          <w:sz w:val="17"/>
          <w:szCs w:val="17"/>
          <w:b w:val="1"/>
          <w:bCs w:val="1"/>
          <w:i w:val="1"/>
          <w:iCs w:val="1"/>
          <w:color w:val="auto"/>
        </w:rPr>
        <w:t>Cohen Note</w:t>
      </w:r>
      <w:r>
        <w:rPr>
          <w:rFonts w:ascii="Times New Roman" w:cs="Times New Roman" w:eastAsia="Times New Roman" w:hAnsi="Times New Roman"/>
          <w:sz w:val="17"/>
          <w:szCs w:val="17"/>
          <w:color w:val="auto"/>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w:t>
      </w:r>
    </w:p>
    <w:p>
      <w:pPr>
        <w:spacing w:after="0" w:line="63" w:lineRule="exact"/>
        <w:rPr>
          <w:rFonts w:ascii="Times New Roman" w:cs="Times New Roman" w:eastAsia="Times New Roman" w:hAnsi="Times New Roman"/>
          <w:sz w:val="17"/>
          <w:szCs w:val="17"/>
          <w:color w:val="auto"/>
        </w:rPr>
      </w:pPr>
    </w:p>
    <w:p>
      <w:pPr>
        <w:ind w:left="372" w:hanging="372"/>
        <w:spacing w:after="0" w:line="256"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7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Context Partners Master Fund, LP is 27 Hospital Road, George Town, Grand Cayman KY1-9008 C.</w:t>
      </w:r>
    </w:p>
    <w:p>
      <w:pPr>
        <w:spacing w:after="0" w:line="113" w:lineRule="exact"/>
        <w:rPr>
          <w:rFonts w:ascii="Times New Roman" w:cs="Times New Roman" w:eastAsia="Times New Roman" w:hAnsi="Times New Roman"/>
          <w:sz w:val="18"/>
          <w:szCs w:val="18"/>
          <w:color w:val="auto"/>
        </w:rPr>
      </w:pPr>
    </w:p>
    <w:p>
      <w:pPr>
        <w:ind w:left="372" w:right="60" w:hanging="372"/>
        <w:spacing w:after="0" w:line="263"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9" w:lineRule="exact"/>
        <w:rPr>
          <w:rFonts w:ascii="Times New Roman" w:cs="Times New Roman" w:eastAsia="Times New Roman" w:hAnsi="Times New Roman"/>
          <w:sz w:val="18"/>
          <w:szCs w:val="18"/>
          <w:color w:val="auto"/>
        </w:rPr>
      </w:pPr>
    </w:p>
    <w:p>
      <w:pPr>
        <w:ind w:left="372" w:right="26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5,357 Ordinary Shares, which is the maximum amount of Ordinary Shares issuable upon conversion of the Promissory Note held by Mr. Meller, when converted at $7 per share and (ii) 7,500 Ordinary Shares underlying the Private Warrants held by Mr. Meller.</w:t>
      </w:r>
    </w:p>
    <w:p>
      <w:pPr>
        <w:spacing w:after="0" w:line="53"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300 Ordinary Shares and (ii) 201,000 Ordinary Shares, which is the maximum number of Ordinary Shares issuable upon the conversion of the Advance Subscription made by Mr. Weinberger.</w:t>
      </w:r>
    </w:p>
    <w:p>
      <w:pPr>
        <w:spacing w:after="0" w:line="53" w:lineRule="exact"/>
        <w:rPr>
          <w:rFonts w:ascii="Times New Roman" w:cs="Times New Roman" w:eastAsia="Times New Roman" w:hAnsi="Times New Roman"/>
          <w:sz w:val="18"/>
          <w:szCs w:val="18"/>
          <w:color w:val="auto"/>
        </w:rPr>
      </w:pPr>
    </w:p>
    <w:p>
      <w:pPr>
        <w:ind w:left="372" w:right="30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which is the maximum number of Ordinary Shares issuable upon the conversion of the Advance Subscription made by Mr. Smith.</w:t>
      </w:r>
    </w:p>
    <w:p>
      <w:pPr>
        <w:spacing w:after="0" w:line="53" w:lineRule="exact"/>
        <w:rPr>
          <w:rFonts w:ascii="Times New Roman" w:cs="Times New Roman" w:eastAsia="Times New Roman" w:hAnsi="Times New Roman"/>
          <w:sz w:val="18"/>
          <w:szCs w:val="18"/>
          <w:color w:val="auto"/>
        </w:rPr>
      </w:pPr>
    </w:p>
    <w:p>
      <w:pPr>
        <w:ind w:left="372" w:right="32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Kolyris has provided services to Rezolve as a contractor since November 2018. The principal business address for Mr. Kolyris is Noyaroy 12, Maroysi, 15126, Athens, Greece.</w:t>
      </w:r>
    </w:p>
    <w:p>
      <w:pPr>
        <w:spacing w:after="0" w:line="53" w:lineRule="exact"/>
        <w:rPr>
          <w:rFonts w:ascii="Times New Roman" w:cs="Times New Roman" w:eastAsia="Times New Roman" w:hAnsi="Times New Roman"/>
          <w:sz w:val="18"/>
          <w:szCs w:val="18"/>
          <w:color w:val="auto"/>
        </w:rPr>
      </w:pPr>
    </w:p>
    <w:p>
      <w:pPr>
        <w:ind w:left="372" w:right="20" w:hanging="372"/>
        <w:spacing w:after="0" w:line="312" w:lineRule="auto"/>
        <w:tabs>
          <w:tab w:leader="none" w:pos="37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65,209 Ordinary Shares, of which 11,951 Ordinary Shares are beneficially owned by Mr. Kolyris and is the maximum number of Ordinary Shares issuable upon the conversion of the Advance Subscription made by Nadenco P.C., a company Mr. Kolyris may be deemed to control.</w:t>
      </w:r>
    </w:p>
    <w:p>
      <w:pPr>
        <w:spacing w:after="0" w:line="31" w:lineRule="exact"/>
        <w:rPr>
          <w:rFonts w:ascii="Times New Roman" w:cs="Times New Roman" w:eastAsia="Times New Roman" w:hAnsi="Times New Roman"/>
          <w:sz w:val="17"/>
          <w:szCs w:val="17"/>
          <w:color w:val="auto"/>
        </w:rPr>
      </w:pPr>
    </w:p>
    <w:p>
      <w:pPr>
        <w:ind w:left="372" w:right="400" w:hanging="372"/>
        <w:spacing w:after="0" w:line="282" w:lineRule="auto"/>
        <w:tabs>
          <w:tab w:leader="none" w:pos="3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7,333 Ordinary Shares, which is the maximum number of Ordinary Shares issuable upon the conversion of the Advance Subscription made by DXG Deutsche Digital GmbH.</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20" w:name="page121"/>
    <w:bookmarkEnd w:id="120"/>
    <w:p>
      <w:pPr>
        <w:jc w:val="both"/>
        <w:ind w:left="372" w:right="360" w:hanging="372"/>
        <w:spacing w:after="0" w:line="266"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Steven Levine and David Nussbaum and Ms. Amy Kaufmann may be deemed to share beneficial ownership of the securities beneficially owned by EarlyBirdCapital, Inc. (“</w:t>
      </w:r>
      <w:r>
        <w:rPr>
          <w:rFonts w:ascii="Times New Roman" w:cs="Times New Roman" w:eastAsia="Times New Roman" w:hAnsi="Times New Roman"/>
          <w:sz w:val="18"/>
          <w:szCs w:val="18"/>
          <w:b w:val="1"/>
          <w:bCs w:val="1"/>
          <w:i w:val="1"/>
          <w:iCs w:val="1"/>
          <w:color w:val="auto"/>
        </w:rPr>
        <w:t>EarlyBird</w:t>
      </w:r>
      <w:r>
        <w:rPr>
          <w:rFonts w:ascii="Times New Roman" w:cs="Times New Roman" w:eastAsia="Times New Roman" w:hAnsi="Times New Roman"/>
          <w:sz w:val="18"/>
          <w:szCs w:val="18"/>
          <w:color w:val="auto"/>
        </w:rPr>
        <w:t>”). The principal business address of EarlyBird is One Huntington Quadrangle 1C15, Melville, NY 11747.</w:t>
      </w:r>
    </w:p>
    <w:p>
      <w:pPr>
        <w:spacing w:after="0" w:line="67" w:lineRule="exact"/>
        <w:rPr>
          <w:rFonts w:ascii="Times New Roman" w:cs="Times New Roman" w:eastAsia="Times New Roman" w:hAnsi="Times New Roman"/>
          <w:sz w:val="18"/>
          <w:szCs w:val="18"/>
          <w:color w:val="auto"/>
        </w:rPr>
      </w:pPr>
    </w:p>
    <w:p>
      <w:pPr>
        <w:ind w:left="372" w:hanging="372"/>
        <w:spacing w:after="0" w:line="261"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securities consist of the maximum number of Ordinary Shares that may be issued in relation to those Ordinary Shares the Company issued to EarlyBird, a registered broker-dealer, as transaction-based compensation for the performance of investment banking services rendered to the Company in connection with the initial public offering of Armada, which became a wholly-owned subsidiary of the Company in connection with the Business Combination.</w:t>
      </w:r>
    </w:p>
    <w:p>
      <w:pPr>
        <w:spacing w:after="0" w:line="67" w:lineRule="exact"/>
        <w:rPr>
          <w:rFonts w:ascii="Times New Roman" w:cs="Times New Roman" w:eastAsia="Times New Roman" w:hAnsi="Times New Roman"/>
          <w:sz w:val="18"/>
          <w:szCs w:val="18"/>
          <w:color w:val="auto"/>
        </w:rPr>
      </w:pPr>
    </w:p>
    <w:p>
      <w:pPr>
        <w:ind w:left="372" w:right="40" w:hanging="372"/>
        <w:spacing w:after="0" w:line="26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Boral, CEO and Manager of EF Hutton LLC (“</w:t>
      </w:r>
      <w:r>
        <w:rPr>
          <w:rFonts w:ascii="Times New Roman" w:cs="Times New Roman" w:eastAsia="Times New Roman" w:hAnsi="Times New Roman"/>
          <w:sz w:val="18"/>
          <w:szCs w:val="18"/>
          <w:b w:val="1"/>
          <w:bCs w:val="1"/>
          <w:i w:val="1"/>
          <w:iCs w:val="1"/>
          <w:color w:val="auto"/>
        </w:rPr>
        <w:t>EF 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 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39th Floor New York, NY 10022.</w:t>
      </w:r>
    </w:p>
    <w:p>
      <w:pPr>
        <w:spacing w:after="0" w:line="72" w:lineRule="exact"/>
        <w:rPr>
          <w:rFonts w:ascii="Times New Roman" w:cs="Times New Roman" w:eastAsia="Times New Roman" w:hAnsi="Times New Roman"/>
          <w:sz w:val="18"/>
          <w:szCs w:val="18"/>
          <w:color w:val="auto"/>
        </w:rPr>
      </w:pPr>
    </w:p>
    <w:p>
      <w:pPr>
        <w:ind w:left="372" w:right="100" w:hanging="372"/>
        <w:spacing w:after="0" w:line="266"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securities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w:t>
      </w:r>
    </w:p>
    <w:p>
      <w:pPr>
        <w:spacing w:after="0" w:line="67" w:lineRule="exact"/>
        <w:rPr>
          <w:rFonts w:ascii="Times New Roman" w:cs="Times New Roman" w:eastAsia="Times New Roman" w:hAnsi="Times New Roman"/>
          <w:sz w:val="18"/>
          <w:szCs w:val="18"/>
          <w:color w:val="auto"/>
        </w:rPr>
      </w:pPr>
    </w:p>
    <w:p>
      <w:pPr>
        <w:ind w:left="372" w:right="60" w:hanging="372"/>
        <w:spacing w:after="0" w:line="28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Kilic is employed as Vice President Global Head of Payments and Director DACH &amp; TR at Rezolve. The principal business address for Mr. Kilic is Manstedtener Berg 19, 50259, Pulheim, Germany.</w:t>
      </w:r>
    </w:p>
    <w:p>
      <w:pPr>
        <w:spacing w:after="0" w:line="53" w:lineRule="exact"/>
        <w:rPr>
          <w:rFonts w:ascii="Times New Roman" w:cs="Times New Roman" w:eastAsia="Times New Roman" w:hAnsi="Times New Roman"/>
          <w:sz w:val="18"/>
          <w:szCs w:val="18"/>
          <w:color w:val="auto"/>
        </w:rPr>
      </w:pPr>
    </w:p>
    <w:p>
      <w:pPr>
        <w:ind w:left="372" w:right="300" w:hanging="372"/>
        <w:spacing w:after="0" w:line="28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18,175 Ordinary Shares, which is the maximum number of Ordinary Shares issuable upon the conversion of the Advance Subscription made by Mr. Kilic.</w:t>
      </w:r>
    </w:p>
    <w:p>
      <w:pPr>
        <w:spacing w:after="0" w:line="49" w:lineRule="exact"/>
        <w:rPr>
          <w:rFonts w:ascii="Times New Roman" w:cs="Times New Roman" w:eastAsia="Times New Roman" w:hAnsi="Times New Roman"/>
          <w:sz w:val="18"/>
          <w:szCs w:val="18"/>
          <w:color w:val="auto"/>
        </w:rPr>
      </w:pPr>
    </w:p>
    <w:p>
      <w:pPr>
        <w:ind w:left="372" w:right="140" w:hanging="372"/>
        <w:spacing w:after="0" w:line="26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LP (“</w:t>
      </w:r>
      <w:r>
        <w:rPr>
          <w:rFonts w:ascii="Times New Roman" w:cs="Times New Roman" w:eastAsia="Times New Roman" w:hAnsi="Times New Roman"/>
          <w:sz w:val="18"/>
          <w:szCs w:val="18"/>
          <w:b w:val="1"/>
          <w:bCs w:val="1"/>
          <w:i w:val="1"/>
          <w:iCs w:val="1"/>
          <w:color w:val="auto"/>
        </w:rPr>
        <w:t>Fir Capital Management</w:t>
      </w:r>
      <w:r>
        <w:rPr>
          <w:rFonts w:ascii="Times New Roman" w:cs="Times New Roman" w:eastAsia="Times New Roman" w:hAnsi="Times New Roman"/>
          <w:sz w:val="18"/>
          <w:szCs w:val="18"/>
          <w:color w:val="auto"/>
        </w:rPr>
        <w:t>”), the Investment Manager of Fir Tree Capital Opportunity Master Fund LP (“</w:t>
      </w:r>
      <w:r>
        <w:rPr>
          <w:rFonts w:ascii="Times New Roman" w:cs="Times New Roman" w:eastAsia="Times New Roman" w:hAnsi="Times New Roman"/>
          <w:sz w:val="18"/>
          <w:szCs w:val="18"/>
          <w:b w:val="1"/>
          <w:bCs w:val="1"/>
          <w:i w:val="1"/>
          <w:iCs w:val="1"/>
          <w:color w:val="auto"/>
        </w:rPr>
        <w:t>Fir Tree Opportunity Master Fund</w:t>
      </w:r>
      <w:r>
        <w:rPr>
          <w:rFonts w:ascii="Times New Roman" w:cs="Times New Roman" w:eastAsia="Times New Roman" w:hAnsi="Times New Roman"/>
          <w:sz w:val="18"/>
          <w:szCs w:val="18"/>
          <w:color w:val="auto"/>
        </w:rPr>
        <w:t>”) and may be deemed to share beneficial ownership of the securities beneficially owned by Fir Tree Opportunity Master Fund. The principal business address of Fir Tree Master Fund is 89 Nexus Way, Camana Bay, Grand Cayman, KY1-1205.</w:t>
      </w:r>
    </w:p>
    <w:p>
      <w:pPr>
        <w:spacing w:after="0" w:line="72" w:lineRule="exact"/>
        <w:rPr>
          <w:rFonts w:ascii="Times New Roman" w:cs="Times New Roman" w:eastAsia="Times New Roman" w:hAnsi="Times New Roman"/>
          <w:sz w:val="18"/>
          <w:szCs w:val="18"/>
          <w:color w:val="auto"/>
        </w:rPr>
      </w:pPr>
    </w:p>
    <w:p>
      <w:pPr>
        <w:ind w:left="372" w:hanging="372"/>
        <w:spacing w:after="0" w:line="261"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the Investment Manager of Fir Tree Capital Opportunity Master Fund III, LP (“</w:t>
      </w:r>
      <w:r>
        <w:rPr>
          <w:rFonts w:ascii="Times New Roman" w:cs="Times New Roman" w:eastAsia="Times New Roman" w:hAnsi="Times New Roman"/>
          <w:sz w:val="18"/>
          <w:szCs w:val="18"/>
          <w:b w:val="1"/>
          <w:bCs w:val="1"/>
          <w:i w:val="1"/>
          <w:iCs w:val="1"/>
          <w:color w:val="auto"/>
        </w:rPr>
        <w:t>Fir Tree Capital Opportunity Master Fund III</w:t>
      </w:r>
      <w:r>
        <w:rPr>
          <w:rFonts w:ascii="Times New Roman" w:cs="Times New Roman" w:eastAsia="Times New Roman" w:hAnsi="Times New Roman"/>
          <w:sz w:val="18"/>
          <w:szCs w:val="18"/>
          <w:color w:val="auto"/>
        </w:rPr>
        <w:t>”) and may be deemed to share beneficial ownership of the securities beneficially owned by Fir Tree Capital Opportunity Master Fund III. The principal business address of Fir Tree Capital Opportunity Master Fund III is 89 Nexus Way, Camana Bay, Grand Cayman, KY1-1205.</w:t>
      </w:r>
    </w:p>
    <w:p>
      <w:pPr>
        <w:spacing w:after="0" w:line="71" w:lineRule="exact"/>
        <w:rPr>
          <w:rFonts w:ascii="Times New Roman" w:cs="Times New Roman" w:eastAsia="Times New Roman" w:hAnsi="Times New Roman"/>
          <w:sz w:val="18"/>
          <w:szCs w:val="18"/>
          <w:color w:val="auto"/>
        </w:rPr>
      </w:pPr>
    </w:p>
    <w:p>
      <w:pPr>
        <w:ind w:left="372" w:right="40" w:hanging="372"/>
        <w:spacing w:after="0" w:line="266"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the Investment Manager of Fir Tree Value Master Fund, LP (“</w:t>
      </w:r>
      <w:r>
        <w:rPr>
          <w:rFonts w:ascii="Times New Roman" w:cs="Times New Roman" w:eastAsia="Times New Roman" w:hAnsi="Times New Roman"/>
          <w:sz w:val="18"/>
          <w:szCs w:val="18"/>
          <w:b w:val="1"/>
          <w:bCs w:val="1"/>
          <w:i w:val="1"/>
          <w:iCs w:val="1"/>
          <w:color w:val="auto"/>
        </w:rPr>
        <w:t>Fir Tree Value Master Fund</w:t>
      </w:r>
      <w:r>
        <w:rPr>
          <w:rFonts w:ascii="Times New Roman" w:cs="Times New Roman" w:eastAsia="Times New Roman" w:hAnsi="Times New Roman"/>
          <w:sz w:val="18"/>
          <w:szCs w:val="18"/>
          <w:color w:val="auto"/>
        </w:rPr>
        <w:t>”) and may be deemed to share beneficial ownership of the securities beneficially owned by Fir Tree Value Master Fund. The principal business address of Fir Tree Fir Tree Value Master Fund is 89 Nexus Way, Camana Bay, Grand Cayman, KY1-1205.</w:t>
      </w:r>
    </w:p>
    <w:p>
      <w:pPr>
        <w:spacing w:after="0" w:line="7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68" w:lineRule="exact"/>
        <w:rPr>
          <w:rFonts w:ascii="Times New Roman" w:cs="Times New Roman" w:eastAsia="Times New Roman" w:hAnsi="Times New Roman"/>
          <w:sz w:val="18"/>
          <w:szCs w:val="18"/>
          <w:color w:val="auto"/>
        </w:rPr>
      </w:pPr>
    </w:p>
    <w:p>
      <w:pPr>
        <w:ind w:left="372" w:hanging="372"/>
        <w:spacing w:after="0" w:line="261"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35,714 Ordinary Shares, which is the maximum amount of Ordinary Shares issuable upon conversion of the Promissory Note held by FMS China when converted at $7 per share; (ii) 50,000 Ordinary Shares underlying the Private Warrants held by FMS China; and (iii) 140,000 Ordinary Shares, which is the maximum number of Ordinary Shares issuable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372" w:right="400" w:hanging="372"/>
        <w:spacing w:after="0" w:line="28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Ordinary Shares, which is the maximum number of Ordinary Shares issuable upon the conversion of the Advance Subscription made by Mr. Bellow.</w:t>
      </w:r>
    </w:p>
    <w:p>
      <w:pPr>
        <w:spacing w:after="0" w:line="49" w:lineRule="exact"/>
        <w:rPr>
          <w:rFonts w:ascii="Times New Roman" w:cs="Times New Roman" w:eastAsia="Times New Roman" w:hAnsi="Times New Roman"/>
          <w:sz w:val="18"/>
          <w:szCs w:val="18"/>
          <w:color w:val="auto"/>
        </w:rPr>
      </w:pPr>
    </w:p>
    <w:p>
      <w:pPr>
        <w:ind w:left="372" w:right="40" w:hanging="372"/>
        <w:spacing w:after="0" w:line="282" w:lineRule="auto"/>
        <w:tabs>
          <w:tab w:leader="none" w:pos="37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Highbridge Capital Management, LLC (“</w:t>
      </w:r>
      <w:r>
        <w:rPr>
          <w:rFonts w:ascii="Times New Roman" w:cs="Times New Roman" w:eastAsia="Times New Roman" w:hAnsi="Times New Roman"/>
          <w:sz w:val="17"/>
          <w:szCs w:val="17"/>
          <w:b w:val="1"/>
          <w:bCs w:val="1"/>
          <w:i w:val="1"/>
          <w:iCs w:val="1"/>
          <w:color w:val="auto"/>
        </w:rPr>
        <w:t>Highbridge Capital Management</w:t>
      </w:r>
      <w:r>
        <w:rPr>
          <w:rFonts w:ascii="Times New Roman" w:cs="Times New Roman" w:eastAsia="Times New Roman" w:hAnsi="Times New Roman"/>
          <w:sz w:val="17"/>
          <w:szCs w:val="17"/>
          <w:color w:val="auto"/>
        </w:rPr>
        <w:t>”) is the trading manager of Highbridge Tactical Credit Master Fund, L.P. (“</w:t>
      </w:r>
      <w:r>
        <w:rPr>
          <w:rFonts w:ascii="Times New Roman" w:cs="Times New Roman" w:eastAsia="Times New Roman" w:hAnsi="Times New Roman"/>
          <w:sz w:val="17"/>
          <w:szCs w:val="17"/>
          <w:b w:val="1"/>
          <w:bCs w:val="1"/>
          <w:i w:val="1"/>
          <w:iCs w:val="1"/>
          <w:color w:val="auto"/>
        </w:rPr>
        <w:t>Highbridge Tactical Credit Master Fund</w:t>
      </w:r>
      <w:r>
        <w:rPr>
          <w:rFonts w:ascii="Times New Roman" w:cs="Times New Roman" w:eastAsia="Times New Roman" w:hAnsi="Times New Roman"/>
          <w:sz w:val="17"/>
          <w:szCs w:val="17"/>
          <w:color w:val="auto"/>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53" w:lineRule="exact"/>
        <w:rPr>
          <w:rFonts w:ascii="Times New Roman" w:cs="Times New Roman" w:eastAsia="Times New Roman" w:hAnsi="Times New Roman"/>
          <w:sz w:val="17"/>
          <w:szCs w:val="17"/>
          <w:color w:val="auto"/>
        </w:rPr>
      </w:pPr>
    </w:p>
    <w:p>
      <w:pPr>
        <w:ind w:left="372" w:right="80" w:hanging="372"/>
        <w:spacing w:after="0" w:line="26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Highbridge Capital Management is the trading manager of Highbridge Tactical Credit Institutional Fund, Ltd. (“</w:t>
      </w:r>
      <w:r>
        <w:rPr>
          <w:rFonts w:ascii="Times New Roman" w:cs="Times New Roman" w:eastAsia="Times New Roman" w:hAnsi="Times New Roman"/>
          <w:sz w:val="18"/>
          <w:szCs w:val="18"/>
          <w:b w:val="1"/>
          <w:bCs w:val="1"/>
          <w:i w:val="1"/>
          <w:iCs w:val="1"/>
          <w:color w:val="auto"/>
        </w:rPr>
        <w:t>Highbridge Tactical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Institutional Fund</w:t>
      </w:r>
      <w:r>
        <w:rPr>
          <w:rFonts w:ascii="Times New Roman" w:cs="Times New Roman" w:eastAsia="Times New Roman" w:hAnsi="Times New Roman"/>
          <w:sz w:val="18"/>
          <w:szCs w:val="18"/>
          <w:color w:val="auto"/>
        </w:rPr>
        <w:t>”) Highbridge Tactical Credit Institutional Fund disclaims beneficial ownership over these shares. The address of Highbridge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72" w:lineRule="exact"/>
        <w:rPr>
          <w:rFonts w:ascii="Times New Roman" w:cs="Times New Roman" w:eastAsia="Times New Roman" w:hAnsi="Times New Roman"/>
          <w:sz w:val="18"/>
          <w:szCs w:val="18"/>
          <w:color w:val="auto"/>
        </w:rPr>
      </w:pPr>
    </w:p>
    <w:p>
      <w:pPr>
        <w:ind w:left="372" w:right="300" w:hanging="372"/>
        <w:spacing w:after="0" w:line="282" w:lineRule="auto"/>
        <w:tabs>
          <w:tab w:leader="none" w:pos="3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10,286 Ordinary Shares, which is the maximum number of Ordinary Shares issuable upon the conversion of the Advance Subscription made by Jamie Beadle.</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21" w:name="page122"/>
    <w:bookmarkEnd w:id="121"/>
    <w:p>
      <w:pPr>
        <w:ind w:left="372" w:right="40" w:hanging="372"/>
        <w:spacing w:after="0" w:line="253"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758,294 of Ordinary Shares that may be issued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86" w:lineRule="exact"/>
        <w:rPr>
          <w:rFonts w:ascii="Times New Roman" w:cs="Times New Roman" w:eastAsia="Times New Roman" w:hAnsi="Times New Roman"/>
          <w:sz w:val="18"/>
          <w:szCs w:val="18"/>
          <w:color w:val="auto"/>
        </w:rPr>
      </w:pPr>
    </w:p>
    <w:p>
      <w:pPr>
        <w:ind w:left="372" w:right="80" w:hanging="372"/>
        <w:spacing w:after="0" w:line="282"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6,804 Ordinary Shares, which is the maximum amount of Ordinary Shares issuable upon conversion of the Promissory Note held by Mr. King, when converted at $7 per share; and 9,525 Ordinary Shares underlying the Private Warrants held by Mr. King.</w:t>
      </w:r>
    </w:p>
    <w:p>
      <w:pPr>
        <w:spacing w:after="0" w:line="53" w:lineRule="exact"/>
        <w:rPr>
          <w:rFonts w:ascii="Times New Roman" w:cs="Times New Roman" w:eastAsia="Times New Roman" w:hAnsi="Times New Roman"/>
          <w:sz w:val="18"/>
          <w:szCs w:val="18"/>
          <w:color w:val="auto"/>
        </w:rPr>
      </w:pPr>
    </w:p>
    <w:p>
      <w:pPr>
        <w:ind w:left="372" w:right="280" w:hanging="372"/>
        <w:spacing w:after="0" w:line="289" w:lineRule="auto"/>
        <w:tabs>
          <w:tab w:leader="none" w:pos="37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5,670 Ordinary Shares, which is the maximum amount of Ordinary Shares issuable upon conversion of the Promissory Note held by Mr. Nurse, when converted at $7 per share; (ii) 29,667 Ordinary Shares, which is the maximum number of Ordinary Shares issuable upon the conversion of the Advance Subscription made by Mr. Nurse; and (iii) 7,938 Ordinary Shares underlying the Private Warrants held by Julian Nurse.</w:t>
      </w:r>
    </w:p>
    <w:p>
      <w:pPr>
        <w:spacing w:after="0" w:line="49" w:lineRule="exact"/>
        <w:rPr>
          <w:rFonts w:ascii="Times New Roman" w:cs="Times New Roman" w:eastAsia="Times New Roman" w:hAnsi="Times New Roman"/>
          <w:sz w:val="17"/>
          <w:szCs w:val="17"/>
          <w:color w:val="auto"/>
        </w:rPr>
      </w:pPr>
    </w:p>
    <w:p>
      <w:pPr>
        <w:ind w:left="372" w:right="720" w:hanging="372"/>
        <w:spacing w:after="0" w:line="282"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69,785 Ordinary Shares and (ii) 10,000 Ordinary Shares, which is the maximum number of Ordinary Shares issuable upon the conversion of the Advance Subscription made by Kantor Investment Company LLC.</w:t>
      </w:r>
    </w:p>
    <w:p>
      <w:pPr>
        <w:spacing w:after="0" w:line="53" w:lineRule="exact"/>
        <w:rPr>
          <w:rFonts w:ascii="Times New Roman" w:cs="Times New Roman" w:eastAsia="Times New Roman" w:hAnsi="Times New Roman"/>
          <w:sz w:val="18"/>
          <w:szCs w:val="18"/>
          <w:color w:val="auto"/>
        </w:rPr>
      </w:pPr>
    </w:p>
    <w:p>
      <w:pPr>
        <w:ind w:left="372" w:right="20" w:hanging="372"/>
        <w:spacing w:after="0" w:line="266"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8,929 Ordinary Shares, which is the maximum number of Ordinary Shares issuable upon the conversion of the Promissory Note held by Ms. Kalaris, when converted at $7 per share; and (iii) 12,500 Ordinary Shares underlying the Private Warrants held by Ms. Kalaris.</w:t>
      </w:r>
    </w:p>
    <w:p>
      <w:pPr>
        <w:spacing w:after="0" w:line="63" w:lineRule="exact"/>
        <w:rPr>
          <w:rFonts w:ascii="Times New Roman" w:cs="Times New Roman" w:eastAsia="Times New Roman" w:hAnsi="Times New Roman"/>
          <w:sz w:val="18"/>
          <w:szCs w:val="18"/>
          <w:color w:val="auto"/>
        </w:rPr>
      </w:pPr>
    </w:p>
    <w:p>
      <w:pPr>
        <w:ind w:left="372" w:right="40" w:hanging="372"/>
        <w:spacing w:after="0" w:line="276" w:lineRule="auto"/>
        <w:tabs>
          <w:tab w:leader="none" w:pos="37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Kepos Capital LP (“</w:t>
      </w:r>
      <w:r>
        <w:rPr>
          <w:rFonts w:ascii="Times New Roman" w:cs="Times New Roman" w:eastAsia="Times New Roman" w:hAnsi="Times New Roman"/>
          <w:sz w:val="17"/>
          <w:szCs w:val="17"/>
          <w:b w:val="1"/>
          <w:bCs w:val="1"/>
          <w:i w:val="1"/>
          <w:iCs w:val="1"/>
          <w:color w:val="auto"/>
        </w:rPr>
        <w:t>Kepos Capital</w:t>
      </w:r>
      <w:r>
        <w:rPr>
          <w:rFonts w:ascii="Times New Roman" w:cs="Times New Roman" w:eastAsia="Times New Roman" w:hAnsi="Times New Roman"/>
          <w:sz w:val="17"/>
          <w:szCs w:val="17"/>
          <w:color w:val="auto"/>
        </w:rPr>
        <w:t>”) is the investment manager of Kepos Alpha Master Fund L.P. (“</w:t>
      </w:r>
      <w:r>
        <w:rPr>
          <w:rFonts w:ascii="Times New Roman" w:cs="Times New Roman" w:eastAsia="Times New Roman" w:hAnsi="Times New Roman"/>
          <w:sz w:val="17"/>
          <w:szCs w:val="17"/>
          <w:b w:val="1"/>
          <w:bCs w:val="1"/>
          <w:i w:val="1"/>
          <w:iCs w:val="1"/>
          <w:color w:val="auto"/>
        </w:rPr>
        <w:t>Kepos Alpha Master Fund</w:t>
      </w:r>
      <w:r>
        <w:rPr>
          <w:rFonts w:ascii="Times New Roman" w:cs="Times New Roman" w:eastAsia="Times New Roman" w:hAnsi="Times New Roman"/>
          <w:sz w:val="17"/>
          <w:szCs w:val="17"/>
          <w:color w:val="auto"/>
        </w:rPr>
        <w:t>”) and Kepos Partners LLC (“</w:t>
      </w:r>
      <w:r>
        <w:rPr>
          <w:rFonts w:ascii="Times New Roman" w:cs="Times New Roman" w:eastAsia="Times New Roman" w:hAnsi="Times New Roman"/>
          <w:sz w:val="17"/>
          <w:szCs w:val="17"/>
          <w:b w:val="1"/>
          <w:bCs w:val="1"/>
          <w:i w:val="1"/>
          <w:iCs w:val="1"/>
          <w:color w:val="auto"/>
        </w:rPr>
        <w:t>Kepos Partners</w:t>
      </w:r>
      <w:r>
        <w:rPr>
          <w:rFonts w:ascii="Times New Roman" w:cs="Times New Roman" w:eastAsia="Times New Roman" w:hAnsi="Times New Roman"/>
          <w:sz w:val="17"/>
          <w:szCs w:val="17"/>
          <w:color w:val="auto"/>
        </w:rPr>
        <w:t>”) is the General Partner of Kepos Alpha Master Fund and each may be deemed to have voting and dispositive power with respect to the shares. The general partner of Kepos Capital is Kepos Capital GP LLC (the “</w:t>
      </w:r>
      <w:r>
        <w:rPr>
          <w:rFonts w:ascii="Times New Roman" w:cs="Times New Roman" w:eastAsia="Times New Roman" w:hAnsi="Times New Roman"/>
          <w:sz w:val="17"/>
          <w:szCs w:val="17"/>
          <w:b w:val="1"/>
          <w:bCs w:val="1"/>
          <w:i w:val="1"/>
          <w:iCs w:val="1"/>
          <w:color w:val="auto"/>
        </w:rPr>
        <w:t>Kepos GP</w:t>
      </w:r>
      <w:r>
        <w:rPr>
          <w:rFonts w:ascii="Times New Roman" w:cs="Times New Roman" w:eastAsia="Times New Roman" w:hAnsi="Times New Roman"/>
          <w:sz w:val="17"/>
          <w:szCs w:val="17"/>
          <w:color w:val="auto"/>
        </w:rPr>
        <w:t>”) and the Managing Member of Kepos Partners is Kepos Partners MM (“</w:t>
      </w:r>
      <w:r>
        <w:rPr>
          <w:rFonts w:ascii="Times New Roman" w:cs="Times New Roman" w:eastAsia="Times New Roman" w:hAnsi="Times New Roman"/>
          <w:sz w:val="17"/>
          <w:szCs w:val="17"/>
          <w:b w:val="1"/>
          <w:bCs w:val="1"/>
          <w:i w:val="1"/>
          <w:iCs w:val="1"/>
          <w:color w:val="auto"/>
        </w:rPr>
        <w:t>Kepos MM</w:t>
      </w:r>
      <w:r>
        <w:rPr>
          <w:rFonts w:ascii="Times New Roman" w:cs="Times New Roman" w:eastAsia="Times New Roman" w:hAnsi="Times New Roman"/>
          <w:sz w:val="17"/>
          <w:szCs w:val="17"/>
          <w:color w:val="auto"/>
        </w:rPr>
        <w:t>”). Mark Carhart controls Kepos GP and Kepos MM and, accordingly, may be deemed to have voting and dispositive power with respect to the shares held by Kepos Alpha Master Fund. Mr. Carhart disclaims beneficial ownership of the shares held by Kepos Alpha Master Fund. The address of Kepos Capital and Mr. Carhart is c/o Kepos Capital LP 11 Times Square, 35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Floor, New York, NY 10036.</w:t>
      </w:r>
    </w:p>
    <w:p>
      <w:pPr>
        <w:spacing w:after="0" w:line="2" w:lineRule="exact"/>
        <w:rPr>
          <w:rFonts w:ascii="Times New Roman" w:cs="Times New Roman" w:eastAsia="Times New Roman" w:hAnsi="Times New Roman"/>
          <w:sz w:val="17"/>
          <w:szCs w:val="17"/>
          <w:color w:val="auto"/>
        </w:rPr>
      </w:pPr>
    </w:p>
    <w:p>
      <w:pPr>
        <w:ind w:left="372" w:right="60" w:hanging="372"/>
        <w:spacing w:after="0" w:line="260"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Capital is the investment manager of Kepos Special Opportunities Master Fund L.P. (“</w:t>
      </w:r>
      <w:r>
        <w:rPr>
          <w:rFonts w:ascii="Times New Roman" w:cs="Times New Roman" w:eastAsia="Times New Roman" w:hAnsi="Times New Roman"/>
          <w:sz w:val="18"/>
          <w:szCs w:val="18"/>
          <w:b w:val="1"/>
          <w:bCs w:val="1"/>
          <w:i w:val="1"/>
          <w:iCs w:val="1"/>
          <w:color w:val="auto"/>
        </w:rPr>
        <w:t>Kepos Special Opportunities Master Fund</w:t>
      </w:r>
      <w:r>
        <w:rPr>
          <w:rFonts w:ascii="Times New Roman" w:cs="Times New Roman" w:eastAsia="Times New Roman" w:hAnsi="Times New Roman"/>
          <w:sz w:val="18"/>
          <w:szCs w:val="18"/>
          <w:color w:val="auto"/>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14" w:lineRule="exact"/>
        <w:rPr>
          <w:rFonts w:ascii="Times New Roman" w:cs="Times New Roman" w:eastAsia="Times New Roman" w:hAnsi="Times New Roman"/>
          <w:sz w:val="18"/>
          <w:szCs w:val="18"/>
          <w:color w:val="auto"/>
        </w:rPr>
      </w:pPr>
    </w:p>
    <w:p>
      <w:pPr>
        <w:ind w:left="372" w:hanging="372"/>
        <w:spacing w:after="0" w:line="254"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400,625 Ordinary Shares, which is the maximum number of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Northland Note</w:t>
      </w:r>
      <w:r>
        <w:rPr>
          <w:rFonts w:ascii="Times New Roman" w:cs="Times New Roman" w:eastAsia="Times New Roman" w:hAnsi="Times New Roman"/>
          <w:sz w:val="18"/>
          <w:szCs w:val="18"/>
          <w:color w:val="auto"/>
        </w:rPr>
        <w:t>") issued to Northland Securities, Inc. ("</w:t>
      </w:r>
      <w:r>
        <w:rPr>
          <w:rFonts w:ascii="Times New Roman" w:cs="Times New Roman" w:eastAsia="Times New Roman" w:hAnsi="Times New Roman"/>
          <w:sz w:val="18"/>
          <w:szCs w:val="18"/>
          <w:b w:val="1"/>
          <w:bCs w:val="1"/>
          <w:i w:val="1"/>
          <w:iCs w:val="1"/>
          <w:color w:val="auto"/>
        </w:rPr>
        <w:t>Northland</w:t>
      </w:r>
      <w:r>
        <w:rPr>
          <w:rFonts w:ascii="Times New Roman" w:cs="Times New Roman" w:eastAsia="Times New Roman" w:hAnsi="Times New Roman"/>
          <w:sz w:val="18"/>
          <w:szCs w:val="18"/>
          <w:color w:val="auto"/>
        </w:rPr>
        <w:t>"), a registered-broker dealer, on July 30, 2024. In accordance with Rule 13d-3(d) under the Exchange Act, we have excluded from the number of Ordinary Shares beneficially owned prior to the offering all of the Ordinary Shares that Northland may receive under the Northland Note, because the issuance of such Ordinary Shares is at our discretion and is subject to conditions contained in the Northland Note, the satisfaction of which are entirely outside of Northland's control. Furthermore, pursuant to the terms of the Northland Note, we can only convert all but $1,135,000 of the Northland Note into Ordinary Shares. The Company issued the Northland Note and the shares of Ordinary Shares underlying the Northland Note as transaction-based compensation for the performance of investment banking services rendered to the Company in connection with the initial public offering of Armada, which became a wholly-owned subsidiary of the Company in connection with the Business Combination. The business address of Northland is 150 South Fifth Street, Suite 3300, Minneapolis, MN 55402.</w:t>
      </w:r>
    </w:p>
    <w:p>
      <w:pPr>
        <w:spacing w:after="0" w:line="80" w:lineRule="exact"/>
        <w:rPr>
          <w:rFonts w:ascii="Times New Roman" w:cs="Times New Roman" w:eastAsia="Times New Roman" w:hAnsi="Times New Roman"/>
          <w:sz w:val="18"/>
          <w:szCs w:val="18"/>
          <w:color w:val="auto"/>
        </w:rPr>
      </w:pPr>
    </w:p>
    <w:p>
      <w:pPr>
        <w:ind w:left="372" w:right="60" w:hanging="372"/>
        <w:spacing w:after="0" w:line="255" w:lineRule="auto"/>
        <w:tabs>
          <w:tab w:leader="none" w:pos="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the referenced shares to be registered are the following funds and accounts that are managed by Magnetar Financial LLC(“</w:t>
      </w:r>
      <w:r>
        <w:rPr>
          <w:rFonts w:ascii="Times New Roman" w:cs="Times New Roman" w:eastAsia="Times New Roman" w:hAnsi="Times New Roman"/>
          <w:sz w:val="18"/>
          <w:szCs w:val="18"/>
          <w:b w:val="1"/>
          <w:bCs w:val="1"/>
          <w:i w:val="1"/>
          <w:iCs w:val="1"/>
          <w:color w:val="auto"/>
        </w:rPr>
        <w:t>MFL</w:t>
      </w:r>
      <w:r>
        <w:rPr>
          <w:rFonts w:ascii="Times New Roman" w:cs="Times New Roman" w:eastAsia="Times New Roman" w:hAnsi="Times New Roman"/>
          <w:sz w:val="18"/>
          <w:szCs w:val="18"/>
          <w:color w:val="auto"/>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cs="Times New Roman" w:eastAsia="Times New Roman" w:hAnsi="Times New Roman"/>
          <w:sz w:val="18"/>
          <w:szCs w:val="18"/>
          <w:b w:val="1"/>
          <w:bCs w:val="1"/>
          <w:i w:val="1"/>
          <w:iCs w:val="1"/>
          <w:color w:val="auto"/>
        </w:rPr>
        <w:t>Magnetar Funds</w:t>
      </w:r>
      <w:r>
        <w:rPr>
          <w:rFonts w:ascii="Times New Roman" w:cs="Times New Roman" w:eastAsia="Times New Roman" w:hAnsi="Times New Roman"/>
          <w:sz w:val="18"/>
          <w:szCs w:val="18"/>
          <w:color w:val="auto"/>
        </w:rPr>
        <w:t>”). In such capacities, MFL exercises voting and investment power over the securities listed above held for the accounts of the Magnetar Funds. MFL is a registered investment adviser under Section 203 of</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22" w:name="page123"/>
    <w:bookmarkEnd w:id="122"/>
    <w:p>
      <w:pPr>
        <w:ind w:left="372"/>
        <w:spacing w:after="0" w:line="260" w:lineRule="auto"/>
        <w:rPr>
          <w:sz w:val="20"/>
          <w:szCs w:val="20"/>
          <w:color w:val="auto"/>
        </w:rPr>
      </w:pPr>
      <w:r>
        <w:rPr>
          <w:rFonts w:ascii="Times New Roman" w:cs="Times New Roman" w:eastAsia="Times New Roman" w:hAnsi="Times New Roman"/>
          <w:sz w:val="18"/>
          <w:szCs w:val="18"/>
          <w:color w:val="auto"/>
        </w:rPr>
        <w:t>the Investment Advisers Act of 1940, as amended. Magnetar Capital Partners LP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is the sole member and parent holding company of MFL. Supernova Management LLC (“</w:t>
      </w:r>
      <w:r>
        <w:rPr>
          <w:rFonts w:ascii="Times New Roman" w:cs="Times New Roman" w:eastAsia="Times New Roman" w:hAnsi="Times New Roman"/>
          <w:sz w:val="18"/>
          <w:szCs w:val="18"/>
          <w:b w:val="1"/>
          <w:bCs w:val="1"/>
          <w:i w:val="1"/>
          <w:iCs w:val="1"/>
          <w:color w:val="auto"/>
        </w:rPr>
        <w:t>Supernova</w:t>
      </w:r>
      <w:r>
        <w:rPr>
          <w:rFonts w:ascii="Times New Roman" w:cs="Times New Roman" w:eastAsia="Times New Roman" w:hAnsi="Times New Roman"/>
          <w:sz w:val="18"/>
          <w:szCs w:val="18"/>
          <w:color w:val="auto"/>
        </w:rPr>
        <w:t>”), is the sole general partner of MCP. The manager of Supernova is David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 Magnetar Funds is 1603 Orrington Ave.,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Evanston, IL 60201.</w:t>
      </w:r>
    </w:p>
    <w:p>
      <w:pPr>
        <w:spacing w:after="0" w:line="15" w:lineRule="exact"/>
        <w:rPr>
          <w:sz w:val="20"/>
          <w:szCs w:val="20"/>
          <w:color w:val="auto"/>
        </w:rPr>
      </w:pPr>
    </w:p>
    <w:p>
      <w:pPr>
        <w:ind w:left="372" w:right="70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31,785 Ordinary Shares and (ii) 40,000 Ordinary Shares, which is the maximum number of Ordinary Shares issuable upon the conversion of the Advance Subscription made by Mr. Israel.</w:t>
      </w:r>
    </w:p>
    <w:p>
      <w:pPr>
        <w:spacing w:after="0" w:line="53" w:lineRule="exact"/>
        <w:rPr>
          <w:rFonts w:ascii="Times New Roman" w:cs="Times New Roman" w:eastAsia="Times New Roman" w:hAnsi="Times New Roman"/>
          <w:sz w:val="18"/>
          <w:szCs w:val="18"/>
          <w:color w:val="auto"/>
        </w:rPr>
      </w:pPr>
    </w:p>
    <w:p>
      <w:pPr>
        <w:ind w:left="372" w:right="100" w:hanging="372"/>
        <w:spacing w:after="0" w:line="261"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securities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16th Floor, New York, NY 10022.</w:t>
      </w:r>
    </w:p>
    <w:p>
      <w:pPr>
        <w:spacing w:after="0" w:line="67" w:lineRule="exact"/>
        <w:rPr>
          <w:rFonts w:ascii="Times New Roman" w:cs="Times New Roman" w:eastAsia="Times New Roman" w:hAnsi="Times New Roman"/>
          <w:sz w:val="18"/>
          <w:szCs w:val="18"/>
          <w:color w:val="auto"/>
        </w:rPr>
      </w:pPr>
    </w:p>
    <w:p>
      <w:pPr>
        <w:ind w:left="372" w:right="40" w:hanging="372"/>
        <w:spacing w:after="0" w:line="26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Vikas Mittal is the Managing Member of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72" w:lineRule="exact"/>
        <w:rPr>
          <w:rFonts w:ascii="Times New Roman" w:cs="Times New Roman" w:eastAsia="Times New Roman" w:hAnsi="Times New Roman"/>
          <w:sz w:val="18"/>
          <w:szCs w:val="18"/>
          <w:color w:val="auto"/>
        </w:rPr>
      </w:pPr>
    </w:p>
    <w:p>
      <w:pPr>
        <w:ind w:left="372" w:right="22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Khan served as a director of Armada, which became a wholly owned subsidiary of the Company in connection with the Business Combination, since August 2021. Mr. Khan’s principal business address is 2238 Bentley Ridge Drive, San Jose, CA 95138.</w:t>
      </w:r>
    </w:p>
    <w:p>
      <w:pPr>
        <w:spacing w:after="0" w:line="49" w:lineRule="exact"/>
        <w:rPr>
          <w:rFonts w:ascii="Times New Roman" w:cs="Times New Roman" w:eastAsia="Times New Roman" w:hAnsi="Times New Roman"/>
          <w:sz w:val="18"/>
          <w:szCs w:val="18"/>
          <w:color w:val="auto"/>
        </w:rPr>
      </w:pPr>
    </w:p>
    <w:p>
      <w:pPr>
        <w:ind w:left="372" w:right="160" w:hanging="372"/>
        <w:spacing w:after="0" w:line="26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investment power over the interests held by Nautilus Master Fund, L.P. (“</w:t>
      </w:r>
      <w:r>
        <w:rPr>
          <w:rFonts w:ascii="Times New Roman" w:cs="Times New Roman" w:eastAsia="Times New Roman" w:hAnsi="Times New Roman"/>
          <w:sz w:val="18"/>
          <w:szCs w:val="18"/>
          <w:b w:val="1"/>
          <w:bCs w:val="1"/>
          <w:i w:val="1"/>
          <w:iCs w:val="1"/>
          <w:color w:val="auto"/>
        </w:rPr>
        <w:t>Nautilus</w:t>
      </w:r>
      <w:r>
        <w:rPr>
          <w:rFonts w:ascii="Times New Roman" w:cs="Times New Roman" w:eastAsia="Times New Roman" w:hAnsi="Times New Roman"/>
          <w:sz w:val="18"/>
          <w:szCs w:val="18"/>
          <w:color w:val="auto"/>
        </w:rPr>
        <w:t>”) resides with its investment manager, Periscope Capital Inc. (“</w:t>
      </w:r>
      <w:r>
        <w:rPr>
          <w:rFonts w:ascii="Times New Roman" w:cs="Times New Roman" w:eastAsia="Times New Roman" w:hAnsi="Times New Roman"/>
          <w:sz w:val="18"/>
          <w:szCs w:val="18"/>
          <w:b w:val="1"/>
          <w:bCs w:val="1"/>
          <w:i w:val="1"/>
          <w:iCs w:val="1"/>
          <w:color w:val="auto"/>
        </w:rPr>
        <w:t>Periscope Capital</w:t>
      </w:r>
      <w:r>
        <w:rPr>
          <w:rFonts w:ascii="Times New Roman" w:cs="Times New Roman" w:eastAsia="Times New Roman" w:hAnsi="Times New Roman"/>
          <w:sz w:val="18"/>
          <w:szCs w:val="18"/>
          <w:color w:val="auto"/>
        </w:rPr>
        <w:t>”). Jamie Wise is the Chief Executive Officer of Periscope Capital and may be deemed to be the beneficial owner of the interests held by Nautilus. Jaime Wise and Periscope Capital, however, disclaim any beneficial ownership of the interests held by Nautilus. The principal business address of Nautilus is c/o 333 Bay Street, Suite 1240, Toronto, ON M5H 2R2, Canada.</w:t>
      </w:r>
    </w:p>
    <w:p>
      <w:pPr>
        <w:spacing w:after="0" w:line="72" w:lineRule="exact"/>
        <w:rPr>
          <w:rFonts w:ascii="Times New Roman" w:cs="Times New Roman" w:eastAsia="Times New Roman" w:hAnsi="Times New Roman"/>
          <w:sz w:val="18"/>
          <w:szCs w:val="18"/>
          <w:color w:val="auto"/>
        </w:rPr>
      </w:pPr>
    </w:p>
    <w:p>
      <w:pPr>
        <w:ind w:left="372" w:right="34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70,200 Ordinary Shares and (ii) 35,800 Ordinary Shares underlying the Public Warrants owned by Nautilus that will be exercisable within 60 days of the date hereof.</w:t>
      </w:r>
    </w:p>
    <w:p>
      <w:pPr>
        <w:spacing w:after="0" w:line="53" w:lineRule="exact"/>
        <w:rPr>
          <w:rFonts w:ascii="Times New Roman" w:cs="Times New Roman" w:eastAsia="Times New Roman" w:hAnsi="Times New Roman"/>
          <w:sz w:val="18"/>
          <w:szCs w:val="18"/>
          <w:color w:val="auto"/>
        </w:rPr>
      </w:pPr>
    </w:p>
    <w:p>
      <w:pPr>
        <w:ind w:left="372" w:right="60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39,731 Ordinary Shares and (ii) 166,667 Ordinary Shares, which is the maximum number of Ordinary Shares issuable upon the conversion of the Advance Subscription made by Patel Family Investment LLC.</w:t>
      </w:r>
    </w:p>
    <w:p>
      <w:pPr>
        <w:spacing w:after="0" w:line="49" w:lineRule="exact"/>
        <w:rPr>
          <w:rFonts w:ascii="Times New Roman" w:cs="Times New Roman" w:eastAsia="Times New Roman" w:hAnsi="Times New Roman"/>
          <w:sz w:val="18"/>
          <w:szCs w:val="18"/>
          <w:color w:val="auto"/>
        </w:rPr>
      </w:pPr>
    </w:p>
    <w:p>
      <w:pPr>
        <w:ind w:left="372" w:hanging="372"/>
        <w:spacing w:after="0" w:line="259"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 Multi-Strategy Master Fund (“</w:t>
      </w:r>
      <w:r>
        <w:rPr>
          <w:rFonts w:ascii="Times New Roman" w:cs="Times New Roman" w:eastAsia="Times New Roman" w:hAnsi="Times New Roman"/>
          <w:sz w:val="18"/>
          <w:szCs w:val="18"/>
          <w:b w:val="1"/>
          <w:bCs w:val="1"/>
          <w:i w:val="1"/>
          <w:iCs w:val="1"/>
          <w:color w:val="auto"/>
        </w:rPr>
        <w:t>Polar Fund</w:t>
      </w:r>
      <w:r>
        <w:rPr>
          <w:rFonts w:ascii="Times New Roman" w:cs="Times New Roman" w:eastAsia="Times New Roman" w:hAnsi="Times New Roman"/>
          <w:sz w:val="18"/>
          <w:szCs w:val="18"/>
          <w:color w:val="auto"/>
        </w:rPr>
        <w:t>”) is under management by Polar Asset Management Partners Inc. (“</w:t>
      </w:r>
      <w:r>
        <w:rPr>
          <w:rFonts w:ascii="Times New Roman" w:cs="Times New Roman" w:eastAsia="Times New Roman" w:hAnsi="Times New Roman"/>
          <w:sz w:val="18"/>
          <w:szCs w:val="18"/>
          <w:b w:val="1"/>
          <w:bCs w:val="1"/>
          <w:i w:val="1"/>
          <w:iCs w:val="1"/>
          <w:color w:val="auto"/>
        </w:rPr>
        <w:t>PAMPI</w:t>
      </w:r>
      <w:r>
        <w:rPr>
          <w:rFonts w:ascii="Times New Roman" w:cs="Times New Roman" w:eastAsia="Times New Roman" w:hAnsi="Times New Roman"/>
          <w:sz w:val="18"/>
          <w:szCs w:val="18"/>
          <w:color w:val="auto"/>
        </w:rPr>
        <w:t>”). PAMPI serves as Investment Adviser to the Polar Fund and has control and discretion over the shares held by the Polar Fund. As such, PAMPI may be deemed the beneficial owner of the shares held by the Polar Fund. PAMPI disclaims any beneficial ownership of the reported shares other than to the extent of any pecuniary interest therein. The principal business address the Polar Fund is C/O Polar Asset Management Partners Inc., 16 York Street, Suite 2900, Toronto, Ontario M5J 0E6 Canada.</w:t>
      </w:r>
    </w:p>
    <w:p>
      <w:pPr>
        <w:spacing w:after="0" w:line="75" w:lineRule="exact"/>
        <w:rPr>
          <w:rFonts w:ascii="Times New Roman" w:cs="Times New Roman" w:eastAsia="Times New Roman" w:hAnsi="Times New Roman"/>
          <w:sz w:val="18"/>
          <w:szCs w:val="18"/>
          <w:color w:val="auto"/>
        </w:rPr>
      </w:pPr>
    </w:p>
    <w:p>
      <w:pPr>
        <w:ind w:left="372" w:right="30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35,402 Ordinary Shares, which is the maximum number of Ordinary Shares issuable upon the conversion of the Advance Subscription made by Quality Kiosk.</w:t>
      </w:r>
    </w:p>
    <w:p>
      <w:pPr>
        <w:spacing w:after="0" w:line="49" w:lineRule="exact"/>
        <w:rPr>
          <w:rFonts w:ascii="Times New Roman" w:cs="Times New Roman" w:eastAsia="Times New Roman" w:hAnsi="Times New Roman"/>
          <w:sz w:val="18"/>
          <w:szCs w:val="18"/>
          <w:color w:val="auto"/>
        </w:rPr>
      </w:pPr>
    </w:p>
    <w:p>
      <w:pPr>
        <w:ind w:left="372" w:right="160" w:hanging="372"/>
        <w:spacing w:after="0" w:line="259"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7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Jingquain Hou is 610, Haitian Ge, Haiwaihuayuan, Ligang Lu, Haizhuqu, Guangzhou, Zhongguo.</w:t>
      </w:r>
    </w:p>
    <w:p>
      <w:pPr>
        <w:spacing w:after="0" w:line="117" w:lineRule="exact"/>
        <w:rPr>
          <w:rFonts w:ascii="Times New Roman" w:cs="Times New Roman" w:eastAsia="Times New Roman" w:hAnsi="Times New Roman"/>
          <w:sz w:val="18"/>
          <w:szCs w:val="18"/>
          <w:color w:val="auto"/>
        </w:rPr>
      </w:pPr>
    </w:p>
    <w:p>
      <w:pPr>
        <w:ind w:left="372" w:right="40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2,321 Ordinary Shares, which is the maximum number of Ordinary Shares issuable upon the conversion of the Advance Subscription made by Jingquain Hou.</w:t>
      </w:r>
    </w:p>
    <w:p>
      <w:pPr>
        <w:spacing w:after="0" w:line="49" w:lineRule="exact"/>
        <w:rPr>
          <w:rFonts w:ascii="Times New Roman" w:cs="Times New Roman" w:eastAsia="Times New Roman" w:hAnsi="Times New Roman"/>
          <w:sz w:val="18"/>
          <w:szCs w:val="18"/>
          <w:color w:val="auto"/>
        </w:rPr>
      </w:pPr>
    </w:p>
    <w:p>
      <w:pPr>
        <w:ind w:left="372" w:right="220" w:hanging="372"/>
        <w:spacing w:after="0" w:line="286"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RiverNorth Capital Partners, L.P. (“</w:t>
      </w:r>
      <w:r>
        <w:rPr>
          <w:rFonts w:ascii="Times New Roman" w:cs="Times New Roman" w:eastAsia="Times New Roman" w:hAnsi="Times New Roman"/>
          <w:sz w:val="18"/>
          <w:szCs w:val="18"/>
          <w:b w:val="1"/>
          <w:bCs w:val="1"/>
          <w:i w:val="1"/>
          <w:iCs w:val="1"/>
          <w:color w:val="auto"/>
        </w:rPr>
        <w:t>RiverNorth Capital Partners</w:t>
      </w:r>
      <w:r>
        <w:rPr>
          <w:rFonts w:ascii="Times New Roman" w:cs="Times New Roman" w:eastAsia="Times New Roman" w:hAnsi="Times New Roman"/>
          <w:sz w:val="18"/>
          <w:szCs w:val="18"/>
          <w:color w:val="auto"/>
        </w:rPr>
        <w:t>”) is 360 S. Rosemary Avenue, Suite 1420, West Palm Beach, Florida 33401.</w:t>
      </w:r>
    </w:p>
    <w:p>
      <w:pPr>
        <w:spacing w:after="0" w:line="50" w:lineRule="exact"/>
        <w:rPr>
          <w:rFonts w:ascii="Times New Roman" w:cs="Times New Roman" w:eastAsia="Times New Roman" w:hAnsi="Times New Roman"/>
          <w:sz w:val="18"/>
          <w:szCs w:val="18"/>
          <w:color w:val="auto"/>
        </w:rPr>
      </w:pPr>
    </w:p>
    <w:p>
      <w:pPr>
        <w:ind w:left="372" w:right="280" w:hanging="372"/>
        <w:spacing w:after="0" w:line="282" w:lineRule="auto"/>
        <w:tabs>
          <w:tab w:leader="none" w:pos="3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10,313 Ordinary Shares and (ii) 37,125 Ordinary Shares underlying the Warrants owned by RiverNorth Capital Partners that will be exercisable within 60 days of the date hereof.</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89" w:right="359" w:bottom="1440" w:gutter="0" w:footer="0" w:header="0"/>
        </w:sectPr>
      </w:pPr>
    </w:p>
    <w:bookmarkStart w:id="123" w:name="page124"/>
    <w:bookmarkEnd w:id="123"/>
    <w:p>
      <w:pPr>
        <w:ind w:left="380" w:right="360" w:hanging="372"/>
        <w:spacing w:after="0" w:line="286"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RiverNorth Institutional Partners, L.P. (“</w:t>
      </w:r>
      <w:r>
        <w:rPr>
          <w:rFonts w:ascii="Times New Roman" w:cs="Times New Roman" w:eastAsia="Times New Roman" w:hAnsi="Times New Roman"/>
          <w:sz w:val="18"/>
          <w:szCs w:val="18"/>
          <w:b w:val="1"/>
          <w:bCs w:val="1"/>
          <w:i w:val="1"/>
          <w:iCs w:val="1"/>
          <w:color w:val="auto"/>
        </w:rPr>
        <w:t>RiverNorth Institutional Partners</w:t>
      </w:r>
      <w:r>
        <w:rPr>
          <w:rFonts w:ascii="Times New Roman" w:cs="Times New Roman" w:eastAsia="Times New Roman" w:hAnsi="Times New Roman"/>
          <w:sz w:val="18"/>
          <w:szCs w:val="18"/>
          <w:color w:val="auto"/>
        </w:rPr>
        <w:t>”) is 360 S. Rosemary Avenue, Suite 1420, West Palm Beach, Florida 33401.</w:t>
      </w:r>
    </w:p>
    <w:p>
      <w:pPr>
        <w:spacing w:after="0" w:line="50"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92,812 Ordinary Shares and (ii) 272,145 Ordinary Shares underlying the Warrants owned by RiverNorth Institutional Partners that will be exercisable within 60 days of the date hereof.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(100)The principal business address of RiverNorth SPAC Arbitrage Fund, L.P. (“</w:t>
      </w:r>
      <w:r>
        <w:rPr>
          <w:rFonts w:ascii="Times New Roman" w:cs="Times New Roman" w:eastAsia="Times New Roman" w:hAnsi="Times New Roman"/>
          <w:sz w:val="18"/>
          <w:szCs w:val="18"/>
          <w:b w:val="1"/>
          <w:bCs w:val="1"/>
          <w:i w:val="1"/>
          <w:iCs w:val="1"/>
          <w:color w:val="auto"/>
        </w:rPr>
        <w:t>RiverNorth SPAC Arbitrage Fund</w:t>
      </w:r>
      <w:r>
        <w:rPr>
          <w:rFonts w:ascii="Times New Roman" w:cs="Times New Roman" w:eastAsia="Times New Roman" w:hAnsi="Times New Roman"/>
          <w:sz w:val="18"/>
          <w:szCs w:val="18"/>
          <w:color w:val="auto"/>
        </w:rPr>
        <w:t>”) is 360 S. Rosemary Avenue, Suite</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1420, West Palm Beach, Florida 33401.</w:t>
      </w:r>
    </w:p>
    <w:p>
      <w:pPr>
        <w:spacing w:after="0" w:line="99" w:lineRule="exact"/>
        <w:rPr>
          <w:sz w:val="20"/>
          <w:szCs w:val="20"/>
          <w:color w:val="auto"/>
        </w:rPr>
      </w:pPr>
    </w:p>
    <w:p>
      <w:pPr>
        <w:ind w:left="380" w:right="240" w:hanging="376"/>
        <w:spacing w:after="0" w:line="282" w:lineRule="auto"/>
        <w:rPr>
          <w:sz w:val="20"/>
          <w:szCs w:val="20"/>
          <w:color w:val="auto"/>
        </w:rPr>
      </w:pPr>
      <w:r>
        <w:rPr>
          <w:rFonts w:ascii="Times New Roman" w:cs="Times New Roman" w:eastAsia="Times New Roman" w:hAnsi="Times New Roman"/>
          <w:sz w:val="18"/>
          <w:szCs w:val="18"/>
          <w:color w:val="auto"/>
        </w:rPr>
        <w:t>(101)Consists of (i) 103,125 Ordinary Shares and (ii) 371,250 Ordinary Shares underlying the Warrants owned by RiverNorth SPAC Arbitrage Fund that will be exercisable within 60 days of the date hereof.</w:t>
      </w:r>
    </w:p>
    <w:p>
      <w:pPr>
        <w:spacing w:after="0" w:line="54" w:lineRule="exact"/>
        <w:rPr>
          <w:sz w:val="20"/>
          <w:szCs w:val="20"/>
          <w:color w:val="auto"/>
        </w:rPr>
      </w:pPr>
    </w:p>
    <w:p>
      <w:pPr>
        <w:ind w:left="380" w:hanging="376"/>
        <w:spacing w:after="0" w:line="261" w:lineRule="auto"/>
        <w:rPr>
          <w:sz w:val="20"/>
          <w:szCs w:val="20"/>
          <w:color w:val="auto"/>
        </w:rPr>
      </w:pPr>
      <w:r>
        <w:rPr>
          <w:rFonts w:ascii="Times New Roman" w:cs="Times New Roman" w:eastAsia="Times New Roman" w:hAnsi="Times New Roman"/>
          <w:sz w:val="18"/>
          <w:szCs w:val="18"/>
          <w:color w:val="auto"/>
        </w:rPr>
        <w:t>(102)Offered securities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72" w:lineRule="exact"/>
        <w:rPr>
          <w:sz w:val="20"/>
          <w:szCs w:val="20"/>
          <w:color w:val="auto"/>
        </w:rPr>
      </w:pPr>
    </w:p>
    <w:p>
      <w:pPr>
        <w:ind w:left="380" w:right="800" w:hanging="376"/>
        <w:spacing w:after="0" w:line="282" w:lineRule="auto"/>
        <w:rPr>
          <w:sz w:val="20"/>
          <w:szCs w:val="20"/>
          <w:color w:val="auto"/>
        </w:rPr>
      </w:pPr>
      <w:r>
        <w:rPr>
          <w:rFonts w:ascii="Times New Roman" w:cs="Times New Roman" w:eastAsia="Times New Roman" w:hAnsi="Times New Roman"/>
          <w:sz w:val="18"/>
          <w:szCs w:val="18"/>
          <w:color w:val="auto"/>
        </w:rPr>
        <w:t>(103)Consists of (i) 16,320 Ordinary Shares and (ii) 9,283 Ordinary Shares, which is the maximum number of Ordinary Shares issuable upon the conversion of the Advance Subscription made by Mr. Lin.</w:t>
      </w:r>
    </w:p>
    <w:p>
      <w:pPr>
        <w:spacing w:after="0" w:line="54" w:lineRule="exact"/>
        <w:rPr>
          <w:sz w:val="20"/>
          <w:szCs w:val="20"/>
          <w:color w:val="auto"/>
        </w:rPr>
      </w:pPr>
    </w:p>
    <w:p>
      <w:pPr>
        <w:ind w:left="380" w:right="620" w:hanging="376"/>
        <w:spacing w:after="0" w:line="282" w:lineRule="auto"/>
        <w:rPr>
          <w:sz w:val="20"/>
          <w:szCs w:val="20"/>
          <w:color w:val="auto"/>
        </w:rPr>
      </w:pPr>
      <w:r>
        <w:rPr>
          <w:rFonts w:ascii="Times New Roman" w:cs="Times New Roman" w:eastAsia="Times New Roman" w:hAnsi="Times New Roman"/>
          <w:sz w:val="18"/>
          <w:szCs w:val="18"/>
          <w:color w:val="auto"/>
        </w:rPr>
        <w:t>(104)Consists of (i) 117,832 Ordinary Shares and (ii) 20,000 Ordinary Shares, which is the maximum number of Ordinary Shares issuable upon the conversion of the Advance Subscription made by Sam Lewis.</w:t>
      </w:r>
    </w:p>
    <w:p>
      <w:pPr>
        <w:spacing w:after="0" w:line="54" w:lineRule="exact"/>
        <w:rPr>
          <w:sz w:val="20"/>
          <w:szCs w:val="20"/>
          <w:color w:val="auto"/>
        </w:rPr>
      </w:pPr>
    </w:p>
    <w:p>
      <w:pPr>
        <w:ind w:left="380" w:right="20" w:hanging="376"/>
        <w:spacing w:after="0" w:line="261" w:lineRule="auto"/>
        <w:rPr>
          <w:sz w:val="20"/>
          <w:szCs w:val="20"/>
          <w:color w:val="auto"/>
        </w:rPr>
      </w:pPr>
      <w:r>
        <w:rPr>
          <w:rFonts w:ascii="Times New Roman" w:cs="Times New Roman" w:eastAsia="Times New Roman" w:hAnsi="Times New Roman"/>
          <w:sz w:val="18"/>
          <w:szCs w:val="18"/>
          <w:color w:val="auto"/>
        </w:rPr>
        <w:t>(105)Consists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cs="Times New Roman" w:eastAsia="Times New Roman" w:hAnsi="Times New Roman"/>
          <w:sz w:val="18"/>
          <w:szCs w:val="18"/>
          <w:b w:val="1"/>
          <w:bCs w:val="1"/>
          <w:i w:val="1"/>
          <w:iCs w:val="1"/>
          <w:color w:val="auto"/>
        </w:rPr>
        <w:t>Sandia Investment Management</w:t>
      </w:r>
      <w:r>
        <w:rPr>
          <w:rFonts w:ascii="Times New Roman" w:cs="Times New Roman" w:eastAsia="Times New Roman" w:hAnsi="Times New Roman"/>
          <w:sz w:val="18"/>
          <w:szCs w:val="18"/>
          <w:color w:val="auto"/>
        </w:rPr>
        <w:t>”). Tim Sichler is the majority owner of Sandia Investment Management. The principal business address of Sandia Investment Management is 201 Washington Street, Suite 2600, Boston, MA 02108.</w:t>
      </w:r>
    </w:p>
    <w:p>
      <w:pPr>
        <w:spacing w:after="0" w:line="72" w:lineRule="exact"/>
        <w:rPr>
          <w:sz w:val="20"/>
          <w:szCs w:val="20"/>
          <w:color w:val="auto"/>
        </w:rPr>
      </w:pPr>
    </w:p>
    <w:p>
      <w:pPr>
        <w:ind w:left="380" w:right="420" w:hanging="376"/>
        <w:spacing w:after="0" w:line="282" w:lineRule="auto"/>
        <w:rPr>
          <w:sz w:val="20"/>
          <w:szCs w:val="20"/>
          <w:color w:val="auto"/>
        </w:rPr>
      </w:pPr>
      <w:r>
        <w:rPr>
          <w:rFonts w:ascii="Times New Roman" w:cs="Times New Roman" w:eastAsia="Times New Roman" w:hAnsi="Times New Roman"/>
          <w:sz w:val="18"/>
          <w:szCs w:val="18"/>
          <w:color w:val="auto"/>
        </w:rPr>
        <w:t>(106)Consists of 3,372 Ordinary Shares, which is the maximum number of Ordinary Shares issuable upon the conversion of the Advance Subscription made by Sharat Williams.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(107)Consists of 35,155 Ordinary Shares, which is the maximum number of Ordinary Shares issuable upon conversion of the Convertible Note held by Ms.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Briggs.</w:t>
      </w:r>
    </w:p>
    <w:p>
      <w:pPr>
        <w:spacing w:after="0" w:line="99" w:lineRule="exact"/>
        <w:rPr>
          <w:sz w:val="20"/>
          <w:szCs w:val="20"/>
          <w:color w:val="auto"/>
        </w:rPr>
      </w:pPr>
    </w:p>
    <w:p>
      <w:pPr>
        <w:ind w:left="380" w:right="40" w:hanging="376"/>
        <w:spacing w:after="0" w:line="261" w:lineRule="auto"/>
        <w:rPr>
          <w:sz w:val="20"/>
          <w:szCs w:val="20"/>
          <w:color w:val="auto"/>
        </w:rPr>
      </w:pPr>
      <w:r>
        <w:rPr>
          <w:rFonts w:ascii="Times New Roman" w:cs="Times New Roman" w:eastAsia="Times New Roman" w:hAnsi="Times New Roman"/>
          <w:sz w:val="18"/>
          <w:szCs w:val="18"/>
          <w:color w:val="auto"/>
        </w:rPr>
        <w:t>(108)Consists of (i) 790,455 Ordinary Shares; (ii) 17,857 Ordinary Shares, which is the maximum number of Ordinary Shares issuable upon the conversion of the Promissory Note held by Tanist Group Limited, when converted at $7 per share; (iii) 166,666 Ordinary Shares, which is the maximum number of Ordinary Shares issuable upon the conversion of the Advance Subscription made by Tanist Group Limited; and (iv) 25,000 Ordinary Shares underlying the Private Warrants held by Tanist Group Limited.</w:t>
      </w:r>
    </w:p>
    <w:p>
      <w:pPr>
        <w:spacing w:after="0" w:line="72" w:lineRule="exact"/>
        <w:rPr>
          <w:sz w:val="20"/>
          <w:szCs w:val="20"/>
          <w:color w:val="auto"/>
        </w:rPr>
      </w:pPr>
    </w:p>
    <w:p>
      <w:pPr>
        <w:ind w:left="380" w:right="320" w:hanging="376"/>
        <w:spacing w:after="0" w:line="282" w:lineRule="auto"/>
        <w:rPr>
          <w:sz w:val="20"/>
          <w:szCs w:val="20"/>
          <w:color w:val="auto"/>
        </w:rPr>
      </w:pPr>
      <w:r>
        <w:rPr>
          <w:rFonts w:ascii="Times New Roman" w:cs="Times New Roman" w:eastAsia="Times New Roman" w:hAnsi="Times New Roman"/>
          <w:sz w:val="18"/>
          <w:szCs w:val="18"/>
          <w:color w:val="auto"/>
        </w:rPr>
        <w:t>(109)Consists of 17,078 Ordinary Shares, which is the maximum number of Ordinary Shares issuable upon the conversion of the Advance Subscription made by Techouts Solutions India Pvt ltd.</w:t>
      </w:r>
    </w:p>
    <w:p>
      <w:pPr>
        <w:spacing w:after="0" w:line="50" w:lineRule="exact"/>
        <w:rPr>
          <w:sz w:val="20"/>
          <w:szCs w:val="20"/>
          <w:color w:val="auto"/>
        </w:rPr>
      </w:pPr>
    </w:p>
    <w:p>
      <w:pPr>
        <w:ind w:left="380" w:right="180" w:hanging="373"/>
        <w:spacing w:after="0" w:line="282" w:lineRule="auto"/>
        <w:rPr>
          <w:sz w:val="20"/>
          <w:szCs w:val="20"/>
          <w:color w:val="auto"/>
        </w:rPr>
      </w:pPr>
      <w:r>
        <w:rPr>
          <w:rFonts w:ascii="Times New Roman" w:cs="Times New Roman" w:eastAsia="Times New Roman" w:hAnsi="Times New Roman"/>
          <w:sz w:val="17"/>
          <w:szCs w:val="17"/>
          <w:color w:val="auto"/>
        </w:rPr>
        <w:t>(110)K2 Genpar 2017 Inc., the General Partner of The K2 Principal Fund L.P. (the “</w:t>
      </w:r>
      <w:r>
        <w:rPr>
          <w:rFonts w:ascii="Times New Roman" w:cs="Times New Roman" w:eastAsia="Times New Roman" w:hAnsi="Times New Roman"/>
          <w:sz w:val="17"/>
          <w:szCs w:val="17"/>
          <w:b w:val="1"/>
          <w:bCs w:val="1"/>
          <w:i w:val="1"/>
          <w:iCs w:val="1"/>
          <w:color w:val="auto"/>
        </w:rPr>
        <w:t>K2 Partnership</w:t>
      </w:r>
      <w:r>
        <w:rPr>
          <w:rFonts w:ascii="Times New Roman" w:cs="Times New Roman" w:eastAsia="Times New Roman" w:hAnsi="Times New Roman"/>
          <w:sz w:val="17"/>
          <w:szCs w:val="17"/>
          <w:color w:val="auto"/>
        </w:rPr>
        <w:t>”), has appointed K2 &amp; Associates Investment Management Inc. as the manager of the K2 Partnership. These corporations are controlled by Shawn Kimel, who is the chairman and Chief Investment Officer of K2 &amp; Associates Investment Management Inc. and may be deemed to have voting and dispositive power of the securities held by the K2 Partnership. The principal business address of the K2 Partnership is 2 Bloor S West – Suite 801, Toronto Ontario, M4W 3E2, Canada.</w:t>
      </w:r>
    </w:p>
    <w:p>
      <w:pPr>
        <w:spacing w:after="0" w:line="57" w:lineRule="exact"/>
        <w:rPr>
          <w:sz w:val="20"/>
          <w:szCs w:val="20"/>
          <w:color w:val="auto"/>
        </w:rPr>
      </w:pPr>
    </w:p>
    <w:p>
      <w:pPr>
        <w:ind w:left="380" w:right="800" w:hanging="373"/>
        <w:spacing w:after="0" w:line="282" w:lineRule="auto"/>
        <w:rPr>
          <w:sz w:val="20"/>
          <w:szCs w:val="20"/>
          <w:color w:val="auto"/>
        </w:rPr>
      </w:pPr>
      <w:r>
        <w:rPr>
          <w:rFonts w:ascii="Times New Roman" w:cs="Times New Roman" w:eastAsia="Times New Roman" w:hAnsi="Times New Roman"/>
          <w:sz w:val="18"/>
          <w:szCs w:val="18"/>
          <w:color w:val="auto"/>
        </w:rPr>
        <w:t>(111)Consists of (i) 131,250 Ordinary Shares and (ii) 207,659 Ordinary Shares underlying the Warrants owned by the K2 Partnership that will be exercisable within 60 days of the date hereof.</w:t>
      </w:r>
    </w:p>
    <w:p>
      <w:pPr>
        <w:spacing w:after="0" w:line="54" w:lineRule="exact"/>
        <w:rPr>
          <w:sz w:val="20"/>
          <w:szCs w:val="20"/>
          <w:color w:val="auto"/>
        </w:rPr>
      </w:pPr>
    </w:p>
    <w:p>
      <w:pPr>
        <w:ind w:left="380" w:right="100" w:hanging="373"/>
        <w:spacing w:after="0" w:line="282" w:lineRule="auto"/>
        <w:rPr>
          <w:sz w:val="20"/>
          <w:szCs w:val="20"/>
          <w:color w:val="auto"/>
        </w:rPr>
      </w:pPr>
      <w:r>
        <w:rPr>
          <w:rFonts w:ascii="Times New Roman" w:cs="Times New Roman" w:eastAsia="Times New Roman" w:hAnsi="Times New Roman"/>
          <w:sz w:val="18"/>
          <w:szCs w:val="18"/>
          <w:color w:val="auto"/>
        </w:rPr>
        <w:t>(112)Mr. Decker served as a director of Armada, which became a wholly owned subsidiary of the Company in connection with the Business Combination, since August 2021. The principal business office of Mr. Decker is 517 Old Gulph Road, Bryn Mawr, PA 19010.</w:t>
      </w:r>
    </w:p>
    <w:p>
      <w:pPr>
        <w:spacing w:after="0" w:line="54" w:lineRule="exact"/>
        <w:rPr>
          <w:sz w:val="20"/>
          <w:szCs w:val="20"/>
          <w:color w:val="auto"/>
        </w:rPr>
      </w:pPr>
    </w:p>
    <w:p>
      <w:pPr>
        <w:ind w:left="380" w:right="140" w:hanging="373"/>
        <w:spacing w:after="0" w:line="266" w:lineRule="auto"/>
        <w:rPr>
          <w:sz w:val="20"/>
          <w:szCs w:val="20"/>
          <w:color w:val="auto"/>
        </w:rPr>
      </w:pPr>
      <w:r>
        <w:rPr>
          <w:rFonts w:ascii="Times New Roman" w:cs="Times New Roman" w:eastAsia="Times New Roman" w:hAnsi="Times New Roman"/>
          <w:sz w:val="18"/>
          <w:szCs w:val="18"/>
          <w:color w:val="auto"/>
        </w:rPr>
        <w:t>(113)Consists of (i) 440,634 Ordinary Shares, (ii) 8,929 Ordinary Shares, which is the maximum number of Ordinary Shares issuable upon the conversion of the Promissory Note held by Trustees of Risol Limited Pension, when converted at $7 per share, and (iii) 12,500 Ordinary Shares underlying the Private Warrants held by Trustees of Risol Limited Pension.</w:t>
      </w:r>
    </w:p>
    <w:p>
      <w:pPr>
        <w:spacing w:after="0" w:line="68" w:lineRule="exact"/>
        <w:rPr>
          <w:sz w:val="20"/>
          <w:szCs w:val="20"/>
          <w:color w:val="auto"/>
        </w:rPr>
      </w:pPr>
    </w:p>
    <w:p>
      <w:pPr>
        <w:ind w:left="380" w:right="220" w:hanging="373"/>
        <w:spacing w:after="0" w:line="282" w:lineRule="auto"/>
        <w:rPr>
          <w:sz w:val="20"/>
          <w:szCs w:val="20"/>
          <w:color w:val="auto"/>
        </w:rPr>
      </w:pPr>
      <w:r>
        <w:rPr>
          <w:rFonts w:ascii="Times New Roman" w:cs="Times New Roman" w:eastAsia="Times New Roman" w:hAnsi="Times New Roman"/>
          <w:sz w:val="18"/>
          <w:szCs w:val="18"/>
          <w:color w:val="auto"/>
        </w:rPr>
        <w:t>(114)Consists of (i) 8,929 Ordinary Shares, which is the maximum number of Ordinary Shares issuable upon the conversion of the Promissory Note held by UBIRY GmbH, when converted at $7 per share and (ii) 12,500 Ordinary Shares underlying the Private Warrants held by UBIRY GmbH.</w:t>
      </w:r>
    </w:p>
    <w:p>
      <w:pPr>
        <w:spacing w:after="0" w:line="50" w:lineRule="exact"/>
        <w:rPr>
          <w:sz w:val="20"/>
          <w:szCs w:val="20"/>
          <w:color w:val="auto"/>
        </w:rPr>
      </w:pPr>
    </w:p>
    <w:p>
      <w:pPr>
        <w:ind w:left="380" w:right="200" w:hanging="373"/>
        <w:spacing w:after="0" w:line="268" w:lineRule="auto"/>
        <w:rPr>
          <w:sz w:val="20"/>
          <w:szCs w:val="20"/>
          <w:color w:val="auto"/>
        </w:rPr>
      </w:pPr>
      <w:r>
        <w:rPr>
          <w:rFonts w:ascii="Times New Roman" w:cs="Times New Roman" w:eastAsia="Times New Roman" w:hAnsi="Times New Roman"/>
          <w:sz w:val="18"/>
          <w:szCs w:val="18"/>
          <w:color w:val="auto"/>
        </w:rPr>
        <w:t>(115)Walleye Investments Fund LLC (“</w:t>
      </w:r>
      <w:r>
        <w:rPr>
          <w:rFonts w:ascii="Times New Roman" w:cs="Times New Roman" w:eastAsia="Times New Roman" w:hAnsi="Times New Roman"/>
          <w:sz w:val="18"/>
          <w:szCs w:val="18"/>
          <w:b w:val="1"/>
          <w:bCs w:val="1"/>
          <w:i w:val="1"/>
          <w:iCs w:val="1"/>
          <w:color w:val="auto"/>
        </w:rPr>
        <w:t>Walleye Investments Fund</w:t>
      </w:r>
      <w:r>
        <w:rPr>
          <w:rFonts w:ascii="Times New Roman" w:cs="Times New Roman" w:eastAsia="Times New Roman" w:hAnsi="Times New Roman"/>
          <w:sz w:val="18"/>
          <w:szCs w:val="18"/>
          <w:color w:val="auto"/>
        </w:rPr>
        <w:t>”) is a private investment fund managed by Walleye Capital LLC (“</w:t>
      </w:r>
      <w:r>
        <w:rPr>
          <w:rFonts w:ascii="Times New Roman" w:cs="Times New Roman" w:eastAsia="Times New Roman" w:hAnsi="Times New Roman"/>
          <w:sz w:val="18"/>
          <w:szCs w:val="18"/>
          <w:b w:val="1"/>
          <w:bCs w:val="1"/>
          <w:i w:val="1"/>
          <w:iCs w:val="1"/>
          <w:color w:val="auto"/>
        </w:rPr>
        <w:t>Walleye Capital</w:t>
      </w:r>
      <w:r>
        <w:rPr>
          <w:rFonts w:ascii="Times New Roman" w:cs="Times New Roman" w:eastAsia="Times New Roman" w:hAnsi="Times New Roman"/>
          <w:sz w:val="18"/>
          <w:szCs w:val="18"/>
          <w:color w:val="auto"/>
        </w:rPr>
        <w:t>”). William England serves as the Chief Executive Officer of Walleye Capital. As a result, Walleye Capital and Mr. England may be deemed to have shared voting and dispositive power with respect to the shares held by Walleye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4" w:name="page125"/>
    <w:bookmarkEnd w:id="124"/>
    <w:p>
      <w:pPr>
        <w:ind w:left="340" w:right="80"/>
        <w:spacing w:after="0" w:line="255" w:lineRule="auto"/>
        <w:rPr>
          <w:sz w:val="20"/>
          <w:szCs w:val="20"/>
          <w:color w:val="auto"/>
        </w:rPr>
      </w:pPr>
      <w:r>
        <w:rPr>
          <w:rFonts w:ascii="Times New Roman" w:cs="Times New Roman" w:eastAsia="Times New Roman" w:hAnsi="Times New Roman"/>
          <w:sz w:val="18"/>
          <w:szCs w:val="18"/>
          <w:color w:val="auto"/>
        </w:rPr>
        <w:t>Investments Fund. Walleye Capital and Mr. England disclaim beneficial ownership of such shares except to the extent of each of their pecuniary interest therein. Walleye Investments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Investment Fund is 2800 Niagara Lane, Plymouth, MN 55447.</w:t>
      </w:r>
    </w:p>
    <w:p>
      <w:pPr>
        <w:spacing w:after="0" w:line="77" w:lineRule="exact"/>
        <w:rPr>
          <w:sz w:val="20"/>
          <w:szCs w:val="20"/>
          <w:color w:val="auto"/>
        </w:rPr>
      </w:pPr>
    </w:p>
    <w:p>
      <w:pPr>
        <w:ind w:left="340" w:right="20" w:hanging="373"/>
        <w:spacing w:after="0" w:line="271" w:lineRule="auto"/>
        <w:rPr>
          <w:sz w:val="20"/>
          <w:szCs w:val="20"/>
          <w:color w:val="auto"/>
        </w:rPr>
      </w:pPr>
      <w:r>
        <w:rPr>
          <w:rFonts w:ascii="Times New Roman" w:cs="Times New Roman" w:eastAsia="Times New Roman" w:hAnsi="Times New Roman"/>
          <w:sz w:val="17"/>
          <w:szCs w:val="17"/>
          <w:color w:val="auto"/>
        </w:rPr>
        <w:t>(116)Walleye Opportunities Master Fund Ltd (“</w:t>
      </w:r>
      <w:r>
        <w:rPr>
          <w:rFonts w:ascii="Times New Roman" w:cs="Times New Roman" w:eastAsia="Times New Roman" w:hAnsi="Times New Roman"/>
          <w:sz w:val="17"/>
          <w:szCs w:val="17"/>
          <w:b w:val="1"/>
          <w:bCs w:val="1"/>
          <w:i w:val="1"/>
          <w:iCs w:val="1"/>
          <w:color w:val="auto"/>
        </w:rPr>
        <w:t>Walleye Opportunities Fund</w:t>
      </w:r>
      <w:r>
        <w:rPr>
          <w:rFonts w:ascii="Times New Roman" w:cs="Times New Roman" w:eastAsia="Times New Roman" w:hAnsi="Times New Roman"/>
          <w:sz w:val="17"/>
          <w:szCs w:val="17"/>
          <w:color w:val="auto"/>
        </w:rPr>
        <w:t>”) is a private investment fund managed by Walleye Capital. William England serves as the Chief Executive Officer of Walleye Capital. As a result, Walleye Capital and Mr. England may be deemed to have shared voting and dispositive power with respect to the shares held by Walleye Opportunities Fund. Walleye Capital and Mr. England disclaim beneficial ownership of such shares except to the extent of each of their pecuniary interest therein. Walleye Opportunities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Opportunities Fund is 2800 Niagara Lane, Plymouth, MN 55447.</w:t>
      </w:r>
    </w:p>
    <w:p>
      <w:pPr>
        <w:spacing w:after="0" w:line="69" w:lineRule="exact"/>
        <w:rPr>
          <w:sz w:val="20"/>
          <w:szCs w:val="20"/>
          <w:color w:val="auto"/>
        </w:rPr>
      </w:pPr>
    </w:p>
    <w:p>
      <w:pPr>
        <w:ind w:left="340" w:right="580" w:hanging="373"/>
        <w:spacing w:after="0" w:line="282" w:lineRule="auto"/>
        <w:rPr>
          <w:sz w:val="20"/>
          <w:szCs w:val="20"/>
          <w:color w:val="auto"/>
        </w:rPr>
      </w:pPr>
      <w:r>
        <w:rPr>
          <w:rFonts w:ascii="Times New Roman" w:cs="Times New Roman" w:eastAsia="Times New Roman" w:hAnsi="Times New Roman"/>
          <w:sz w:val="18"/>
          <w:szCs w:val="18"/>
          <w:color w:val="auto"/>
        </w:rPr>
        <w:t>(117)Consists of (i) 72,208 Ordinary Shares and (ii) 31 Ordinary Shares underlying the Warrants owned by Walleye Opportunities Fund that will be exercisable within 60 days of the date hereof.</w:t>
      </w:r>
    </w:p>
    <w:p>
      <w:pPr>
        <w:spacing w:after="0" w:line="50" w:lineRule="exact"/>
        <w:rPr>
          <w:sz w:val="20"/>
          <w:szCs w:val="20"/>
          <w:color w:val="auto"/>
        </w:rPr>
      </w:pPr>
    </w:p>
    <w:p>
      <w:pPr>
        <w:ind w:left="340" w:right="40" w:hanging="373"/>
        <w:spacing w:after="0" w:line="256" w:lineRule="auto"/>
        <w:rPr>
          <w:sz w:val="20"/>
          <w:szCs w:val="20"/>
          <w:color w:val="auto"/>
        </w:rPr>
      </w:pPr>
      <w:r>
        <w:rPr>
          <w:rFonts w:ascii="Times New Roman" w:cs="Times New Roman" w:eastAsia="Times New Roman" w:hAnsi="Times New Roman"/>
          <w:sz w:val="18"/>
          <w:szCs w:val="18"/>
          <w:color w:val="auto"/>
        </w:rPr>
        <w:t>(118)Solomon J. Cohen, in his capacity as Director of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24th Floor, New York, NY 10019.</w:t>
      </w:r>
    </w:p>
    <w:p>
      <w:pPr>
        <w:spacing w:after="0" w:line="79" w:lineRule="exact"/>
        <w:rPr>
          <w:sz w:val="20"/>
          <w:szCs w:val="20"/>
          <w:color w:val="auto"/>
        </w:rPr>
      </w:pPr>
    </w:p>
    <w:p>
      <w:pPr>
        <w:ind w:left="340" w:hanging="373"/>
        <w:spacing w:after="0" w:line="282" w:lineRule="auto"/>
        <w:rPr>
          <w:sz w:val="20"/>
          <w:szCs w:val="20"/>
          <w:color w:val="auto"/>
        </w:rPr>
      </w:pPr>
      <w:r>
        <w:rPr>
          <w:rFonts w:ascii="Times New Roman" w:cs="Times New Roman" w:eastAsia="Times New Roman" w:hAnsi="Times New Roman"/>
          <w:sz w:val="18"/>
          <w:szCs w:val="18"/>
          <w:color w:val="auto"/>
        </w:rPr>
        <w:t>(119)Ms. Pao has been employed as a junior employee at the Taiwan branch of Rezolve since April 2022. The principal business address for Ms. Pao is 5F., No. 15, Ln. 128, Xinhu 1st Rd., Neihu District, Taipei City 114065, Taiwan (R.O.C.).</w:t>
      </w:r>
    </w:p>
    <w:p>
      <w:pPr>
        <w:spacing w:after="0" w:line="54" w:lineRule="exact"/>
        <w:rPr>
          <w:sz w:val="20"/>
          <w:szCs w:val="20"/>
          <w:color w:val="auto"/>
        </w:rPr>
      </w:pPr>
    </w:p>
    <w:p>
      <w:pPr>
        <w:ind w:left="340" w:right="400" w:hanging="376"/>
        <w:spacing w:after="0" w:line="282" w:lineRule="auto"/>
        <w:rPr>
          <w:sz w:val="20"/>
          <w:szCs w:val="20"/>
          <w:color w:val="auto"/>
        </w:rPr>
      </w:pPr>
      <w:r>
        <w:rPr>
          <w:rFonts w:ascii="Times New Roman" w:cs="Times New Roman" w:eastAsia="Times New Roman" w:hAnsi="Times New Roman"/>
          <w:sz w:val="18"/>
          <w:szCs w:val="18"/>
          <w:color w:val="auto"/>
        </w:rPr>
        <w:t>(120)Consists of 1,000 Ordinary Shares, which is the maximum number of Ordinary Shares issuable upon the conversion of the Advance Subscription made by Ms. Pao.</w:t>
      </w:r>
    </w:p>
    <w:p>
      <w:pPr>
        <w:spacing w:after="0" w:line="54" w:lineRule="exact"/>
        <w:rPr>
          <w:sz w:val="20"/>
          <w:szCs w:val="20"/>
          <w:color w:val="auto"/>
        </w:rPr>
      </w:pPr>
    </w:p>
    <w:p>
      <w:pPr>
        <w:ind w:left="340" w:right="220" w:hanging="376"/>
        <w:spacing w:after="0" w:line="282" w:lineRule="auto"/>
        <w:rPr>
          <w:sz w:val="20"/>
          <w:szCs w:val="20"/>
          <w:color w:val="auto"/>
        </w:rPr>
      </w:pPr>
      <w:r>
        <w:rPr>
          <w:rFonts w:ascii="Times New Roman" w:cs="Times New Roman" w:eastAsia="Times New Roman" w:hAnsi="Times New Roman"/>
          <w:sz w:val="18"/>
          <w:szCs w:val="18"/>
          <w:color w:val="auto"/>
        </w:rPr>
        <w:t>(121)Consists of 100,000 Ordinary Shares, which is the maximum number of Ordinary Shares issuable upon the conversion of the Advance Subscription made by Zedfesto Holding Ltd.</w:t>
      </w:r>
    </w:p>
    <w:p>
      <w:pPr>
        <w:spacing w:after="0" w:line="54" w:lineRule="exact"/>
        <w:rPr>
          <w:sz w:val="20"/>
          <w:szCs w:val="20"/>
          <w:color w:val="auto"/>
        </w:rPr>
      </w:pPr>
    </w:p>
    <w:p>
      <w:pPr>
        <w:ind w:left="340" w:right="400" w:hanging="376"/>
        <w:spacing w:after="0" w:line="282" w:lineRule="auto"/>
        <w:rPr>
          <w:sz w:val="20"/>
          <w:szCs w:val="20"/>
          <w:color w:val="auto"/>
        </w:rPr>
      </w:pPr>
      <w:r>
        <w:rPr>
          <w:rFonts w:ascii="Times New Roman" w:cs="Times New Roman" w:eastAsia="Times New Roman" w:hAnsi="Times New Roman"/>
          <w:sz w:val="18"/>
          <w:szCs w:val="18"/>
          <w:color w:val="auto"/>
        </w:rPr>
        <w:t>(122)Consists of 1,857 Ordinary Shares, which is the maximum number of Ordinary Shares issuable upon the conversion of the Advance Subscription made by Zheng Jie.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900" w:right="80" w:hanging="383"/>
        <w:spacing w:after="0" w:line="261"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6" w:name="page127"/>
    <w:bookmarkEnd w:id="126"/>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spacing w:after="0" w:line="52" w:lineRule="exact"/>
        <w:rPr>
          <w:sz w:val="20"/>
          <w:szCs w:val="20"/>
          <w:color w:val="auto"/>
        </w:rPr>
      </w:pPr>
    </w:p>
    <w:p>
      <w:pPr>
        <w:ind w:left="900" w:hanging="383"/>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54" w:lineRule="exact"/>
        <w:rPr>
          <w:sz w:val="20"/>
          <w:szCs w:val="20"/>
          <w:color w:val="auto"/>
        </w:rPr>
      </w:pPr>
    </w:p>
    <w:p>
      <w:pPr>
        <w:ind w:left="900" w:hanging="383"/>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0" w:name="page131"/>
    <w:bookmarkEnd w:id="130"/>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900" w:right="240" w:hanging="383"/>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2" w:name="page133"/>
    <w:bookmarkEnd w:id="132"/>
    <w:p>
      <w:pPr>
        <w:jc w:val="both"/>
        <w:ind w:left="900" w:right="40" w:hanging="383"/>
        <w:spacing w:after="0" w:line="266"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3" w:name="page134"/>
    <w:bookmarkEnd w:id="133"/>
    <w:p>
      <w:pPr>
        <w:ind w:right="220"/>
        <w:spacing w:after="0" w:line="282" w:lineRule="auto"/>
        <w:rPr>
          <w:sz w:val="20"/>
          <w:szCs w:val="20"/>
          <w:color w:val="auto"/>
        </w:rPr>
      </w:pPr>
      <w:r>
        <w:rPr>
          <w:rFonts w:ascii="Times New Roman" w:cs="Times New Roman" w:eastAsia="Times New Roman" w:hAnsi="Times New Roman"/>
          <w:sz w:val="18"/>
          <w:szCs w:val="18"/>
          <w:color w:val="auto"/>
        </w:rPr>
        <w:t>acquire, those shares on the same terms as the general offer. The offeror would do so by sending a notice to the outstanding minority shareholders telling them that it will compulsorily acquire their shares.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900" w:right="100" w:hanging="383"/>
        <w:spacing w:after="0" w:line="282"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900" w:hanging="38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4" w:name="page135"/>
    <w:bookmarkEnd w:id="134"/>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900" w:right="40" w:hanging="383"/>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900" w:hanging="383"/>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72" w:lineRule="exact"/>
        <w:rPr>
          <w:sz w:val="20"/>
          <w:szCs w:val="20"/>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This discussion is based on the Code, its legislative history, existing and proposed Treasury regulations promulgated under the Code (the “</w:t>
      </w:r>
      <w:r>
        <w:rPr>
          <w:rFonts w:ascii="Times New Roman" w:cs="Times New Roman" w:eastAsia="Times New Roman" w:hAnsi="Times New Roman"/>
          <w:sz w:val="17"/>
          <w:szCs w:val="17"/>
          <w:b w:val="1"/>
          <w:bCs w:val="1"/>
          <w:i w:val="1"/>
          <w:iCs w:val="1"/>
          <w:color w:val="auto"/>
        </w:rPr>
        <w:t>Treasury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Regulations</w:t>
      </w:r>
      <w:r>
        <w:rPr>
          <w:rFonts w:ascii="Times New Roman" w:cs="Times New Roman" w:eastAsia="Times New Roman" w:hAnsi="Times New Roman"/>
          <w:sz w:val="17"/>
          <w:szCs w:val="17"/>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9" w:name="page140"/>
    <w:bookmarkEnd w:id="139"/>
    <w:p>
      <w:pPr>
        <w:ind w:right="280"/>
        <w:spacing w:after="0" w:line="282" w:lineRule="auto"/>
        <w:rPr>
          <w:sz w:val="20"/>
          <w:szCs w:val="20"/>
          <w:color w:val="auto"/>
        </w:rPr>
      </w:pPr>
      <w:r>
        <w:rPr>
          <w:rFonts w:ascii="Times New Roman" w:cs="Times New Roman" w:eastAsia="Times New Roman" w:hAnsi="Times New Roman"/>
          <w:sz w:val="18"/>
          <w:szCs w:val="18"/>
          <w:color w:val="auto"/>
        </w:rPr>
        <w:t>IRS will not take positions concerning the tax consequences of the Business Combination that are different from those discussed below, or that any such different positions would not be sustained by a court.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4" w:lineRule="exact"/>
        <w:rPr>
          <w:sz w:val="20"/>
          <w:szCs w:val="20"/>
          <w:color w:val="auto"/>
        </w:rPr>
      </w:pPr>
    </w:p>
    <w:p>
      <w:pPr>
        <w:ind w:left="900" w:hanging="383"/>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ind w:right="480"/>
        <w:spacing w:after="0" w:line="282" w:lineRule="auto"/>
        <w:rPr>
          <w:sz w:val="20"/>
          <w:szCs w:val="20"/>
          <w:color w:val="auto"/>
        </w:rPr>
      </w:pPr>
      <w:r>
        <w:rPr>
          <w:rFonts w:ascii="Times New Roman" w:cs="Times New Roman" w:eastAsia="Times New Roman" w:hAnsi="Times New Roman"/>
          <w:sz w:val="18"/>
          <w:szCs w:val="18"/>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right="2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Generally. </w:t>
      </w:r>
      <w:r>
        <w:rPr>
          <w:rFonts w:ascii="Times New Roman" w:cs="Times New Roman" w:eastAsia="Times New Roman" w:hAnsi="Times New Roman"/>
          <w:sz w:val="17"/>
          <w:szCs w:val="17"/>
          <w:color w:val="auto"/>
        </w:rPr>
        <w:t>The treatment of U.S. holders of the Ordinary Shares could be materially different from that described above if Rezolve is treated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passive foreign investment company, or PFIC, for U.S. federal income tax purposes. A PFIC is any foreign corporation with respect to which either: (i)</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1" w:name="page142"/>
    <w:bookmarkEnd w:id="141"/>
    <w:p>
      <w:pPr>
        <w:ind w:right="20"/>
        <w:spacing w:after="0" w:line="258" w:lineRule="auto"/>
        <w:rPr>
          <w:sz w:val="20"/>
          <w:szCs w:val="20"/>
          <w:color w:val="auto"/>
        </w:rPr>
      </w:pPr>
      <w:r>
        <w:rPr>
          <w:rFonts w:ascii="Times New Roman" w:cs="Times New Roman" w:eastAsia="Times New Roman" w:hAnsi="Times New Roman"/>
          <w:sz w:val="18"/>
          <w:szCs w:val="18"/>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right="40" w:firstLine="8"/>
        <w:spacing w:after="0" w:line="253" w:lineRule="auto"/>
        <w:tabs>
          <w:tab w:leader="none" w:pos="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77" w:lineRule="exact"/>
        <w:rPr>
          <w:sz w:val="20"/>
          <w:szCs w:val="20"/>
          <w:color w:val="auto"/>
        </w:rPr>
      </w:pPr>
    </w:p>
    <w:p>
      <w:pPr>
        <w:ind w:left="900" w:hanging="383"/>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2" w:name="page143"/>
    <w:bookmarkEnd w:id="142"/>
    <w:p>
      <w:pPr>
        <w:ind w:right="80"/>
        <w:spacing w:after="0" w:line="258" w:lineRule="auto"/>
        <w:rPr>
          <w:sz w:val="20"/>
          <w:szCs w:val="20"/>
          <w:color w:val="auto"/>
        </w:rPr>
      </w:pPr>
      <w:r>
        <w:rPr>
          <w:rFonts w:ascii="Times New Roman" w:cs="Times New Roman" w:eastAsia="Times New Roman" w:hAnsi="Times New Roman"/>
          <w:sz w:val="18"/>
          <w:szCs w:val="18"/>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1" w:lineRule="exact"/>
        <w:rPr>
          <w:sz w:val="20"/>
          <w:szCs w:val="20"/>
          <w:color w:val="auto"/>
        </w:rPr>
      </w:pPr>
    </w:p>
    <w:p>
      <w:pPr>
        <w:jc w:val="both"/>
        <w:ind w:right="4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 xml:space="preserve">We are registering the issuance by us of up to 7,499,994 Ordinary Shares. We are also registering the resale, from time to time, by the Selling Holders or their permitted transferees of up to 185,068,790 Ordinary Shares, consisting of (i) 122,655,854 Ordinary Shares; (ii) 569,982 Ordinary Shares issuable in respect of the Private Warrants; (iii) 39,612,603 Ordinary Shares issuable upon conversion of the Convertible Notes; (iv) 15,374,145 Ordinary Shares issuable pursuant to the advanced subscription agreements; (v) 4,838,779 Ordinary Shares issuable pursuant to the </w:t>
      </w:r>
      <w:r>
        <w:rPr>
          <w:rFonts w:ascii="Times New Roman" w:cs="Times New Roman" w:eastAsia="Times New Roman" w:hAnsi="Times New Roman"/>
          <w:sz w:val="17"/>
          <w:szCs w:val="17"/>
          <w:color w:val="212529"/>
        </w:rPr>
        <w:t>Second A&amp;R</w:t>
      </w:r>
      <w:r>
        <w:rPr>
          <w:rFonts w:ascii="Times New Roman" w:cs="Times New Roman" w:eastAsia="Times New Roman" w:hAnsi="Times New Roman"/>
          <w:sz w:val="17"/>
          <w:szCs w:val="17"/>
          <w:color w:val="auto"/>
        </w:rPr>
        <w:t xml:space="preserve"> YA Agreement;</w:t>
      </w:r>
    </w:p>
    <w:p>
      <w:pPr>
        <w:spacing w:after="0" w:line="3" w:lineRule="exact"/>
        <w:rPr>
          <w:sz w:val="20"/>
          <w:szCs w:val="20"/>
          <w:color w:val="auto"/>
        </w:rPr>
      </w:pPr>
    </w:p>
    <w:p>
      <w:pPr>
        <w:ind w:right="120" w:firstLine="8"/>
        <w:spacing w:after="0" w:line="260" w:lineRule="auto"/>
        <w:tabs>
          <w:tab w:leader="none" w:pos="3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1,071,429 Ordinary Shares issuable upon conversion of the YA Notes</w:t>
      </w:r>
      <w:r>
        <w:rPr>
          <w:rFonts w:ascii="Times New Roman" w:cs="Times New Roman" w:eastAsia="Times New Roman" w:hAnsi="Times New Roman"/>
          <w:sz w:val="18"/>
          <w:szCs w:val="18"/>
          <w:color w:val="000000"/>
        </w:rPr>
        <w:t>; (vii) 400,625 Ordinary Shares issuable upon conversion of the Northland Note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and (viii) and 545,373 Ordinary Shares issuable upon the conversion of the Promissory Notes.</w:t>
      </w:r>
    </w:p>
    <w:p>
      <w:pPr>
        <w:spacing w:after="0" w:line="1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or Resolve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44" w:name="page145"/>
    <w:bookmarkEnd w:id="144"/>
    <w:p>
      <w:pPr>
        <w:spacing w:after="0" w:line="254" w:lineRule="auto"/>
        <w:rPr>
          <w:sz w:val="20"/>
          <w:szCs w:val="20"/>
          <w:color w:val="auto"/>
        </w:rPr>
      </w:pPr>
      <w:r>
        <w:rPr>
          <w:rFonts w:ascii="Times New Roman" w:cs="Times New Roman" w:eastAsia="Times New Roman" w:hAnsi="Times New Roman"/>
          <w:sz w:val="18"/>
          <w:szCs w:val="18"/>
          <w:color w:val="auto"/>
        </w:rPr>
        <w:t>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980" w:type="dxa"/>
            <w:vAlign w:val="bottom"/>
          </w:tcPr>
          <w:p>
            <w:pPr>
              <w:spacing w:after="0"/>
              <w:rPr>
                <w:sz w:val="15"/>
                <w:szCs w:val="15"/>
                <w:color w:val="auto"/>
              </w:rPr>
            </w:pPr>
          </w:p>
        </w:tc>
        <w:tc>
          <w:tcPr>
            <w:tcW w:w="11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224,719.14</w:t>
            </w:r>
          </w:p>
        </w:tc>
        <w:tc>
          <w:tcPr>
            <w:tcW w:w="60" w:type="dxa"/>
            <w:vAlign w:val="bottom"/>
            <w:shd w:val="clear" w:color="auto" w:fill="CFF0FC"/>
          </w:tcPr>
          <w:p>
            <w:pPr>
              <w:spacing w:after="0"/>
              <w:rPr>
                <w:sz w:val="18"/>
                <w:szCs w:val="18"/>
                <w:color w:val="auto"/>
              </w:rPr>
            </w:pPr>
          </w:p>
        </w:tc>
      </w:tr>
      <w:tr>
        <w:trPr>
          <w:trHeight w:val="198"/>
        </w:trPr>
        <w:tc>
          <w:tcPr>
            <w:tcW w:w="5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Limited offered by this prospectus and certain other legal matters related to this prospectus.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carve-out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Condensed Interim Carve-out Consolidated Financial Statements (Unaudited)</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interim Carve-out Consolidated Balance Sheets as of June 30, 2024 (Unaudited) and December 31, 2023</w:t>
            </w:r>
          </w:p>
        </w:tc>
        <w:tc>
          <w:tcPr>
            <w:tcW w:w="1880" w:type="dxa"/>
            <w:vAlign w:val="bottom"/>
            <w:gridSpan w:val="4"/>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interim Carve-out Consolidated Statements of Operations for the six months ended June 30, 2024 and 2023 (Unaudited)</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Comprehensive Loss (Unaudited)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Changes in Stockholders’ deficit for the six and the six months ended June 30, 2024</w:t>
            </w:r>
          </w:p>
        </w:tc>
        <w:tc>
          <w:tcPr>
            <w:tcW w:w="9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848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Cash Flows for the six and the six months ended June 30, 2024 and 2023</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5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interim Carve-out Consolidated Financial Statements June 30, 2024 (Unaudited)</w:t>
            </w:r>
          </w:p>
        </w:tc>
        <w:tc>
          <w:tcPr>
            <w:tcW w:w="27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65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Carve-out Consolidated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81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218"/>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Carve-out Consolidated Balance Sheets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F-28</w:t>
            </w:r>
          </w:p>
        </w:tc>
      </w:tr>
      <w:tr>
        <w:trPr>
          <w:trHeight w:val="20"/>
        </w:trPr>
        <w:tc>
          <w:tcPr>
            <w:tcW w:w="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Operations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20"/>
        </w:trPr>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Comprehensive Loss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Cash Flows </w:t>
            </w:r>
            <w:r>
              <w:rPr>
                <w:rFonts w:ascii="Times New Roman" w:cs="Times New Roman" w:eastAsia="Times New Roman" w:hAnsi="Times New Roman"/>
                <w:sz w:val="18"/>
                <w:szCs w:val="18"/>
                <w:color w:val="000000"/>
              </w:rPr>
              <w:t>(Restated)</w:t>
            </w:r>
          </w:p>
        </w:tc>
        <w:tc>
          <w:tcPr>
            <w:tcW w:w="512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the Carve-out Consolidated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453"/>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12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1980"/>
              <w:spacing w:after="0"/>
              <w:rPr>
                <w:sz w:val="20"/>
                <w:szCs w:val="20"/>
                <w:color w:val="auto"/>
              </w:rPr>
            </w:pPr>
            <w:r>
              <w:rPr>
                <w:rFonts w:ascii="Times New Roman" w:cs="Times New Roman" w:eastAsia="Times New Roman" w:hAnsi="Times New Roman"/>
                <w:sz w:val="18"/>
                <w:szCs w:val="18"/>
                <w:color w:val="auto"/>
                <w:w w:val="99"/>
              </w:rPr>
              <w:t>For the Three and Nine Month Periods Ended June 30,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June 30, 2024 and September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F-61</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nine months-ended June 30,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F-62</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nine months-ended June 30, 2024 and 2023</w:t>
            </w:r>
          </w:p>
        </w:tc>
        <w:tc>
          <w:tcPr>
            <w:tcW w:w="8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F-63</w:t>
            </w:r>
          </w:p>
        </w:tc>
      </w:tr>
      <w:tr>
        <w:trPr>
          <w:trHeight w:val="196"/>
        </w:trPr>
        <w:tc>
          <w:tcPr>
            <w:tcW w:w="20" w:type="dxa"/>
            <w:vAlign w:val="bottom"/>
          </w:tcPr>
          <w:p>
            <w:pPr>
              <w:spacing w:after="0"/>
              <w:rPr>
                <w:sz w:val="17"/>
                <w:szCs w:val="17"/>
                <w:color w:val="auto"/>
              </w:rPr>
            </w:pPr>
          </w:p>
        </w:tc>
        <w:tc>
          <w:tcPr>
            <w:tcW w:w="72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nine months ended June 30, 2024 and 2023</w:t>
            </w:r>
          </w:p>
        </w:tc>
        <w:tc>
          <w:tcPr>
            <w:tcW w:w="310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F-64</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F-65</w:t>
            </w:r>
          </w:p>
        </w:tc>
      </w:tr>
      <w:tr>
        <w:trPr>
          <w:trHeight w:val="434"/>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w w:val="99"/>
              </w:rPr>
              <w:t>For the Three and Six Month Periods Ended March 31,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March 31, 2024 and September 30,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F-85</w:t>
            </w:r>
          </w:p>
        </w:tc>
      </w:tr>
      <w:tr>
        <w:trPr>
          <w:trHeight w:val="20"/>
        </w:trPr>
        <w:tc>
          <w:tcPr>
            <w:tcW w:w="20" w:type="dxa"/>
            <w:vAlign w:val="bottom"/>
          </w:tcPr>
          <w:p>
            <w:pPr>
              <w:spacing w:after="0" w:line="20" w:lineRule="exact"/>
              <w:rPr>
                <w:sz w:val="1"/>
                <w:szCs w:val="1"/>
                <w:color w:val="auto"/>
              </w:rPr>
            </w:pPr>
          </w:p>
        </w:tc>
        <w:tc>
          <w:tcPr>
            <w:tcW w:w="6100" w:type="dxa"/>
            <w:vAlign w:val="bottom"/>
            <w:gridSpan w:val="1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months-ended March 31,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F-86</w:t>
            </w:r>
          </w:p>
        </w:tc>
      </w:tr>
      <w:tr>
        <w:trPr>
          <w:trHeight w:val="20"/>
        </w:trPr>
        <w:tc>
          <w:tcPr>
            <w:tcW w:w="20" w:type="dxa"/>
            <w:vAlign w:val="bottom"/>
          </w:tcPr>
          <w:p>
            <w:pPr>
              <w:spacing w:after="0" w:line="20" w:lineRule="exact"/>
              <w:rPr>
                <w:sz w:val="1"/>
                <w:szCs w:val="1"/>
                <w:color w:val="auto"/>
              </w:rPr>
            </w:pPr>
          </w:p>
        </w:tc>
        <w:tc>
          <w:tcPr>
            <w:tcW w:w="7240" w:type="dxa"/>
            <w:vAlign w:val="bottom"/>
            <w:gridSpan w:val="15"/>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six months-ended March 31, 2024 and 2023</w:t>
            </w:r>
          </w:p>
        </w:tc>
        <w:tc>
          <w:tcPr>
            <w:tcW w:w="7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F-87</w:t>
            </w:r>
          </w:p>
        </w:tc>
      </w:tr>
      <w:tr>
        <w:trPr>
          <w:trHeight w:val="196"/>
        </w:trPr>
        <w:tc>
          <w:tcPr>
            <w:tcW w:w="20" w:type="dxa"/>
            <w:vAlign w:val="bottom"/>
          </w:tcPr>
          <w:p>
            <w:pPr>
              <w:spacing w:after="0"/>
              <w:rPr>
                <w:sz w:val="17"/>
                <w:szCs w:val="17"/>
                <w:color w:val="auto"/>
              </w:rPr>
            </w:pPr>
          </w:p>
        </w:tc>
        <w:tc>
          <w:tcPr>
            <w:tcW w:w="7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six months ended March 31, 2024 and 2023</w:t>
            </w:r>
          </w:p>
        </w:tc>
        <w:tc>
          <w:tcPr>
            <w:tcW w:w="30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F-88</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669"/>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gridSpan w:val="13"/>
          </w:tcPr>
          <w:p>
            <w:pPr>
              <w:jc w:val="center"/>
              <w:ind w:right="4280"/>
              <w:spacing w:after="0"/>
              <w:rPr>
                <w:sz w:val="20"/>
                <w:szCs w:val="20"/>
                <w:color w:val="auto"/>
              </w:rPr>
            </w:pPr>
            <w:r>
              <w:rPr>
                <w:rFonts w:ascii="Times New Roman" w:cs="Times New Roman" w:eastAsia="Times New Roman" w:hAnsi="Times New Roman"/>
                <w:sz w:val="18"/>
                <w:szCs w:val="18"/>
                <w:color w:val="auto"/>
                <w:w w:val="95"/>
              </w:rPr>
              <w:t>F-1</w:t>
            </w: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Balance Sheets as of December 31, 2023 (Unaudited) and September 30, 2022</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F-106</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for the three and nine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F-107</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Changes in Stockholders’ Deficit for the three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F-108</w:t>
            </w:r>
          </w:p>
        </w:tc>
      </w:tr>
      <w:tr>
        <w:trPr>
          <w:trHeight w:val="196"/>
        </w:trPr>
        <w:tc>
          <w:tcPr>
            <w:tcW w:w="20" w:type="dxa"/>
            <w:vAlign w:val="bottom"/>
          </w:tcPr>
          <w:p>
            <w:pPr>
              <w:spacing w:after="0"/>
              <w:rPr>
                <w:sz w:val="17"/>
                <w:szCs w:val="17"/>
                <w:color w:val="auto"/>
              </w:rPr>
            </w:pPr>
          </w:p>
        </w:tc>
        <w:tc>
          <w:tcPr>
            <w:tcW w:w="932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nine months ended December 31, 2023 and 2022 (Unaudited)</w:t>
            </w:r>
          </w:p>
        </w:tc>
        <w:tc>
          <w:tcPr>
            <w:tcW w:w="740" w:type="dxa"/>
            <w:vAlign w:val="bottom"/>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F-109</w:t>
            </w:r>
          </w:p>
        </w:tc>
      </w:tr>
      <w:tr>
        <w:trPr>
          <w:trHeight w:val="196"/>
        </w:trPr>
        <w:tc>
          <w:tcPr>
            <w:tcW w:w="20" w:type="dxa"/>
            <w:vAlign w:val="bottom"/>
          </w:tcPr>
          <w:p>
            <w:pPr>
              <w:spacing w:after="0"/>
              <w:rPr>
                <w:sz w:val="17"/>
                <w:szCs w:val="17"/>
                <w:color w:val="auto"/>
              </w:rPr>
            </w:pPr>
          </w:p>
        </w:tc>
        <w:tc>
          <w:tcPr>
            <w:tcW w:w="772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2340" w:type="dxa"/>
            <w:vAlign w:val="bottom"/>
            <w:gridSpan w:val="3"/>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F-110</w:t>
            </w:r>
          </w:p>
        </w:tc>
      </w:tr>
      <w:tr>
        <w:trPr>
          <w:trHeight w:val="434"/>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1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00" w:type="dxa"/>
            <w:vAlign w:val="bottom"/>
            <w:gridSpan w:val="8"/>
          </w:tcPr>
          <w:p>
            <w:pPr>
              <w:jc w:val="center"/>
              <w:ind w:right="1060"/>
              <w:spacing w:after="0"/>
              <w:rPr>
                <w:sz w:val="20"/>
                <w:szCs w:val="20"/>
                <w:color w:val="auto"/>
              </w:rPr>
            </w:pPr>
            <w:r>
              <w:rPr>
                <w:rFonts w:ascii="Times New Roman" w:cs="Times New Roman" w:eastAsia="Times New Roman" w:hAnsi="Times New Roman"/>
                <w:sz w:val="18"/>
                <w:szCs w:val="18"/>
                <w:color w:val="auto"/>
                <w:w w:val="99"/>
              </w:rPr>
              <w:t>For the years ended September 30, 2023 and 2022</w:t>
            </w:r>
          </w:p>
        </w:tc>
        <w:tc>
          <w:tcPr>
            <w:tcW w:w="116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F-127</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Balance Sheets</w:t>
            </w:r>
          </w:p>
        </w:tc>
        <w:tc>
          <w:tcPr>
            <w:tcW w:w="3120" w:type="dxa"/>
            <w:vAlign w:val="bottom"/>
            <w:tcBorders>
              <w:top w:val="single" w:sz="8" w:color="0000FF"/>
            </w:tcBorders>
            <w:gridSpan w:val="6"/>
          </w:tcPr>
          <w:p>
            <w:pPr>
              <w:spacing w:after="0"/>
              <w:rPr>
                <w:sz w:val="17"/>
                <w:szCs w:val="17"/>
                <w:color w:val="auto"/>
              </w:rPr>
            </w:pPr>
          </w:p>
        </w:tc>
        <w:tc>
          <w:tcPr>
            <w:tcW w:w="5840" w:type="dxa"/>
            <w:vAlign w:val="bottom"/>
            <w:gridSpan w:val="5"/>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F-128</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F-129</w:t>
            </w:r>
          </w:p>
        </w:tc>
      </w:tr>
      <w:tr>
        <w:trPr>
          <w:trHeight w:val="20"/>
        </w:trPr>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(Deficit)</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F-130</w:t>
            </w:r>
          </w:p>
        </w:tc>
      </w:tr>
      <w:tr>
        <w:trPr>
          <w:trHeight w:val="196"/>
        </w:trPr>
        <w:tc>
          <w:tcPr>
            <w:tcW w:w="2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w:t>
            </w:r>
          </w:p>
        </w:tc>
        <w:tc>
          <w:tcPr>
            <w:tcW w:w="2180" w:type="dxa"/>
            <w:vAlign w:val="bottom"/>
            <w:tcBorders>
              <w:top w:val="single" w:sz="8" w:color="0000FF"/>
            </w:tcBorders>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F-131</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F-132</w:t>
            </w:r>
          </w:p>
        </w:tc>
      </w:tr>
      <w:tr>
        <w:trPr>
          <w:trHeight w:val="66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F-2</w:t>
            </w: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3"/>
                <w:szCs w:val="13"/>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70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0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430,691</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502,423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100" w:type="dxa"/>
            <w:vAlign w:val="bottom"/>
          </w:tcPr>
          <w:p>
            <w:pPr>
              <w:spacing w:after="0"/>
              <w:rPr>
                <w:sz w:val="18"/>
                <w:szCs w:val="18"/>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3,396,489</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3,458,031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4,055,537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1,093,471</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4,708,590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Ordinary shares payable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Promissory loan note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(current)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22,776,285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shd w:val="clear" w:color="auto" w:fill="CFF0FC"/>
          </w:tcPr>
          <w:p>
            <w:pPr>
              <w:spacing w:after="0"/>
              <w:rPr>
                <w:sz w:val="18"/>
                <w:szCs w:val="18"/>
                <w:color w:val="auto"/>
              </w:rPr>
            </w:pPr>
          </w:p>
        </w:tc>
      </w:tr>
      <w:tr>
        <w:trPr>
          <w:trHeight w:val="209"/>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debt </w:t>
            </w:r>
            <w:r>
              <w:rPr>
                <w:rFonts w:ascii="Times New Roman" w:cs="Times New Roman" w:eastAsia="Times New Roman" w:hAnsi="Times New Roman"/>
                <w:sz w:val="18"/>
                <w:szCs w:val="18"/>
                <w:i w:val="1"/>
                <w:iCs w:val="1"/>
                <w:color w:val="auto"/>
              </w:rPr>
              <w:t>(includes related party balances of $6,291,581)</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promissory notes </w:t>
            </w:r>
            <w:r>
              <w:rPr>
                <w:rFonts w:ascii="Times New Roman" w:cs="Times New Roman" w:eastAsia="Times New Roman" w:hAnsi="Times New Roman"/>
                <w:sz w:val="18"/>
                <w:szCs w:val="18"/>
                <w:i w:val="1"/>
                <w:iCs w:val="1"/>
                <w:color w:val="auto"/>
              </w:rPr>
              <w:t>(includes related party balances of $1,565,007)</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66,909,581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-3402330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-2836545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-2545080</wp:posOffset>
            </wp:positionV>
            <wp:extent cx="685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-873760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-16510</wp:posOffset>
            </wp:positionV>
            <wp:extent cx="685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5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2"/>
          </w:tcPr>
          <w:p>
            <w:pPr>
              <w:jc w:val="right"/>
              <w:ind w:right="5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73"/>
        </w:trPr>
        <w:tc>
          <w:tcPr>
            <w:tcW w:w="75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2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98"/>
        </w:trPr>
        <w:tc>
          <w:tcPr>
            <w:tcW w:w="7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nominal value 932,997,081 issued and outstanding as</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June 30, 2024 932,969,424 issued and outstanding as of December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40" w:type="dxa"/>
            <w:vAlign w:val="bottom"/>
          </w:tcPr>
          <w:p>
            <w:pPr>
              <w:spacing w:after="0"/>
              <w:rPr>
                <w:sz w:val="20"/>
                <w:szCs w:val="20"/>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Series stock series A, £0.0001 nominal value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176,274,941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(239,133,876)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(226,291,430)</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26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(62,949,127)</w:t>
            </w:r>
          </w:p>
        </w:tc>
        <w:tc>
          <w:tcPr>
            <w:tcW w:w="2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(54,284,884)</w:t>
            </w:r>
          </w:p>
        </w:tc>
        <w:tc>
          <w:tcPr>
            <w:tcW w:w="140" w:type="dxa"/>
            <w:vAlign w:val="bottom"/>
          </w:tcPr>
          <w:p>
            <w:pPr>
              <w:spacing w:after="0"/>
              <w:rPr>
                <w:sz w:val="18"/>
                <w:szCs w:val="18"/>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6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-319405</wp:posOffset>
            </wp:positionV>
            <wp:extent cx="85725"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-319405</wp:posOffset>
            </wp:positionV>
            <wp:extent cx="85725"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0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90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1,370,214 and 1,361,168, refer to Note 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i w:val="1"/>
                <w:iCs w:val="1"/>
                <w:color w:val="auto"/>
              </w:rPr>
              <w:t>5,754,682 and 1,733,938, refer to Note 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9,719,157</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14,376,233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(9,665,758 )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(14,329,469 )</w:t>
            </w:r>
          </w:p>
        </w:tc>
        <w:tc>
          <w:tcPr>
            <w:tcW w:w="0" w:type="dxa"/>
            <w:vAlign w:val="bottom"/>
          </w:tcPr>
          <w:p>
            <w:pPr>
              <w:spacing w:after="0"/>
              <w:rPr>
                <w:sz w:val="1"/>
                <w:szCs w:val="1"/>
                <w:color w:val="auto"/>
              </w:rPr>
            </w:pPr>
          </w:p>
        </w:tc>
      </w:tr>
      <w:tr>
        <w:trPr>
          <w:trHeight w:val="209"/>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 / income</w:t>
            </w: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(3,009,002 )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(3,054,946 )</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(107,816 )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(3,116,818 )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(2,883,195 )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(12,782,576 )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(17,212,664 )</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(59,870 )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(63,408 )</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(12,842,446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(17,276,072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927,893,144</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-2685415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-2685415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-1579880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-1288415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-722630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-452120</wp:posOffset>
            </wp:positionV>
            <wp:extent cx="939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-452120</wp:posOffset>
            </wp:positionV>
            <wp:extent cx="939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right="51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Interim Carve-out Consolidated Statements of Comprehensive Loss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320" w:type="dxa"/>
            <w:vAlign w:val="bottom"/>
            <w:gridSpan w:val="3"/>
            <w:shd w:val="clear" w:color="auto" w:fill="CFF0FC"/>
          </w:tcPr>
          <w:p>
            <w:pPr>
              <w:ind w:left="4100"/>
              <w:spacing w:after="0"/>
              <w:rPr>
                <w:sz w:val="20"/>
                <w:szCs w:val="20"/>
                <w:color w:val="auto"/>
              </w:rPr>
            </w:pPr>
            <w:r>
              <w:rPr>
                <w:rFonts w:ascii="Times New Roman" w:cs="Times New Roman" w:eastAsia="Times New Roman" w:hAnsi="Times New Roman"/>
                <w:sz w:val="18"/>
                <w:szCs w:val="18"/>
                <w:b w:val="1"/>
                <w:bCs w:val="1"/>
                <w:color w:val="auto"/>
              </w:rPr>
              <w:t>(12,842,446 )</w:t>
            </w: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(17,276,072 )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3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3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300" w:type="dxa"/>
            <w:vAlign w:val="bottom"/>
          </w:tcPr>
          <w:p>
            <w:pPr>
              <w:spacing w:after="0"/>
              <w:rPr>
                <w:sz w:val="18"/>
                <w:szCs w:val="18"/>
                <w:color w:val="auto"/>
              </w:rPr>
            </w:pPr>
          </w:p>
        </w:tc>
        <w:tc>
          <w:tcPr>
            <w:tcW w:w="20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(12,734,355 )</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(17,273,171 )</w:t>
            </w: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3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F-6</w:t>
            </w:r>
          </w:p>
        </w:tc>
        <w:tc>
          <w:tcPr>
            <w:tcW w:w="1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-1071245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-1071245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Changes in Stockholders’ Deficit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927,806,159</w:t>
            </w:r>
          </w:p>
        </w:tc>
        <w:tc>
          <w:tcPr>
            <w:tcW w:w="8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Common stock issued to</w:t>
            </w:r>
          </w:p>
        </w:tc>
        <w:tc>
          <w:tcPr>
            <w:tcW w:w="7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163,265</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from</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the</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932,969,424</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127,310</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20" w:type="dxa"/>
            <w:vAlign w:val="bottom"/>
            <w:vMerge w:val="continue"/>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932,969,424</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vMerge w:val="continue"/>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28,039,51</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7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27,757</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Warrants issued with loan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932,997,181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127,313</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8"/>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(81,179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0"/>
        </w:trPr>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(613 )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(17,276,072 )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bottom w:val="single" w:sz="8" w:color="auto"/>
            </w:tcBorders>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168,360,003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(212,831,404</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(78,278</w:t>
            </w:r>
          </w:p>
        </w:tc>
        <w:tc>
          <w:tcPr>
            <w:tcW w:w="2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(44,597,221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25,143</w:t>
            </w:r>
          </w:p>
        </w:tc>
        <w:tc>
          <w:tcPr>
            <w:tcW w:w="2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20" w:type="dxa"/>
            <w:vAlign w:val="bottom"/>
          </w:tcPr>
          <w:p>
            <w:pPr>
              <w:spacing w:after="0"/>
              <w:rPr>
                <w:sz w:val="18"/>
                <w:szCs w:val="18"/>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(12,842,446 )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(12,842,446 )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8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176,274,941</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(239,133,876</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(42,653</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(62,949,127</w:t>
            </w:r>
          </w:p>
        </w:tc>
        <w:tc>
          <w:tcPr>
            <w:tcW w:w="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-2862580</wp:posOffset>
            </wp:positionV>
            <wp:extent cx="7132320" cy="2825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-2296795</wp:posOffset>
            </wp:positionV>
            <wp:extent cx="713232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-1148080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-728345</wp:posOffset>
            </wp:positionV>
            <wp:extent cx="713232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-3363595</wp:posOffset>
            </wp:positionV>
            <wp:extent cx="7132320" cy="2311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-1971040</wp:posOffset>
            </wp:positionV>
            <wp:extent cx="7132320" cy="6858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-402590</wp:posOffset>
            </wp:positionV>
            <wp:extent cx="7145020" cy="415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5020" cy="415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40"/>
            <w:col w:w="5760"/>
          </w:cols>
          <w:pgMar w:left="320" w:top="981" w:right="419" w:bottom="1440" w:gutter="0" w:footer="0" w:header="0"/>
          <w:type w:val="continuous"/>
        </w:sectPr>
      </w:pP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interim carve-out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Carve-out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98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98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5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(12,842,446 )</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(17,276,072 )</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2,190,482</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1,291,429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 employees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1,852,702</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prepayment and other current assets</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(131,679 )</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(695,026 )</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accounts payable, accrued expenses and other payables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477,428</w:t>
            </w:r>
          </w:p>
        </w:tc>
        <w:tc>
          <w:tcPr>
            <w:tcW w:w="3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(263,348 )</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other payables with related parties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315,895</w:t>
            </w:r>
          </w:p>
        </w:tc>
        <w:tc>
          <w:tcPr>
            <w:tcW w:w="300" w:type="dxa"/>
            <w:vAlign w:val="bottom"/>
            <w:shd w:val="clear" w:color="auto" w:fill="CFF0FC"/>
          </w:tcPr>
          <w:p>
            <w:pPr>
              <w:spacing w:after="0"/>
              <w:rPr>
                <w:sz w:val="18"/>
                <w:szCs w:val="18"/>
                <w:color w:val="auto"/>
              </w:rPr>
            </w:pPr>
          </w:p>
        </w:tc>
        <w:tc>
          <w:tcPr>
            <w:tcW w:w="17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(125,000 )</w:t>
            </w:r>
          </w:p>
        </w:tc>
        <w:tc>
          <w:tcPr>
            <w:tcW w:w="0" w:type="dxa"/>
            <w:vAlign w:val="bottom"/>
          </w:tcPr>
          <w:p>
            <w:pPr>
              <w:spacing w:after="0"/>
              <w:rPr>
                <w:sz w:val="1"/>
                <w:szCs w:val="1"/>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(4,898,451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(8,818,307 )</w:t>
            </w: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(1,360,525 )</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(104,604 )</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(3,850 )</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(8,060 )</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(1,364,375</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(112,664 )</w:t>
            </w:r>
          </w:p>
        </w:tc>
        <w:tc>
          <w:tcPr>
            <w:tcW w:w="0" w:type="dxa"/>
            <w:vAlign w:val="bottom"/>
          </w:tcPr>
          <w:p>
            <w:pPr>
              <w:spacing w:after="0"/>
              <w:rPr>
                <w:sz w:val="1"/>
                <w:szCs w:val="1"/>
                <w:color w:val="auto"/>
              </w:rPr>
            </w:pPr>
          </w:p>
        </w:tc>
      </w:tr>
      <w:tr>
        <w:trPr>
          <w:trHeight w:val="20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Call up capital received from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222,306</w:t>
            </w:r>
          </w:p>
        </w:tc>
        <w:tc>
          <w:tcPr>
            <w:tcW w:w="3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short term debt obligation from related parties</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(250,000 )</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4,301,855</w:t>
            </w:r>
          </w:p>
        </w:tc>
        <w:tc>
          <w:tcPr>
            <w:tcW w:w="30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2,627,543</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6,274,161</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9,171,912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38,522</w:t>
            </w:r>
          </w:p>
        </w:tc>
        <w:tc>
          <w:tcPr>
            <w:tcW w:w="300" w:type="dxa"/>
            <w:vAlign w:val="bottom"/>
            <w:tcBorders>
              <w:bottom w:val="single" w:sz="8" w:color="CFF0FC"/>
            </w:tcBorders>
          </w:tcPr>
          <w:p>
            <w:pPr>
              <w:spacing w:after="0"/>
              <w:rPr>
                <w:sz w:val="18"/>
                <w:szCs w:val="18"/>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(159,230 )</w:t>
            </w:r>
          </w:p>
        </w:tc>
        <w:tc>
          <w:tcPr>
            <w:tcW w:w="0" w:type="dxa"/>
            <w:vAlign w:val="bottom"/>
          </w:tcPr>
          <w:p>
            <w:pPr>
              <w:spacing w:after="0"/>
              <w:rPr>
                <w:sz w:val="1"/>
                <w:szCs w:val="1"/>
                <w:color w:val="auto"/>
              </w:rPr>
            </w:pP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49,857</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60,298</w:t>
            </w:r>
          </w:p>
        </w:tc>
        <w:tc>
          <w:tcPr>
            <w:tcW w:w="3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121,091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expenses under advanced subscription agreements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-3372485</wp:posOffset>
            </wp:positionV>
            <wp:extent cx="120015" cy="179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0015" cy="17970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-2806700</wp:posOffset>
            </wp:positionV>
            <wp:extent cx="12001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-1542415</wp:posOffset>
            </wp:positionV>
            <wp:extent cx="946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-1259840</wp:posOffset>
            </wp:positionV>
            <wp:extent cx="94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-831215</wp:posOffset>
            </wp:positionV>
            <wp:extent cx="946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-831215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3"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266"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 and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VIEs to which we are the primary beneficiary.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2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 shareholding (%)</w:t>
            </w:r>
          </w:p>
        </w:tc>
        <w:tc>
          <w:tcPr>
            <w:tcW w:w="120" w:type="dxa"/>
            <w:vAlign w:val="bottom"/>
          </w:tcPr>
          <w:p>
            <w:pPr>
              <w:spacing w:after="0"/>
              <w:rPr>
                <w:sz w:val="15"/>
                <w:szCs w:val="15"/>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2021</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27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historically funded its operations with cash flow from debt and equity capital raises agreements from investors. The Company's principal uses of cash have been working capital and funding operations.</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$239.1 million. For the six months ended June 30, 2024, the Company incurred a net loss of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87"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8"/>
          <w:szCs w:val="18"/>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2027.</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80"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Recently issued accounting pronouncements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Recently adopted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5"/>
                <w:szCs w:val="15"/>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5,423,768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4,273,552</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from related 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20" w:type="dxa"/>
            <w:vAlign w:val="bottom"/>
          </w:tcPr>
          <w:p>
            <w:pPr>
              <w:spacing w:after="0"/>
              <w:rPr>
                <w:sz w:val="18"/>
                <w:szCs w:val="18"/>
                <w:color w:val="auto"/>
              </w:rPr>
            </w:pPr>
          </w:p>
        </w:tc>
      </w:tr>
      <w:tr>
        <w:trPr>
          <w:trHeight w:val="249"/>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42,325,131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38,690,644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Requiring Additional</w:t>
            </w:r>
          </w:p>
        </w:tc>
        <w:tc>
          <w:tcPr>
            <w:tcW w:w="134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at Par Value</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Paid in Capital</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rPr>
              <w:t xml:space="preserve">£ </w:t>
            </w:r>
            <w:r>
              <w:rPr>
                <w:rFonts w:ascii="Times New Roman" w:cs="Times New Roman" w:eastAsia="Times New Roman" w:hAnsi="Times New Roman"/>
                <w:sz w:val="14"/>
                <w:szCs w:val="14"/>
                <w:b w:val="1"/>
                <w:bCs w:val="1"/>
                <w:color w:val="000000"/>
              </w:rPr>
              <w:t>0.0001</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w w:val="99"/>
              </w:rPr>
              <w:t xml:space="preserve">£ </w:t>
            </w:r>
            <w:r>
              <w:rPr>
                <w:rFonts w:ascii="Times New Roman" w:cs="Times New Roman" w:eastAsia="Times New Roman" w:hAnsi="Times New Roman"/>
                <w:sz w:val="14"/>
                <w:szCs w:val="14"/>
                <w:b w:val="1"/>
                <w:bCs w:val="1"/>
                <w:color w:val="000000"/>
                <w:w w:val="99"/>
              </w:rPr>
              <w:t>0.016</w:t>
            </w: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at January 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30,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-16510</wp:posOffset>
            </wp:positionV>
            <wp:extent cx="6858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-16510</wp:posOffset>
            </wp:positionV>
            <wp:extent cx="6858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-16510</wp:posOffset>
            </wp:positionV>
            <wp:extent cx="6858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6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condensed interim carve-out consolidated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August 30, 2021, the Company executed a binding term sheet to acquire ANY from the Radio Group GmbH. In accordance with the binding term sheet, the Company issued 14,427,185 ordinary shares valued at $1.03 per share. The ordinary shares were 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8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60" w:type="dxa"/>
            <w:vAlign w:val="bottom"/>
          </w:tcPr>
          <w:p>
            <w:pPr>
              <w:spacing w:after="0"/>
              <w:rPr>
                <w:sz w:val="15"/>
                <w:szCs w:val="15"/>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122,364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(1,275 )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121,089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(67,032 )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18"/>
                <w:szCs w:val="18"/>
                <w:color w:val="auto"/>
              </w:rPr>
            </w:pPr>
          </w:p>
        </w:tc>
      </w:tr>
      <w:tr>
        <w:trPr>
          <w:trHeight w:val="236"/>
        </w:trPr>
        <w:tc>
          <w:tcPr>
            <w:tcW w:w="4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738,274</w:t>
            </w:r>
          </w:p>
        </w:tc>
        <w:tc>
          <w:tcPr>
            <w:tcW w:w="24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CFF0FC"/>
            </w:tcBorders>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(161,304 )</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935,991</w:t>
            </w:r>
          </w:p>
        </w:tc>
        <w:tc>
          <w:tcPr>
            <w:tcW w:w="240" w:type="dxa"/>
            <w:vAlign w:val="bottom"/>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(229,611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706,380</w:t>
            </w:r>
          </w:p>
        </w:tc>
        <w:tc>
          <w:tcPr>
            <w:tcW w:w="100" w:type="dxa"/>
            <w:vAlign w:val="bottom"/>
          </w:tcPr>
          <w:p>
            <w:pPr>
              <w:spacing w:after="0"/>
              <w:rPr>
                <w:sz w:val="17"/>
                <w:szCs w:val="17"/>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119,591</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(24,263 )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589,524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(18,225 )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571,299</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4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709,115</w:t>
            </w:r>
          </w:p>
        </w:tc>
        <w:tc>
          <w:tcPr>
            <w:tcW w:w="240" w:type="dxa"/>
            <w:vAlign w:val="bottom"/>
          </w:tcPr>
          <w:p>
            <w:pPr>
              <w:spacing w:after="0"/>
              <w:rPr>
                <w:sz w:val="17"/>
                <w:szCs w:val="17"/>
                <w:color w:val="auto"/>
              </w:rPr>
            </w:pPr>
          </w:p>
        </w:tc>
        <w:tc>
          <w:tcPr>
            <w:tcW w:w="186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b w:val="1"/>
                <w:bCs w:val="1"/>
                <w:color w:val="auto"/>
              </w:rPr>
              <w:t>(42,488 )</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666,627</w:t>
            </w: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4,050,668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(74,773 )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3,975,895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to related party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895,170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(795,050 )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2,875,038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(348,254 )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2,526,784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 payable</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 term debt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240" w:type="dxa"/>
            <w:vAlign w:val="bottom"/>
          </w:tcPr>
          <w:p>
            <w:pPr>
              <w:spacing w:after="0"/>
              <w:rPr>
                <w:sz w:val="18"/>
                <w:szCs w:val="18"/>
                <w:color w:val="auto"/>
              </w:rPr>
            </w:pPr>
          </w:p>
        </w:tc>
        <w:tc>
          <w:tcPr>
            <w:tcW w:w="1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100" w:type="dxa"/>
            <w:vAlign w:val="bottom"/>
            <w:shd w:val="clear" w:color="auto" w:fill="CFF0FC"/>
          </w:tcPr>
          <w:p>
            <w:pPr>
              <w:spacing w:after="0"/>
              <w:rPr>
                <w:sz w:val="18"/>
                <w:szCs w:val="18"/>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16,030,909</w:t>
            </w:r>
          </w:p>
        </w:tc>
        <w:tc>
          <w:tcPr>
            <w:tcW w:w="2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(1,218,077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14,812,832</w:t>
            </w:r>
          </w:p>
        </w:tc>
        <w:tc>
          <w:tcPr>
            <w:tcW w:w="100" w:type="dxa"/>
            <w:vAlign w:val="bottom"/>
          </w:tcPr>
          <w:p>
            <w:pPr>
              <w:spacing w:after="0"/>
              <w:rPr>
                <w:sz w:val="18"/>
                <w:szCs w:val="18"/>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30,968,733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(1,053,869 )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29,914,864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100" w:type="dxa"/>
            <w:vAlign w:val="bottom"/>
            <w:shd w:val="clear" w:color="auto" w:fill="CFF0FC"/>
          </w:tcPr>
          <w:p>
            <w:pPr>
              <w:spacing w:after="0"/>
              <w:rPr>
                <w:sz w:val="18"/>
                <w:szCs w:val="18"/>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32,211,266</w:t>
            </w:r>
          </w:p>
        </w:tc>
        <w:tc>
          <w:tcPr>
            <w:tcW w:w="2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(1,053,869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31,157,397</w:t>
            </w:r>
          </w:p>
        </w:tc>
        <w:tc>
          <w:tcPr>
            <w:tcW w:w="100" w:type="dxa"/>
            <w:vAlign w:val="bottom"/>
          </w:tcPr>
          <w:p>
            <w:pPr>
              <w:spacing w:after="0"/>
              <w:rPr>
                <w:sz w:val="19"/>
                <w:szCs w:val="19"/>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48,242,175</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(2,271,946)</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45,970,229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shares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(1,993 </w:t>
            </w: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A shares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168,358,010</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168,360,003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(213,740,307 </w:t>
            </w: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908,901</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(212,831,406 </w:t>
            </w:r>
            <w:r>
              <w:rPr>
                <w:rFonts w:ascii="Times New Roman" w:cs="Times New Roman" w:eastAsia="Times New Roman" w:hAnsi="Times New Roman"/>
                <w:sz w:val="18"/>
                <w:szCs w:val="18"/>
                <w:b w:val="1"/>
                <w:bCs w:val="1"/>
                <w:color w:val="auto"/>
              </w:rPr>
              <w:t>)</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(1,169,223 </w:t>
            </w: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1,090,946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(78,277 </w:t>
            </w: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(46,597,069 )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1,999,847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(44,597,222 )</w:t>
            </w: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7"/>
        </w:trPr>
        <w:tc>
          <w:tcPr>
            <w:tcW w:w="428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648"/>
        </w:trPr>
        <w:tc>
          <w:tcPr>
            <w:tcW w:w="4280" w:type="dxa"/>
            <w:vAlign w:val="bottom"/>
          </w:tcPr>
          <w:p>
            <w:pPr>
              <w:spacing w:after="0"/>
              <w:rPr>
                <w:sz w:val="24"/>
                <w:szCs w:val="24"/>
                <w:color w:val="auto"/>
              </w:rPr>
            </w:pPr>
          </w:p>
        </w:tc>
        <w:tc>
          <w:tcPr>
            <w:tcW w:w="334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F-15</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-5168265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-5172710</wp:posOffset>
            </wp:positionV>
            <wp:extent cx="9398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-5172710</wp:posOffset>
            </wp:positionV>
            <wp:extent cx="9398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-4594225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-4598035</wp:posOffset>
            </wp:positionV>
            <wp:extent cx="10287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-4598035</wp:posOffset>
            </wp:positionV>
            <wp:extent cx="9398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-4293870</wp:posOffset>
            </wp:positionV>
            <wp:extent cx="7747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-4293870</wp:posOffset>
            </wp:positionV>
            <wp:extent cx="6858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-3192145</wp:posOffset>
            </wp:positionV>
            <wp:extent cx="10287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-3192145</wp:posOffset>
            </wp:positionV>
            <wp:extent cx="9398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-3192145</wp:posOffset>
            </wp:positionV>
            <wp:extent cx="9398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-2626360</wp:posOffset>
            </wp:positionV>
            <wp:extent cx="102870"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-2626360</wp:posOffset>
            </wp:positionV>
            <wp:extent cx="9398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-2626360</wp:posOffset>
            </wp:positionV>
            <wp:extent cx="939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-1216660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7747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4,604,332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(4,557,568 )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2,334,088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(2,317,977 )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5,509,407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(799,233 )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4,710,174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11,112,591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(2,369,214 )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8,743,377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8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(258,329)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(1,080,110 )</w:t>
            </w: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26,813,263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(12,437,030 )</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14,376,233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(22,208,931 )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7,879,462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(14,329,469 )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(4,106,733)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1,051,787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(97,759 )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expenses, net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(3,837,223 )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954,028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(2,883,195 )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(26,046,154 )</w:t>
            </w:r>
          </w:p>
        </w:tc>
        <w:tc>
          <w:tcPr>
            <w:tcW w:w="1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8,833,490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(17,212,664 )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recovery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1,477,389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(1,540,797 )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rPr>
              <w:t>(63,408 )</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loss for the 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(17,276,072 )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188"/>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Weighted average number of shares – Basic and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922,013,028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922,013,028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 w:type="dxa"/>
            <w:vAlign w:val="bottom"/>
          </w:tcPr>
          <w:p>
            <w:pPr>
              <w:spacing w:after="0"/>
              <w:rPr>
                <w:sz w:val="15"/>
                <w:szCs w:val="15"/>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56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to net cash (used in)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(258,329 )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foreign exchange (gain)/loss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 based compensation issued to related parties for consultancy</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share 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prepayments and other current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customer list intangible asset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(1,459,336 )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1,459,336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4,134,431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(1,079,485 )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Decrease/(increase) in accounts receivable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(605 )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prepayment and other 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(931,436 )</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(695,026 )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receivable with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(320,702 )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320,702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accounts payable, accrued expenses and other payables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(825,679 )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562,331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(263,348 )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payables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(795,050 )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(125,000 )</w:t>
            </w:r>
          </w:p>
        </w:tc>
        <w:tc>
          <w:tcPr>
            <w:tcW w:w="0" w:type="dxa"/>
            <w:vAlign w:val="bottom"/>
          </w:tcPr>
          <w:p>
            <w:pPr>
              <w:spacing w:after="0"/>
              <w:rPr>
                <w:sz w:val="1"/>
                <w:szCs w:val="1"/>
                <w:color w:val="auto"/>
              </w:rPr>
            </w:pPr>
          </w:p>
        </w:tc>
      </w:tr>
      <w:tr>
        <w:trPr>
          <w:trHeight w:val="155"/>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(8,962,030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143,723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(8,818,307</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Development of intangible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0" w:type="dxa"/>
            <w:vAlign w:val="bottom"/>
          </w:tcPr>
          <w:p>
            <w:pPr>
              <w:spacing w:after="0"/>
              <w:rPr>
                <w:sz w:val="1"/>
                <w:szCs w:val="1"/>
                <w:color w:val="auto"/>
              </w:rPr>
            </w:pPr>
          </w:p>
        </w:tc>
      </w:tr>
      <w:tr>
        <w:trPr>
          <w:trHeight w:val="155"/>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rights issuance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 of short term debt obligation from related parties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 from related party</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convertible debt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Net cash flow generated from financing activities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(16,563 )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(142,667 )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(159,230 )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change in cash</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80,655</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1,056</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81,711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(1,273 )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-5709285</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-5709285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-5709285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-5040630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-5043805</wp:posOffset>
            </wp:positionV>
            <wp:extent cx="68580" cy="1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-5043805</wp:posOffset>
            </wp:positionV>
            <wp:extent cx="68580" cy="114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-4838065</wp:posOffset>
            </wp:positionV>
            <wp:extent cx="76835" cy="114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-4838065</wp:posOffset>
            </wp:positionV>
            <wp:extent cx="68580" cy="114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-4838065</wp:posOffset>
            </wp:positionV>
            <wp:extent cx="68580" cy="11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-4443730</wp:posOffset>
            </wp:positionV>
            <wp:extent cx="76835" cy="11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-4443730</wp:posOffset>
            </wp:positionV>
            <wp:extent cx="68580" cy="11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-4443730</wp:posOffset>
            </wp:positionV>
            <wp:extent cx="68580" cy="11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-1727200</wp:posOffset>
            </wp:positionV>
            <wp:extent cx="102870" cy="145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-1727200</wp:posOffset>
            </wp:positionV>
            <wp:extent cx="9398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-1727200</wp:posOffset>
            </wp:positionV>
            <wp:extent cx="111125"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-1324610</wp:posOffset>
            </wp:positionV>
            <wp:extent cx="102870"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-1324610</wp:posOffset>
            </wp:positionV>
            <wp:extent cx="93980" cy="1454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-1324610</wp:posOffset>
            </wp:positionV>
            <wp:extent cx="111125" cy="1454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-534670</wp:posOffset>
            </wp:positionV>
            <wp:extent cx="77470" cy="11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-535940</wp:posOffset>
            </wp:positionV>
            <wp:extent cx="9398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-535940</wp:posOffset>
            </wp:positionV>
            <wp:extent cx="11112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-320040</wp:posOffset>
            </wp:positionV>
            <wp:extent cx="77470" cy="114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-320040</wp:posOffset>
            </wp:positionV>
            <wp:extent cx="68580" cy="114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-320040</wp:posOffset>
            </wp:positionV>
            <wp:extent cx="85725" cy="11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Level 1—Observable 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00" w:type="dxa"/>
            <w:vAlign w:val="bottom"/>
            <w:shd w:val="clear" w:color="auto" w:fill="CFF0FC"/>
          </w:tcPr>
          <w:p>
            <w:pPr>
              <w:spacing w:after="0"/>
              <w:rPr>
                <w:sz w:val="18"/>
                <w:szCs w:val="18"/>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shares payable was valued using a discounted cash flow method using a risk adjusted discount rate of 10.8%.</w:t>
      </w:r>
    </w:p>
    <w:p>
      <w:pPr>
        <w:spacing w:after="0" w:line="22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equivalents, accounts receivables, accounts payable and accrued expenses approximated their fair values due to their short maturities.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As at June 30, 2024 and December 31, 2023,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23, 2024</w:t>
            </w:r>
          </w:p>
        </w:tc>
        <w:tc>
          <w:tcPr>
            <w:tcW w:w="2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r>
      <w:tr>
        <w:trPr>
          <w:trHeight w:val="21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Amazon Web Services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207,829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Input tax credit receivable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150,681</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20" w:type="dxa"/>
            <w:vAlign w:val="bottom"/>
            <w:tcBorders>
              <w:bottom w:val="single" w:sz="8" w:color="CFF0FC"/>
            </w:tcBorders>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430,691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1,014,094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3,218,169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2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4,232,263</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(835,774 )</w:t>
            </w: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(736,834 )</w:t>
            </w: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3,396,489</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-1464945</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-1448435</wp:posOffset>
            </wp:positionV>
            <wp:extent cx="1028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-1610995</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-1464945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-1448435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-1610995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-453390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in each of the six months ended June 30, 2024 and June 30, 2023 was $ $98,940.</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from Related parties (5.1)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(5.2)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 (5.5)</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1,298,734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37,446,343</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promissory notes (5.4)</w:t>
            </w:r>
          </w:p>
        </w:tc>
        <w:tc>
          <w:tcPr>
            <w:tcW w:w="1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7"/>
                <w:szCs w:val="17"/>
                <w:color w:val="auto"/>
              </w:rPr>
            </w:pPr>
          </w:p>
        </w:tc>
        <w:tc>
          <w:tcPr>
            <w:tcW w:w="18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 (5.3)</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-711200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-711200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details of the Company’s debt are follows: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Short-term debt from Related parties: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Each loan bore a borrowing fee of $660,000 and €660,000, respectively, which has been recorded in interest expense in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The loans were due to mature on July 31, 2023 or at the option of the investor, can be converted into ordinary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accrued borrowing fees at a conversion rate of 0.50 to the Company’s share price at listing after completing any reorganization.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repaid by the maturity date and therefore the Company was in default of the two unsecured convertible loans and the loans remained repayable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at December 31, 2023 for a total of $5,587,343 including their accrued borrowing fee. On January 26, 2024, the two unsecured convertible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added to the Company’s senior secured convertible notes (note 5.3). The loan principal and accrued borrowing fees were rounded to a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 The key terms of the loan amendment include that of the senior secured convertible notes, as noted below:</w:t>
      </w:r>
    </w:p>
    <w:p>
      <w:pPr>
        <w:spacing w:after="0" w:line="99" w:lineRule="exact"/>
        <w:rPr>
          <w:sz w:val="20"/>
          <w:szCs w:val="20"/>
          <w:color w:val="auto"/>
        </w:rPr>
      </w:pPr>
    </w:p>
    <w:p>
      <w:pPr>
        <w:ind w:left="520" w:right="520" w:hanging="512"/>
        <w:spacing w:after="0" w:line="282"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1" w:lineRule="exact"/>
        <w:rPr>
          <w:sz w:val="20"/>
          <w:szCs w:val="20"/>
          <w:color w:val="auto"/>
        </w:rPr>
      </w:pPr>
    </w:p>
    <w:p>
      <w:pPr>
        <w:ind w:left="52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The loan includes principal of $125,000 and $11,943 of interest. The loan was originally entered into March 2, 2023 and bore interest at 7.5% per annum. Upon adding to the Company's senior secured convertible note on January 26, 2024, the note now bears the same terms and conditions as Igor Lychagov's loan discussed above in note 5.2.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19"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68"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left="520" w:right="50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20" w:hanging="512"/>
        <w:spacing w:after="0" w:line="266"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w:t>
      </w:r>
    </w:p>
    <w:p>
      <w:pPr>
        <w:spacing w:after="0" w:line="54" w:lineRule="exact"/>
        <w:rPr>
          <w:sz w:val="20"/>
          <w:szCs w:val="20"/>
          <w:color w:val="auto"/>
        </w:rPr>
      </w:pPr>
    </w:p>
    <w:p>
      <w:pPr>
        <w:ind w:left="1020" w:right="500" w:hanging="503"/>
        <w:spacing w:after="0" w:line="266"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is the Company’s current intent to settle the principal amount and accrued interest of its outstanding convertible debt in the Company’s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August 16, 2024, and extension to the maturity date to at least August 16, 2027, the Company classified the Convertible debt as non-current as at June 30, 2024 under the guidance in ASC 470-10-45-14.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5"/>
                <w:szCs w:val="15"/>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 debt under troubled debt</w:t>
            </w: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38,737,594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31,220,528</w:t>
            </w:r>
          </w:p>
        </w:tc>
        <w:tc>
          <w:tcPr>
            <w:tcW w:w="120" w:type="dxa"/>
            <w:vAlign w:val="bottom"/>
          </w:tcPr>
          <w:p>
            <w:pPr>
              <w:spacing w:after="0"/>
              <w:rPr>
                <w:sz w:val="17"/>
                <w:szCs w:val="17"/>
                <w:color w:val="auto"/>
              </w:rPr>
            </w:pPr>
          </w:p>
        </w:tc>
      </w:tr>
      <w:tr>
        <w:trPr>
          <w:trHeight w:val="221"/>
        </w:trPr>
        <w:tc>
          <w:tcPr>
            <w:tcW w:w="170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170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38,737,594</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560"/>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Convertible promissory notes:</w:t>
            </w: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1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2,508,685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70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w:t>
            </w:r>
          </w:p>
        </w:tc>
        <w:tc>
          <w:tcPr>
            <w:tcW w:w="8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2,887,017</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700" w:type="dxa"/>
            <w:vAlign w:val="bottom"/>
          </w:tcPr>
          <w:p>
            <w:pPr>
              <w:spacing w:after="0"/>
              <w:rPr>
                <w:sz w:val="18"/>
                <w:szCs w:val="18"/>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promissory notes</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5,395,702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-1139190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-1139190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-166370</wp:posOffset>
            </wp:positionV>
            <wp:extent cx="93980"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77" w:lineRule="exact"/>
        <w:rPr>
          <w:sz w:val="20"/>
          <w:szCs w:val="20"/>
          <w:color w:val="auto"/>
        </w:rPr>
      </w:pPr>
    </w:p>
    <w:p>
      <w:pPr>
        <w:jc w:val="both"/>
        <w:ind w:right="460" w:firstLine="509"/>
        <w:spacing w:after="0" w:line="234" w:lineRule="auto"/>
        <w:rPr>
          <w:sz w:val="20"/>
          <w:szCs w:val="20"/>
          <w:color w:val="auto"/>
        </w:rPr>
      </w:pPr>
      <w:r>
        <w:rPr>
          <w:rFonts w:ascii="Times New Roman" w:cs="Times New Roman" w:eastAsia="Times New Roman" w:hAnsi="Times New Roman"/>
          <w:sz w:val="18"/>
          <w:szCs w:val="18"/>
          <w:color w:val="auto"/>
        </w:rPr>
        <w:t>On February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9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and long-term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 (6.1)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(6.2)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r>
    </w:tbl>
    <w:p>
      <w:pPr>
        <w:spacing w:after="0" w:line="221" w:lineRule="exact"/>
        <w:rPr>
          <w:sz w:val="20"/>
          <w:szCs w:val="20"/>
          <w:color w:val="auto"/>
        </w:rPr>
      </w:pPr>
    </w:p>
    <w:p>
      <w:pPr>
        <w:ind w:left="520" w:right="20" w:hanging="508"/>
        <w:spacing w:after="0" w:line="254"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88" w:lineRule="exact"/>
        <w:rPr>
          <w:sz w:val="20"/>
          <w:szCs w:val="20"/>
          <w:color w:val="auto"/>
        </w:rPr>
      </w:pPr>
    </w:p>
    <w:p>
      <w:pPr>
        <w:ind w:left="520" w:hanging="508"/>
        <w:spacing w:after="0" w:line="245"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On October 7th, 2021, the Group acquired Jaymax International Service Inc. (“Jaymax”) (later renamed to “Rezolve Taiwan Limited”). As part of the acquisition of Jaymax, the Company agreed to issue $1,400,000 in Rezolve common stock to Jaymax’s former owner for completion of a 3-year noncompete period which began on the October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304" w:lineRule="exact"/>
        <w:rPr>
          <w:sz w:val="20"/>
          <w:szCs w:val="20"/>
          <w:color w:val="auto"/>
        </w:rPr>
      </w:pPr>
    </w:p>
    <w:p>
      <w:pPr>
        <w:ind w:left="380" w:hanging="372"/>
        <w:spacing w:after="0"/>
        <w:tabs>
          <w:tab w:leader="none" w:pos="3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Non-operating (income)/ expenses,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327,383</w:t>
            </w:r>
          </w:p>
        </w:tc>
      </w:tr>
      <w:tr>
        <w:trPr>
          <w:trHeight w:val="216"/>
        </w:trPr>
        <w:tc>
          <w:tcPr>
            <w:tcW w:w="17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(496,448 )</w:t>
            </w:r>
          </w:p>
        </w:tc>
      </w:tr>
      <w:tr>
        <w:trPr>
          <w:trHeight w:val="216"/>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340" w:type="dxa"/>
            <w:vAlign w:val="bottom"/>
            <w:gridSpan w:val="2"/>
            <w:shd w:val="clear" w:color="auto" w:fill="CFF0FC"/>
          </w:tcPr>
          <w:p>
            <w:pPr>
              <w:spacing w:after="0"/>
              <w:rPr>
                <w:sz w:val="18"/>
                <w:szCs w:val="18"/>
                <w:color w:val="auto"/>
              </w:rPr>
            </w:pP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(408 )</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1700" w:type="dxa"/>
            <w:vAlign w:val="bottom"/>
          </w:tcPr>
          <w:p>
            <w:pPr>
              <w:spacing w:after="0"/>
              <w:rPr>
                <w:sz w:val="18"/>
                <w:szCs w:val="18"/>
                <w:color w:val="auto"/>
              </w:rPr>
            </w:pPr>
          </w:p>
        </w:tc>
        <w:tc>
          <w:tcPr>
            <w:tcW w:w="21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tcBorders>
              <w:top w:val="single" w:sz="8" w:color="CFF0FC"/>
            </w:tcBorders>
            <w:gridSpan w:val="2"/>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107,816</w:t>
            </w:r>
          </w:p>
        </w:tc>
        <w:tc>
          <w:tcPr>
            <w:tcW w:w="26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(171,751 )</w:t>
            </w:r>
          </w:p>
        </w:tc>
      </w:tr>
      <w:tr>
        <w:trPr>
          <w:trHeight w:val="56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Related party disclosures</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Key managerial personnel (KMP) and Members of their immediate families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64"/>
        </w:trPr>
        <w:tc>
          <w:tcPr>
            <w:tcW w:w="17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512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executive officer, products, technology and digital services</w:t>
            </w: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technical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executive officer, Rezolve China</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deputy chairman</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-2390775</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520" w:right="400" w:hanging="512"/>
        <w:spacing w:after="0" w:line="282"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and outstanding balances with related parties were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period</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5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Igor Lychagov (number of Ordinary shares issued in 2023</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- 163,265)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79,180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110,776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135,393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115,682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673,282</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673,282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345,896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184,627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200,129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Rezolve China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570,917</w:t>
            </w:r>
          </w:p>
        </w:tc>
      </w:tr>
    </w:tbl>
    <w:p>
      <w:pPr>
        <w:spacing w:after="0" w:line="179" w:lineRule="exact"/>
        <w:rPr>
          <w:sz w:val="20"/>
          <w:szCs w:val="20"/>
          <w:color w:val="auto"/>
        </w:rPr>
      </w:pPr>
    </w:p>
    <w:p>
      <w:pPr>
        <w:ind w:left="520" w:hanging="512"/>
        <w:spacing w:after="0" w:line="261"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ind w:left="520" w:hanging="512"/>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5" w:right="7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3"/>
                <w:szCs w:val="13"/>
                <w:color w:val="auto"/>
              </w:rPr>
            </w:pP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4380" w:type="dxa"/>
            <w:vAlign w:val="bottom"/>
          </w:tcPr>
          <w:p>
            <w:pPr>
              <w:spacing w:after="0"/>
              <w:rPr>
                <w:sz w:val="15"/>
                <w:szCs w:val="15"/>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Unsecured Loans payable</w:t>
            </w:r>
          </w:p>
        </w:tc>
        <w:tc>
          <w:tcPr>
            <w:tcW w:w="1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447,067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334,725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147,485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61,495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31,248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58,320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127,325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7,999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 (note 5.2)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 (note 5.3)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6,028,177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5,587,343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1,260,417</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240" w:type="dxa"/>
            <w:vAlign w:val="bottom"/>
          </w:tcPr>
          <w:p>
            <w:pPr>
              <w:spacing w:after="0"/>
              <w:rPr>
                <w:sz w:val="20"/>
                <w:szCs w:val="20"/>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280"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Close of business combination with Armada Acquisition Corp I. (“Armada”)</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to the Yorkville Note</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5" w:right="559" w:bottom="1440" w:gutter="0" w:footer="0" w:header="0"/>
        </w:sectPr>
      </w:pPr>
    </w:p>
    <w:bookmarkStart w:id="172" w:name="page173"/>
    <w:bookmarkEnd w:id="172"/>
    <w:p>
      <w:pPr>
        <w:ind w:right="256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Rezolve AI Limited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 expect Note 17 as to which the date is October 28,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Loans receivable (net of credit loss provision of $785,000 and nil as at</w:t>
            </w:r>
          </w:p>
        </w:tc>
        <w:tc>
          <w:tcPr>
            <w:tcW w:w="160" w:type="dxa"/>
            <w:vAlign w:val="bottom"/>
          </w:tcPr>
          <w:p>
            <w:pPr>
              <w:spacing w:after="0"/>
              <w:rPr>
                <w:sz w:val="17"/>
                <w:szCs w:val="17"/>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 (refer to note 14)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shares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 term convertible debt to related party (refer to note 14)</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debt to related party (refer to note 2.20 and note 14)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debt (current)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debt (long-term)</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 (long-term)</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932,969,424 shares issued and outstanding</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December 31, 2023 927,806,159 shares issued and outstanding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2022 991,285,244 and 986,121,959 shares authorized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A shares, £0.0001 nominal value 28,039,517 shares issued, authorized and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2023 and 2022</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 subscription receivable (1)</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(178,720 )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(226,291,430 )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(150,744 )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(54,284,884 )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-4817110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-4251325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-2562225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Includes related party balances of $(119,844) as at December 31, 2023 and 2022, refer to note 14.</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9"/>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 (refer to note 2.11)</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r>
      <w:tr>
        <w:trPr>
          <w:trHeight w:val="196"/>
        </w:trPr>
        <w:tc>
          <w:tcPr>
            <w:tcW w:w="772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2,072,224 and 869,777 refer to Note 14)</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20"/>
                <w:szCs w:val="20"/>
                <w:color w:val="auto"/>
              </w:rPr>
            </w:pPr>
          </w:p>
        </w:tc>
      </w:tr>
      <w:tr>
        <w:trPr>
          <w:trHeight w:val="196"/>
        </w:trPr>
        <w:tc>
          <w:tcPr>
            <w:tcW w:w="7720" w:type="dxa"/>
            <w:vAlign w:val="bottom"/>
            <w:shd w:val="clear" w:color="auto" w:fill="CFF0FC"/>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3,831,291 and 41,231,704, refer to Note 14)</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(26,006,274 )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(4,791,782 )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(4,666,416 )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(30,672,690 )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(63,408 )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-2959735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-2959735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-1579880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-1288415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-722630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-439420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9"/>
        </w:trPr>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(69,565 )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(87,941 )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(30,805,663 )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(110,800,889 )</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6" w:name="page177"/>
    <w:bookmarkEnd w:id="176"/>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Carve-out Consolidated Statements of Changes in Shareholders’ Deficit</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300" w:type="dxa"/>
            <w:vAlign w:val="bottom"/>
          </w:tcPr>
          <w:p>
            <w:pPr>
              <w:spacing w:after="0"/>
              <w:rPr>
                <w:sz w:val="13"/>
                <w:szCs w:val="13"/>
                <w:color w:val="auto"/>
              </w:rPr>
            </w:pPr>
          </w:p>
        </w:tc>
        <w:tc>
          <w:tcPr>
            <w:tcW w:w="2040" w:type="dxa"/>
            <w:vAlign w:val="bottom"/>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540" w:type="dxa"/>
            <w:vAlign w:val="bottom"/>
            <w:gridSpan w:val="3"/>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0" w:type="dxa"/>
            <w:vAlign w:val="bottom"/>
          </w:tcPr>
          <w:p>
            <w:pPr>
              <w:spacing w:after="0"/>
              <w:rPr>
                <w:sz w:val="1"/>
                <w:szCs w:val="1"/>
                <w:color w:val="auto"/>
              </w:rPr>
            </w:pPr>
          </w:p>
        </w:tc>
      </w:tr>
      <w:tr>
        <w:trPr>
          <w:trHeight w:val="128"/>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2022</w:t>
            </w:r>
          </w:p>
        </w:tc>
        <w:tc>
          <w:tcPr>
            <w:tcW w:w="1040" w:type="dxa"/>
            <w:vAlign w:val="bottom"/>
            <w:tcBorders>
              <w:top w:val="single" w:sz="8" w:color="auto"/>
            </w:tcBorders>
            <w:gridSpan w:val="2"/>
          </w:tcPr>
          <w:p>
            <w:pPr>
              <w:jc w:val="right"/>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74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10"/>
        </w:trPr>
        <w:tc>
          <w:tcPr>
            <w:tcW w:w="2300" w:type="dxa"/>
            <w:vAlign w:val="bottom"/>
            <w:vMerge w:val="continue"/>
          </w:tcPr>
          <w:p>
            <w:pPr>
              <w:spacing w:after="0"/>
              <w:rPr>
                <w:sz w:val="9"/>
                <w:szCs w:val="9"/>
                <w:color w:val="auto"/>
              </w:rPr>
            </w:pPr>
          </w:p>
        </w:tc>
        <w:tc>
          <w:tcPr>
            <w:tcW w:w="8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891,818,882</w:t>
            </w:r>
          </w:p>
        </w:tc>
        <w:tc>
          <w:tcPr>
            <w:tcW w:w="240" w:type="dxa"/>
            <w:vAlign w:val="bottom"/>
          </w:tcPr>
          <w:p>
            <w:pPr>
              <w:spacing w:after="0"/>
              <w:rPr>
                <w:sz w:val="9"/>
                <w:szCs w:val="9"/>
                <w:color w:val="auto"/>
              </w:rPr>
            </w:pPr>
          </w:p>
        </w:tc>
        <w:tc>
          <w:tcPr>
            <w:tcW w:w="7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122,427</w:t>
            </w:r>
          </w:p>
        </w:tc>
        <w:tc>
          <w:tcPr>
            <w:tcW w:w="240" w:type="dxa"/>
            <w:vAlign w:val="bottom"/>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28,039,517</w:t>
            </w:r>
          </w:p>
        </w:tc>
        <w:tc>
          <w:tcPr>
            <w:tcW w:w="240" w:type="dxa"/>
            <w:vAlign w:val="bottom"/>
          </w:tcPr>
          <w:p>
            <w:pPr>
              <w:spacing w:after="0"/>
              <w:rPr>
                <w:sz w:val="9"/>
                <w:szCs w:val="9"/>
                <w:color w:val="auto"/>
              </w:rPr>
            </w:pPr>
          </w:p>
        </w:tc>
        <w:tc>
          <w:tcPr>
            <w:tcW w:w="5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2,040,816</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for ANY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(note 2.20) (as restated)</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14,427,185</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to</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consultant (note 11)</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against</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warrants (note 9)</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1,700,000</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related parties (note 11)</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27,246,461</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3,215</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 (note 11)</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ANY shares reverted (note 2.20)</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(14,427,185 )</w:t>
            </w: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(1,993 )</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Net Loss (as restated)</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30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(loss) (as restated)</w:t>
            </w:r>
          </w:p>
        </w:tc>
        <w:tc>
          <w:tcPr>
            <w:tcW w:w="8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927,806,159</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28"/>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Ordinary shares issued to related</w:t>
            </w: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163,265</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share-options</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of services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2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8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932,969,424</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857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714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1714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714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714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714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57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80" w:type="dxa"/>
            <w:vAlign w:val="bottom"/>
            <w:gridSpan w:val="2"/>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subscription</w:t>
            </w: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r>
      <w:tr>
        <w:trPr>
          <w:trHeight w:val="155"/>
        </w:trPr>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980" w:type="dxa"/>
            <w:vAlign w:val="bottom"/>
            <w:gridSpan w:val="2"/>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2"/>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5"/>
              </w:rPr>
              <w:t>receivable</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0" w:type="dxa"/>
            <w:vAlign w:val="bottom"/>
            <w:gridSpan w:val="2"/>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10"/>
        </w:trPr>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83,692,381</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(84,842,384</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(175,505</w:t>
            </w: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2"/>
                <w:szCs w:val="12"/>
                <w:b w:val="1"/>
                <w:bCs w:val="1"/>
                <w:color w:val="auto"/>
                <w:w w:val="98"/>
              </w:rPr>
              <w:t>)</w:t>
            </w:r>
          </w:p>
        </w:tc>
        <w:tc>
          <w:tcPr>
            <w:tcW w:w="9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6,762</w:t>
            </w:r>
          </w:p>
        </w:tc>
        <w:tc>
          <w:tcPr>
            <w:tcW w:w="220" w:type="dxa"/>
            <w:vAlign w:val="bottom"/>
          </w:tcPr>
          <w:p>
            <w:pPr>
              <w:spacing w:after="0"/>
              <w:rPr>
                <w:sz w:val="9"/>
                <w:szCs w:val="9"/>
                <w:color w:val="auto"/>
              </w:rPr>
            </w:pPr>
          </w:p>
        </w:tc>
        <w:tc>
          <w:tcPr>
            <w:tcW w:w="9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(1,192,451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64"/>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2,499,754</w:t>
            </w:r>
          </w:p>
        </w:tc>
        <w:tc>
          <w:tcPr>
            <w:tcW w:w="220" w:type="dxa"/>
            <w:vAlign w:val="bottom"/>
          </w:tcPr>
          <w:p>
            <w:pPr>
              <w:spacing w:after="0"/>
              <w:rPr>
                <w:sz w:val="14"/>
                <w:szCs w:val="1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2,499,920</w:t>
            </w:r>
          </w:p>
        </w:tc>
        <w:tc>
          <w:tcPr>
            <w:tcW w:w="40" w:type="dxa"/>
            <w:vAlign w:val="bottom"/>
          </w:tcPr>
          <w:p>
            <w:pPr>
              <w:spacing w:after="0"/>
              <w:rPr>
                <w:sz w:val="14"/>
                <w:szCs w:val="14"/>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14,858,007</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14,860,000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18,417,139</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18,417,816</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2,082,308</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(3,215 )</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220" w:type="dxa"/>
            <w:vAlign w:val="bottom"/>
          </w:tcPr>
          <w:p>
            <w:pPr>
              <w:spacing w:after="0"/>
              <w:rPr>
                <w:sz w:val="20"/>
                <w:szCs w:val="20"/>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1"/>
                <w:szCs w:val="11"/>
                <w:color w:val="auto"/>
              </w:rPr>
            </w:pPr>
          </w:p>
        </w:tc>
        <w:tc>
          <w:tcPr>
            <w:tcW w:w="9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(110,712,94</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(110,712,948 )</w:t>
            </w:r>
          </w:p>
        </w:tc>
      </w:tr>
      <w:tr>
        <w:trPr>
          <w:trHeight w:val="24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(87,941 )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(87,941 )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163,165,08</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(195,555,33</w:t>
            </w: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66"/>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(81,179 )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(32,519,603 )</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199,974</w:t>
            </w:r>
          </w:p>
        </w:tc>
        <w:tc>
          <w:tcPr>
            <w:tcW w:w="40" w:type="dxa"/>
            <w:vAlign w:val="bottom"/>
          </w:tcPr>
          <w:p>
            <w:pPr>
              <w:spacing w:after="0"/>
              <w:rPr>
                <w:sz w:val="23"/>
                <w:szCs w:val="23"/>
                <w:color w:val="auto"/>
              </w:rPr>
            </w:pPr>
          </w:p>
        </w:tc>
      </w:tr>
      <w:tr>
        <w:trPr>
          <w:trHeight w:val="270"/>
        </w:trPr>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(613 )</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23"/>
                <w:szCs w:val="23"/>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220" w:type="dxa"/>
            <w:vAlign w:val="bottom"/>
          </w:tcPr>
          <w:p>
            <w:pPr>
              <w:spacing w:after="0"/>
              <w:rPr>
                <w:sz w:val="20"/>
                <w:szCs w:val="20"/>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9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(30,736,098 )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(30,736,098 )</w:t>
            </w:r>
          </w:p>
        </w:tc>
      </w:tr>
      <w:tr>
        <w:trPr>
          <w:trHeight w:val="24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(69,565 )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(69,565 )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172,204,83</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(226,291,43</w:t>
            </w: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55"/>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3"/>
                <w:szCs w:val="13"/>
                <w:color w:val="auto"/>
              </w:rPr>
            </w:pP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0 )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(150,744 )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(54,284,884 )</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200"/>
            <w:col w:w="5080"/>
          </w:cols>
          <w:pgMar w:left="320" w:top="981" w:right="39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carve-out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(30,736,098 )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40" w:type="dxa"/>
            <w:vAlign w:val="bottom"/>
          </w:tcPr>
          <w:p>
            <w:pPr>
              <w:spacing w:after="0"/>
              <w:rPr>
                <w:sz w:val="18"/>
                <w:szCs w:val="18"/>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loans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40" w:type="dxa"/>
            <w:vAlign w:val="bottom"/>
          </w:tcPr>
          <w:p>
            <w:pPr>
              <w:spacing w:after="0"/>
              <w:rPr>
                <w:sz w:val="18"/>
                <w:szCs w:val="18"/>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(3,679 )</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(416,069 )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240" w:type="dxa"/>
            <w:vAlign w:val="bottom"/>
          </w:tcPr>
          <w:p>
            <w:pPr>
              <w:spacing w:after="0"/>
              <w:rPr>
                <w:sz w:val="18"/>
                <w:szCs w:val="18"/>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2,310,465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552,456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(13,001,875 )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(14,376 )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(1,767,148 )</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7,767,674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tcPr>
          <w:p>
            <w:pPr>
              <w:spacing w:after="0"/>
              <w:rPr>
                <w:sz w:val="18"/>
                <w:szCs w:val="18"/>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debt obligation from related parties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(250,000 )</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4,369,413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14,712,061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(28,939 )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18"/>
                <w:szCs w:val="18"/>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4,040,989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-2951480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-2951480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-2385695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-2385695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-1271270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-979805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40" w:firstLine="509"/>
        <w:spacing w:after="0" w:line="289"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84"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85"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2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6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4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8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shareholding (%)</w:t>
            </w:r>
          </w:p>
        </w:tc>
        <w:tc>
          <w:tcPr>
            <w:tcW w:w="0" w:type="dxa"/>
            <w:vAlign w:val="bottom"/>
          </w:tcPr>
          <w:p>
            <w:pPr>
              <w:spacing w:after="0"/>
              <w:rPr>
                <w:sz w:val="1"/>
                <w:szCs w:val="1"/>
                <w:color w:val="auto"/>
              </w:rPr>
            </w:pPr>
          </w:p>
        </w:tc>
      </w:tr>
      <w:tr>
        <w:trPr>
          <w:trHeight w:val="191"/>
        </w:trPr>
        <w:tc>
          <w:tcPr>
            <w:tcW w:w="3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14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-696595</wp:posOffset>
            </wp:positionV>
            <wp:extent cx="5700395" cy="274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-285115</wp:posOffset>
            </wp:positionV>
            <wp:extent cx="5700395"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Computers</w:t>
            </w:r>
          </w:p>
        </w:tc>
        <w:tc>
          <w:tcPr>
            <w:tcW w:w="3460" w:type="dxa"/>
            <w:vAlign w:val="bottom"/>
            <w:shd w:val="clear" w:color="auto" w:fill="CFF0FC"/>
          </w:tcPr>
          <w:p>
            <w:pPr>
              <w:ind w:left="2260"/>
              <w:spacing w:after="0" w:line="149" w:lineRule="exact"/>
              <w:rPr>
                <w:sz w:val="20"/>
                <w:szCs w:val="20"/>
                <w:color w:val="auto"/>
              </w:rPr>
            </w:pPr>
            <w:r>
              <w:rPr>
                <w:rFonts w:ascii="Times New Roman" w:cs="Times New Roman" w:eastAsia="Times New Roman" w:hAnsi="Times New Roman"/>
                <w:sz w:val="14"/>
                <w:szCs w:val="14"/>
                <w:color w:val="auto"/>
              </w:rPr>
              <w:t>3 years</w:t>
            </w: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3 years</w:t>
            </w:r>
          </w:p>
        </w:tc>
      </w:tr>
    </w:tbl>
    <w:p>
      <w:pPr>
        <w:spacing w:after="0" w:line="18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tab/>
        <w:t>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ectPr>
          <w:pgSz w:w="11900" w:h="16838" w:orient="portrait"/>
          <w:cols w:equalWidth="0" w:num="1">
            <w:col w:w="11220"/>
          </w:cols>
          <w:pgMar w:left="320" w:top="765" w:right="359" w:bottom="1440" w:gutter="0" w:footer="0" w:header="0"/>
        </w:sectPr>
      </w:pPr>
    </w:p>
    <w:p>
      <w:pPr>
        <w:spacing w:after="0" w:line="24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17"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4"/>
          <w:szCs w:val="14"/>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 years</w:t>
      </w:r>
    </w:p>
    <w:p>
      <w:pPr>
        <w:spacing w:after="0" w:line="200"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8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Convertible Debt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11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Cost of revenue</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tab/>
        <w:t>Operating segments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Research and development credits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60" w:type="dxa"/>
            <w:vAlign w:val="bottom"/>
            <w:vMerge w:val="restart"/>
          </w:tcPr>
          <w:p>
            <w:pPr>
              <w:spacing w:after="0"/>
              <w:rPr>
                <w:sz w:val="15"/>
                <w:szCs w:val="15"/>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£0.016</w:t>
            </w:r>
          </w:p>
        </w:tc>
        <w:tc>
          <w:tcPr>
            <w:tcW w:w="16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58,315,800</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-591185</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-591185</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83"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consolidated combined carve-out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2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8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40" w:type="dxa"/>
            <w:vAlign w:val="bottom"/>
          </w:tcPr>
          <w:p>
            <w:pPr>
              <w:spacing w:after="0"/>
              <w:rPr>
                <w:sz w:val="15"/>
                <w:szCs w:val="15"/>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(2,329 )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(65,893 )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607,726</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(607,726 )</w:t>
            </w: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(163,312 )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1,039,260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(839,260 )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139,560</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(28,562 )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(1,061,763 )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6,237,443</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(5,786,997 )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(6,877,322 )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(7,716,582 )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4,262,476</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(533,502 )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related party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3,488,909</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(848,525 )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(985,356 )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(7,688,216 )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debt</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1,177,616</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(1,526,622 )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(1,526,622 )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(36,680,519 )</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(2,511,978 )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shares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A shares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163,163,090</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(178,720 )</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(189,171,542 )</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(6,383,790 )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(1,260,364 )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1,179,185</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(27,314,998 )</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(5,204,605 )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(7,716,583 )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20"/>
                <w:szCs w:val="20"/>
                <w:color w:val="auto"/>
              </w:rPr>
            </w:pPr>
          </w:p>
        </w:tc>
      </w:tr>
      <w:tr>
        <w:trPr>
          <w:trHeight w:val="518"/>
        </w:trPr>
        <w:tc>
          <w:tcPr>
            <w:tcW w:w="4280" w:type="dxa"/>
            <w:vAlign w:val="bottom"/>
          </w:tcPr>
          <w:p>
            <w:pPr>
              <w:spacing w:after="0"/>
              <w:rPr>
                <w:sz w:val="24"/>
                <w:szCs w:val="24"/>
                <w:color w:val="auto"/>
              </w:rPr>
            </w:pPr>
          </w:p>
        </w:tc>
        <w:tc>
          <w:tcPr>
            <w:tcW w:w="334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F-40</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(11,764,184 )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5,604,129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(4,859,089 )</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6,827,211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(2,488,654 )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91,604,396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(4,963,896 )</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(506,316 )</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(5,369,797 )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(100,651,760 )</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(6,394,387 )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(3,884,698 )</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(58,915 )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(3,569,124 )</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(58,912 )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(104,220,884 )</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(31,521,733 )</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(63,408 )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(104,105,437 )</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(31,585,141 )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(0.11 )   $</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74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F-41</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3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14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(104,105,438 )</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(6,607,510 )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c>
          <w:tcPr>
            <w:tcW w:w="0" w:type="dxa"/>
            <w:vAlign w:val="bottom"/>
          </w:tcPr>
          <w:p>
            <w:pPr>
              <w:spacing w:after="0"/>
              <w:rPr>
                <w:sz w:val="1"/>
                <w:szCs w:val="1"/>
                <w:color w:val="auto"/>
              </w:rPr>
            </w:pPr>
          </w:p>
        </w:tc>
      </w:tr>
      <w:tr>
        <w:trPr>
          <w:trHeight w:val="194"/>
        </w:trPr>
        <w:tc>
          <w:tcPr>
            <w:tcW w:w="57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(497,905 )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(277,838 )</w:t>
            </w: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c>
          <w:tcPr>
            <w:tcW w:w="0" w:type="dxa"/>
            <w:vAlign w:val="bottom"/>
          </w:tcPr>
          <w:p>
            <w:pPr>
              <w:spacing w:after="0"/>
              <w:rPr>
                <w:sz w:val="1"/>
                <w:szCs w:val="1"/>
                <w:color w:val="auto"/>
              </w:rPr>
            </w:pPr>
          </w:p>
        </w:tc>
      </w:tr>
      <w:tr>
        <w:trPr>
          <w:trHeight w:val="198"/>
        </w:trPr>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consultancy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240" w:type="dxa"/>
            <w:vAlign w:val="bottom"/>
          </w:tcPr>
          <w:p>
            <w:pPr>
              <w:spacing w:after="0"/>
              <w:rPr>
                <w:sz w:val="20"/>
                <w:szCs w:val="20"/>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240" w:type="dxa"/>
            <w:vAlign w:val="bottom"/>
          </w:tcPr>
          <w:p>
            <w:pPr>
              <w:spacing w:after="0"/>
              <w:rPr>
                <w:sz w:val="18"/>
                <w:szCs w:val="18"/>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240" w:type="dxa"/>
            <w:vAlign w:val="bottom"/>
          </w:tcPr>
          <w:p>
            <w:pPr>
              <w:spacing w:after="0"/>
              <w:rPr>
                <w:sz w:val="18"/>
                <w:szCs w:val="18"/>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(243,835 )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646,661</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(215,468 )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(46,236 )</w:t>
            </w: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(245,266 )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accounts payable, accrued expenses and</w:t>
            </w:r>
          </w:p>
        </w:tc>
        <w:tc>
          <w:tcPr>
            <w:tcW w:w="1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payables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4,766,607</w:t>
            </w:r>
          </w:p>
        </w:tc>
        <w:tc>
          <w:tcPr>
            <w:tcW w:w="24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(1,426,068 )</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(234,880 )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(26,762,923 )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(25,983 )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240" w:type="dxa"/>
            <w:vAlign w:val="bottom"/>
          </w:tcPr>
          <w:p>
            <w:pPr>
              <w:spacing w:after="0"/>
              <w:rPr>
                <w:sz w:val="18"/>
                <w:szCs w:val="18"/>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24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(2,648,318 )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2,690,024</w:t>
            </w: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41,709</w:t>
            </w:r>
          </w:p>
        </w:tc>
        <w:tc>
          <w:tcPr>
            <w:tcW w:w="2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(2,329 )</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172,202,839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17" w:lineRule="exact"/>
        <w:rPr>
          <w:sz w:val="20"/>
          <w:szCs w:val="20"/>
          <w:color w:val="auto"/>
        </w:rPr>
      </w:pPr>
    </w:p>
    <w:p>
      <w:pPr>
        <w:ind w:left="900" w:hanging="383"/>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r>
      <w:tr>
        <w:trPr>
          <w:trHeight w:val="196"/>
        </w:trPr>
        <w:tc>
          <w:tcPr>
            <w:tcW w:w="49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380" w:right="400" w:hanging="372"/>
        <w:spacing w:after="0" w:line="282" w:lineRule="auto"/>
        <w:tabs>
          <w:tab w:leader="none" w:pos="3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KPMG LLP</w:t>
            </w: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-559435</wp:posOffset>
            </wp:positionV>
            <wp:extent cx="498919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-285115</wp:posOffset>
            </wp:positionV>
            <wp:extent cx="498919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6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00" w:type="dxa"/>
            <w:vAlign w:val="bottom"/>
          </w:tcPr>
          <w:p>
            <w:pPr>
              <w:spacing w:after="0"/>
              <w:rPr>
                <w:sz w:val="15"/>
                <w:szCs w:val="15"/>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2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8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291" w:lineRule="exact"/>
        <w:rPr>
          <w:sz w:val="20"/>
          <w:szCs w:val="20"/>
          <w:color w:val="auto"/>
        </w:rPr>
      </w:pPr>
    </w:p>
    <w:p>
      <w:pPr>
        <w:jc w:val="both"/>
        <w:ind w:left="520" w:right="7080" w:hanging="512"/>
        <w:spacing w:after="0" w:line="450" w:lineRule="auto"/>
        <w:tabs>
          <w:tab w:leader="none" w:pos="52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spacing w:after="0" w:line="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-1045210</wp:posOffset>
            </wp:positionV>
            <wp:extent cx="431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-1028065</wp:posOffset>
            </wp:positionV>
            <wp:extent cx="431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-1028065</wp:posOffset>
            </wp:positionV>
            <wp:extent cx="431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431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17" w:lineRule="exact"/>
        <w:rPr>
          <w:sz w:val="20"/>
          <w:szCs w:val="20"/>
          <w:color w:val="auto"/>
        </w:rPr>
      </w:pPr>
    </w:p>
    <w:p>
      <w:pPr>
        <w:ind w:left="900" w:hanging="383"/>
        <w:spacing w:after="0" w:line="258"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75" w:lineRule="exact"/>
        <w:rPr>
          <w:rFonts w:ascii="Times New Roman" w:cs="Times New Roman" w:eastAsia="Times New Roman" w:hAnsi="Times New Roman"/>
          <w:sz w:val="18"/>
          <w:szCs w:val="18"/>
          <w:color w:val="auto"/>
        </w:rPr>
      </w:pPr>
    </w:p>
    <w:p>
      <w:pPr>
        <w:ind w:left="900" w:right="120" w:hanging="383"/>
        <w:spacing w:after="0" w:line="256"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(115,837 )</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(71,281 )</w:t>
            </w: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80" w:type="dxa"/>
            <w:vAlign w:val="bottom"/>
            <w:tcBorders>
              <w:top w:val="single" w:sz="8" w:color="CFF0FC"/>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989,400</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(736,834 )</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(538,954 )</w:t>
            </w: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450,446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2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183,578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2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right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6,225,815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8,223,928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1,311,028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-1971040</wp:posOffset>
            </wp:positionV>
            <wp:extent cx="342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-1953895</wp:posOffset>
            </wp:positionV>
            <wp:extent cx="342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ind w:left="380" w:hanging="37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Company repaid $250,000 to DBLP Sea Cow Ltd. Additionally, DBLP Sea Cow Ltd is owed $191,405 for amounts to be re-imbursed for expenses incurred on behalf of Rezolve at December 31, 2023, nil for 2022.</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900" w:right="120" w:hanging="383"/>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300" w:hanging="383"/>
        <w:spacing w:after="0" w:line="261"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ind w:left="380" w:right="40" w:hanging="37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80" w:lineRule="exact"/>
        <w:rPr>
          <w:sz w:val="20"/>
          <w:szCs w:val="20"/>
          <w:color w:val="auto"/>
        </w:rPr>
      </w:pPr>
    </w:p>
    <w:p>
      <w:pPr>
        <w:ind w:left="380" w:right="60" w:hanging="3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900" w:hanging="383"/>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900" w:right="300" w:hanging="383"/>
        <w:spacing w:after="0" w:line="266" w:lineRule="auto"/>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900" w:hanging="383"/>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460" w:right="2900" w:hanging="4943"/>
        <w:spacing w:after="0" w:line="407" w:lineRule="auto"/>
        <w:tabs>
          <w:tab w:leader="none" w:pos="8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900" w:hanging="383"/>
        <w:spacing w:after="0"/>
        <w:tabs>
          <w:tab w:leader="none" w:pos="9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0" w:hanging="383"/>
        <w:spacing w:after="0" w:line="289" w:lineRule="auto"/>
        <w:tabs>
          <w:tab w:leader="none" w:pos="90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9" w:lineRule="exact"/>
        <w:rPr>
          <w:rFonts w:ascii="Times New Roman" w:cs="Times New Roman" w:eastAsia="Times New Roman" w:hAnsi="Times New Roman"/>
          <w:sz w:val="17"/>
          <w:szCs w:val="17"/>
          <w:color w:val="auto"/>
        </w:rPr>
      </w:pPr>
    </w:p>
    <w:p>
      <w:pPr>
        <w:ind w:left="380" w:right="160" w:hanging="372"/>
        <w:spacing w:after="0" w:line="261" w:lineRule="auto"/>
        <w:tabs>
          <w:tab w:leader="none" w:pos="3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71" w:lineRule="exact"/>
        <w:rPr>
          <w:rFonts w:ascii="Times New Roman" w:cs="Times New Roman" w:eastAsia="Times New Roman" w:hAnsi="Times New Roman"/>
          <w:sz w:val="18"/>
          <w:szCs w:val="18"/>
          <w:color w:val="auto"/>
        </w:rPr>
      </w:pPr>
    </w:p>
    <w:p>
      <w:pPr>
        <w:ind w:left="1140" w:right="260" w:hanging="383"/>
        <w:spacing w:after="0" w:line="261" w:lineRule="auto"/>
        <w:tabs>
          <w:tab w:leader="none" w:pos="114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(1,918,524 )</w:t>
            </w: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25,302,709</w:t>
            </w:r>
          </w:p>
        </w:tc>
        <w:tc>
          <w:tcPr>
            <w:tcW w:w="8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163,976</w:t>
            </w:r>
          </w:p>
        </w:tc>
        <w:tc>
          <w:tcPr>
            <w:tcW w:w="80" w:type="dxa"/>
            <w:vAlign w:val="bottom"/>
            <w:shd w:val="clear" w:color="auto" w:fill="CFF0FC"/>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left="380" w:right="6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380" w:right="40" w:hanging="3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291"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296"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291" w:lineRule="exact"/>
        <w:rPr>
          <w:sz w:val="20"/>
          <w:szCs w:val="20"/>
          <w:color w:val="auto"/>
        </w:rPr>
      </w:pPr>
    </w:p>
    <w:p>
      <w:pPr>
        <w:ind w:left="520" w:right="8600" w:hanging="512"/>
        <w:spacing w:after="0" w:line="400" w:lineRule="auto"/>
        <w:tabs>
          <w:tab w:leader="none" w:pos="52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6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-136525</wp:posOffset>
            </wp:positionV>
            <wp:extent cx="4277360"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05" w:lineRule="exact"/>
        <w:rPr>
          <w:sz w:val="20"/>
          <w:szCs w:val="20"/>
          <w:color w:val="auto"/>
        </w:rPr>
      </w:pPr>
    </w:p>
    <w:p>
      <w:pPr>
        <w:ind w:left="900" w:right="20" w:hanging="383"/>
        <w:spacing w:after="0" w:line="282" w:lineRule="auto"/>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5,700,000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-333375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-316230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-333375</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-316230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wp:posOffset>
            </wp:positionV>
            <wp:extent cx="596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-316230</wp:posOffset>
            </wp:positionV>
            <wp:extent cx="596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900" w:hanging="383"/>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28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28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2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-136525</wp:posOffset>
            </wp:positionV>
            <wp:extent cx="4277360" cy="1371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205" w:lineRule="exact"/>
        <w:rPr>
          <w:sz w:val="20"/>
          <w:szCs w:val="20"/>
          <w:color w:val="auto"/>
        </w:rPr>
      </w:pPr>
    </w:p>
    <w:p>
      <w:pPr>
        <w:ind w:left="900" w:hanging="383"/>
        <w:spacing w:after="0" w:line="282"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49,305,537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11,600,000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-333375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-316230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-333375</wp:posOffset>
            </wp:positionV>
            <wp:extent cx="6032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-316230</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wp:posOffset>
            </wp:positionV>
            <wp:extent cx="596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-316230</wp:posOffset>
            </wp:positionV>
            <wp:extent cx="596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 and other payables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09"/>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1,686,609</w:t>
            </w: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179,079</w:t>
            </w:r>
          </w:p>
        </w:tc>
        <w:tc>
          <w:tcPr>
            <w:tcW w:w="80" w:type="dxa"/>
            <w:vAlign w:val="bottom"/>
          </w:tcPr>
          <w:p>
            <w:pPr>
              <w:spacing w:after="0"/>
              <w:rPr>
                <w:sz w:val="18"/>
                <w:szCs w:val="18"/>
                <w:color w:val="auto"/>
              </w:rPr>
            </w:pPr>
          </w:p>
        </w:tc>
      </w:tr>
      <w:tr>
        <w:trPr>
          <w:trHeight w:val="250"/>
        </w:trPr>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2,640,384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520" w:right="6360" w:hanging="512"/>
        <w:spacing w:after="0" w:line="412" w:lineRule="auto"/>
        <w:tabs>
          <w:tab w:leader="none" w:pos="5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18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4,338,557</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2,274,891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5,569,989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4,340,558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3,472,170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8,223,297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2,543,621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874,045</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1,479,026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(497,978 )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(467,563 )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(2,686 )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(256,659 )</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8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F-54</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-4474210</wp:posOffset>
            </wp:positionV>
            <wp:extent cx="514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-4474210</wp:posOffset>
            </wp:positionV>
            <wp:extent cx="431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-2331085</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-2331085</wp:posOffset>
            </wp:positionV>
            <wp:extent cx="431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-1010920</wp:posOffset>
            </wp:positionV>
            <wp:extent cx="5143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-1010920</wp:posOffset>
            </wp:positionV>
            <wp:extent cx="431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Key managerial personnel (KMP) and Members of their immediate families</w:t>
      </w:r>
    </w:p>
    <w:p>
      <w:pPr>
        <w:sectPr>
          <w:pgSz w:w="11900" w:h="16838" w:orient="portrait"/>
          <w:cols w:equalWidth="0" w:num="1">
            <w:col w:w="11240"/>
          </w:cols>
          <w:pgMar w:left="320" w:top="765"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4480" w:space="720"/>
            <w:col w:w="6040"/>
          </w:cols>
          <w:pgMar w:left="320" w:top="765" w:right="339" w:bottom="1440" w:gutter="0" w:footer="0" w:header="0"/>
          <w:type w:val="continuous"/>
        </w:sectPr>
      </w:pPr>
    </w:p>
    <w:p>
      <w:pPr>
        <w:spacing w:after="0" w:line="34" w:lineRule="exact"/>
        <w:rPr>
          <w:sz w:val="20"/>
          <w:szCs w:val="20"/>
          <w:color w:val="auto"/>
        </w:rPr>
      </w:pPr>
    </w:p>
    <w:p>
      <w:pPr>
        <w:ind w:left="380" w:hanging="372"/>
        <w:spacing w:after="0" w:line="282" w:lineRule="auto"/>
        <w:tabs>
          <w:tab w:leader="none" w:pos="3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73"/>
        </w:trPr>
        <w:tc>
          <w:tcPr>
            <w:tcW w:w="17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 issued</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2–23 – Nil and 2–22 – 27,246,461)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756,944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33,374,018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2,449,787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3,677,896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48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F-55</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-3068320</wp:posOffset>
            </wp:positionV>
            <wp:extent cx="514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-3068320</wp:posOffset>
            </wp:positionV>
            <wp:extent cx="431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-1405255</wp:posOffset>
            </wp:positionV>
            <wp:extent cx="514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-1405255</wp:posOffset>
            </wp:positionV>
            <wp:extent cx="431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800" w:type="dxa"/>
            <w:vAlign w:val="bottom"/>
          </w:tcPr>
          <w:p>
            <w:pPr>
              <w:spacing w:after="0"/>
              <w:rPr>
                <w:sz w:val="15"/>
                <w:szCs w:val="15"/>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414,926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380,805</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09"/>
        </w:trPr>
        <w:tc>
          <w:tcPr>
            <w:tcW w:w="48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680,805</w:t>
            </w:r>
          </w:p>
        </w:tc>
        <w:tc>
          <w:tcPr>
            <w:tcW w:w="80" w:type="dxa"/>
            <w:vAlign w:val="bottom"/>
          </w:tcPr>
          <w:p>
            <w:pPr>
              <w:spacing w:after="0"/>
              <w:rPr>
                <w:sz w:val="18"/>
                <w:szCs w:val="18"/>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380,084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376,428</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Pr>
          <w:p>
            <w:pPr>
              <w:spacing w:after="0"/>
              <w:rPr>
                <w:sz w:val="18"/>
                <w:szCs w:val="18"/>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09"/>
        </w:trPr>
        <w:tc>
          <w:tcPr>
            <w:tcW w:w="48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2,072,224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3,831,291</w:t>
            </w: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41,231,704</w:t>
            </w:r>
          </w:p>
        </w:tc>
        <w:tc>
          <w:tcPr>
            <w:tcW w:w="80" w:type="dxa"/>
            <w:vAlign w:val="bottom"/>
          </w:tcPr>
          <w:p>
            <w:pPr>
              <w:spacing w:after="0"/>
              <w:rPr>
                <w:sz w:val="18"/>
                <w:szCs w:val="18"/>
                <w:color w:val="auto"/>
              </w:rPr>
            </w:pPr>
          </w:p>
        </w:tc>
      </w:tr>
      <w:tr>
        <w:trPr>
          <w:trHeight w:val="209"/>
        </w:trPr>
        <w:tc>
          <w:tcPr>
            <w:tcW w:w="48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5,903,515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42,101,481</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-2228215</wp:posOffset>
            </wp:positionV>
            <wp:extent cx="514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-2228215</wp:posOffset>
            </wp:positionV>
            <wp:extent cx="431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-1396365</wp:posOffset>
            </wp:positionV>
            <wp:extent cx="514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-1396365</wp:posOffset>
            </wp:positionV>
            <wp:extent cx="431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ind w:left="380" w:right="540" w:hanging="372"/>
        <w:spacing w:after="0" w:line="282" w:lineRule="auto"/>
        <w:tabs>
          <w:tab w:leader="none" w:pos="3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48"/>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100" w:type="dxa"/>
            <w:vAlign w:val="bottom"/>
            <w:gridSpan w:val="2"/>
          </w:tcPr>
          <w:p>
            <w:pPr>
              <w:jc w:val="center"/>
              <w:ind w:left="159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gridSpan w:val="2"/>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3"/>
        </w:trPr>
        <w:tc>
          <w:tcPr>
            <w:tcW w:w="1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68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00" w:type="dxa"/>
            <w:vAlign w:val="bottom"/>
            <w:gridSpan w:val="2"/>
          </w:tcPr>
          <w:p>
            <w:pPr>
              <w:jc w:val="right"/>
              <w:ind w:right="2042"/>
              <w:spacing w:after="0"/>
              <w:rPr>
                <w:sz w:val="20"/>
                <w:szCs w:val="20"/>
                <w:color w:val="auto"/>
              </w:rPr>
            </w:pPr>
            <w:r>
              <w:rPr>
                <w:rFonts w:ascii="Times New Roman" w:cs="Times New Roman" w:eastAsia="Times New Roman" w:hAnsi="Times New Roman"/>
                <w:sz w:val="18"/>
                <w:szCs w:val="18"/>
                <w:color w:val="auto"/>
              </w:rPr>
              <w:t>F-56</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48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r>
      <w:tr>
        <w:trPr>
          <w:trHeight w:val="173"/>
        </w:trPr>
        <w:tc>
          <w:tcPr>
            <w:tcW w:w="48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172,476</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51,414</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58,320</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w:t>
            </w: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80" w:type="dxa"/>
            <w:vAlign w:val="bottom"/>
          </w:tcPr>
          <w:p>
            <w:pPr>
              <w:spacing w:after="0"/>
              <w:rPr>
                <w:sz w:val="18"/>
                <w:szCs w:val="18"/>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48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-988060</wp:posOffset>
            </wp:positionV>
            <wp:extent cx="514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-988060</wp:posOffset>
            </wp:positionV>
            <wp:extent cx="431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514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-156845</wp:posOffset>
            </wp:positionV>
            <wp:extent cx="431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6" w:lineRule="exact"/>
        <w:rPr>
          <w:sz w:val="20"/>
          <w:szCs w:val="20"/>
          <w:color w:val="auto"/>
        </w:rPr>
      </w:pPr>
    </w:p>
    <w:p>
      <w:pPr>
        <w:ind w:left="380" w:right="540" w:hanging="372"/>
        <w:spacing w:after="0" w:line="282" w:lineRule="auto"/>
        <w:tabs>
          <w:tab w:leader="none" w:pos="3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66"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280" w:lineRule="exact"/>
        <w:rPr>
          <w:sz w:val="20"/>
          <w:szCs w:val="20"/>
          <w:color w:val="auto"/>
        </w:rPr>
      </w:pPr>
    </w:p>
    <w:p>
      <w:pPr>
        <w:ind w:left="520" w:hanging="512"/>
        <w:spacing w:after="0"/>
        <w:tabs>
          <w:tab w:leader="none" w:pos="5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980" w:type="dxa"/>
            <w:vAlign w:val="bottom"/>
            <w:gridSpan w:val="3"/>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gridSpan w:val="2"/>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2220" w:type="dxa"/>
            <w:vAlign w:val="bottom"/>
            <w:gridSpan w:val="3"/>
            <w:shd w:val="clear" w:color="auto" w:fill="CFF0FC"/>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107,945,740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2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(92,982 )</w:t>
            </w:r>
          </w:p>
        </w:tc>
        <w:tc>
          <w:tcPr>
            <w:tcW w:w="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(300,433 )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0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98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38,765</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F-57</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-2099310</wp:posOffset>
            </wp:positionV>
            <wp:extent cx="431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-2099310</wp:posOffset>
            </wp:positionV>
            <wp:extent cx="431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514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-847725</wp:posOffset>
            </wp:positionV>
            <wp:extent cx="5143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(30,672,690 )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(110,712,948 )</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21,035,460</w:t>
            </w:r>
          </w:p>
        </w:tc>
        <w:tc>
          <w:tcPr>
            <w:tcW w:w="8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Non-deductible or non-taxable foreign currency exchange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results</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(88,195 )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(214,299 )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282,884</w:t>
            </w:r>
          </w:p>
        </w:tc>
        <w:tc>
          <w:tcPr>
            <w:tcW w:w="8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(2,050,426 )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(14,818,455 )</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(4,996,208 )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(6,246,825 )</w:t>
            </w:r>
          </w:p>
        </w:tc>
      </w:tr>
      <w:tr>
        <w:trPr>
          <w:trHeight w:val="209"/>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-153670</wp:posOffset>
            </wp:positionV>
            <wp:extent cx="431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900" w:right="280" w:hanging="383"/>
        <w:spacing w:after="0" w:line="266"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100" w:type="dxa"/>
            <w:vAlign w:val="bottom"/>
          </w:tcPr>
          <w:p>
            <w:pPr>
              <w:spacing w:after="0"/>
              <w:rPr>
                <w:sz w:val="13"/>
                <w:szCs w:val="13"/>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 (1)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191,771,010</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5,542,459</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844,411</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2,359,658</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right="600" w:hanging="383"/>
        <w:spacing w:after="0" w:line="282"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53"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r>
      <w:tr>
        <w:trPr>
          <w:trHeight w:val="173"/>
        </w:trPr>
        <w:tc>
          <w:tcPr>
            <w:tcW w:w="5400" w:type="dxa"/>
            <w:vAlign w:val="bottom"/>
          </w:tcPr>
          <w:p>
            <w:pPr>
              <w:spacing w:after="0"/>
              <w:rPr>
                <w:sz w:val="15"/>
                <w:szCs w:val="15"/>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11,811,695</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13,857,760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(1,281,022 )</w:t>
            </w: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 No assurance can be given as to the nature or impact of any changes in our unrecognized tax positions during 2023.</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54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54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33,754,069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174,267</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294,404</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6,325,677</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31,185,442</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(43,748,501 )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(31,185,442 )</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29"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86" w:lineRule="exact"/>
        <w:rPr>
          <w:sz w:val="20"/>
          <w:szCs w:val="20"/>
          <w:color w:val="auto"/>
        </w:rPr>
      </w:pPr>
    </w:p>
    <w:p>
      <w:pPr>
        <w:ind w:left="900" w:right="60" w:hanging="383"/>
        <w:spacing w:after="0" w:line="282" w:lineRule="auto"/>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40" w:hanging="383"/>
        <w:spacing w:after="0" w:line="261" w:lineRule="auto"/>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rPr>
          <w:sz w:val="20"/>
          <w:szCs w:val="20"/>
          <w:color w:val="auto"/>
        </w:rPr>
      </w:pPr>
      <w:r>
        <w:rPr>
          <w:rFonts w:ascii="Arial" w:cs="Arial" w:eastAsia="Arial" w:hAnsi="Arial"/>
          <w:sz w:val="16"/>
          <w:szCs w:val="16"/>
          <w:color w:val="auto"/>
        </w:rPr>
        <w:t>Add to subsequent events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Close of business combination with Armada Acquisition Corp I. (“Armada”)</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6,035,757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agreements liability,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10,938,608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$11.31 and $10.71 per share at June 30, 2024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16,040,786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 1,417,687 and 2,363,349 shares subject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 at June 30, 2024 and September 30, 2023,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261,161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(11,059,758 )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-3917315</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-3917315</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-2082165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-282575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7" w:name="page208"/>
    <w:bookmarkEnd w:id="20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5"/>
                <w:szCs w:val="15"/>
                <w:color w:val="auto"/>
              </w:rPr>
            </w:pPr>
          </w:p>
        </w:tc>
        <w:tc>
          <w:tcPr>
            <w:tcW w:w="25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844,718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1,876,158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(1,370,927 )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(910,274 )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(2,477,967 )</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(2,151,287 )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(220,050 )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(344,248 )</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467,033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(1,384,688 )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(477,208 )</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(2,010,934 )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(38,407 )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(82,376 )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(153,321 )</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(525,560 )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(1,423,095 )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(559,584 )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(2,164,255 )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w:t>
            </w:r>
          </w:p>
        </w:tc>
        <w:tc>
          <w:tcPr>
            <w:tcW w:w="1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3,508,852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1,893,969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 subject to possible redemption</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1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redeemable common stock</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-1045210</wp:posOffset>
            </wp:positionV>
            <wp:extent cx="7747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-1045210</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-625475</wp:posOffset>
            </wp:positionV>
            <wp:extent cx="77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-607695</wp:posOffset>
            </wp:positionV>
            <wp:extent cx="774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-625475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-607695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-625475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-607695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8" w:name="page209"/>
    <w:bookmarkEnd w:id="2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6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(293,340 )</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(293,340 )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(1,423,095 )</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(1,423,095 )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261,161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(11,059,758 )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60" w:type="dxa"/>
            <w:vAlign w:val="bottom"/>
            <w:gridSpan w:val="9"/>
          </w:tcPr>
          <w:p>
            <w:pPr>
              <w:ind w:left="30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36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1"/>
                <w:szCs w:val="2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(5,964,009)</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(329,131 )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(329,131 )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(559,584 )</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(559,584 )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(7,722,018 )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(7,587,085 )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-5836920</wp:posOffset>
            </wp:positionV>
            <wp:extent cx="774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-5836920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-5836920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-5836920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-4731385</wp:posOffset>
            </wp:positionV>
            <wp:extent cx="774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-4731385</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-4731385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-4731385</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-3616960</wp:posOffset>
            </wp:positionV>
            <wp:extent cx="774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-3599815</wp:posOffset>
            </wp:positionV>
            <wp:extent cx="7747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-3616960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-3599815</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-3616960</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-3599815</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-3616960</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-3599815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-864870</wp:posOffset>
            </wp:positionV>
            <wp:extent cx="7747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-864870</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-864870</wp:posOffset>
            </wp:positionV>
            <wp:extent cx="685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-170815</wp:posOffset>
            </wp:positionV>
            <wp:extent cx="7747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9" w:name="page210"/>
    <w:bookmarkEnd w:id="2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(2,164,255 )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(811,281 )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(2,697,147 )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344,248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(8,183 )</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1,327,705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(636,814 )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(1,391,186 )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for redemptions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to pay for taxes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(531,697 )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10,008,973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492,287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shares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(10,384,496 )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(9,419,201 )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(115,129,879 )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(47,042 )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(137,114 )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13,242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114,078</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subscription agreements</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462,751</w:t>
            </w:r>
          </w:p>
        </w:tc>
        <w:tc>
          <w:tcPr>
            <w:tcW w:w="2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-1945640</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0" w:name="page211"/>
    <w:bookmarkEnd w:id="2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1" w:name="page212"/>
    <w:bookmarkEnd w:id="211"/>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2" w:name="page213"/>
    <w:bookmarkEnd w:id="212"/>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3" w:name="page214"/>
    <w:bookmarkEnd w:id="213"/>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$13,242 of cash in its bank operating account and a working capital deficiency of approximately $10.9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4" w:name="page215"/>
    <w:bookmarkEnd w:id="214"/>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5" w:name="page216"/>
    <w:bookmarkEnd w:id="215"/>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$13,242 and $60,284 in cash as of June 30, 2024 and September 30, 2023, respectively.</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80" w:hanging="383"/>
        <w:spacing w:after="0" w:line="312" w:lineRule="auto"/>
        <w:tabs>
          <w:tab w:leader="none" w:pos="90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17" w:name="page218"/>
    <w:bookmarkEnd w:id="217"/>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2024 and September 30, 2023, the common stock reflected in the balance sheets are reconciled in the following table:</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(11,700,000 )</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80" w:type="dxa"/>
            <w:vAlign w:val="bottom"/>
          </w:tcPr>
          <w:p>
            <w:pPr>
              <w:spacing w:after="0"/>
              <w:rPr>
                <w:sz w:val="18"/>
                <w:szCs w:val="18"/>
                <w:color w:val="auto"/>
              </w:rPr>
            </w:pPr>
          </w:p>
        </w:tc>
      </w:tr>
      <w:tr>
        <w:trPr>
          <w:trHeight w:val="198"/>
        </w:trPr>
        <w:tc>
          <w:tcPr>
            <w:tcW w:w="6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Trust interest income (excluding the amount that can be withdrawn</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from Trust Account for taxes)</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80" w:type="dxa"/>
            <w:vAlign w:val="bottom"/>
            <w:shd w:val="clear" w:color="auto" w:fill="CFF0FC"/>
          </w:tcPr>
          <w:p>
            <w:pPr>
              <w:spacing w:after="0"/>
              <w:rPr>
                <w:sz w:val="20"/>
                <w:szCs w:val="20"/>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8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8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8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(10,384,496 )</w:t>
            </w:r>
          </w:p>
        </w:tc>
      </w:tr>
      <w:tr>
        <w:trPr>
          <w:trHeight w:val="216"/>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June 30,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16,040,786</w:t>
            </w:r>
          </w:p>
        </w:tc>
        <w:tc>
          <w:tcPr>
            <w:tcW w:w="8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10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17"/>
        </w:trPr>
        <w:tc>
          <w:tcPr>
            <w:tcW w:w="280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i w:val="1"/>
                <w:iCs w:val="1"/>
                <w:color w:val="auto"/>
              </w:rPr>
              <w:t>Basic and diluted net (loss) income</w:t>
            </w: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per share</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Numerator: Allocation of net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(283,071 )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(1,140,024 )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(212,999 )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(346,585 )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(539,100 )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(1,625,155 )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as adjusted</w:t>
            </w: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1,417,687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3,508,852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1,893,969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80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0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Basic and diluted net (loss) income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(0.20 )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(0.06 )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(0.28 )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(0.28 )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8" w:name="page219"/>
    <w:bookmarkEnd w:id="218"/>
    <w:p>
      <w:pPr>
        <w:ind w:right="260"/>
        <w:spacing w:after="0" w:line="282" w:lineRule="auto"/>
        <w:rPr>
          <w:sz w:val="20"/>
          <w:szCs w:val="20"/>
          <w:color w:val="auto"/>
        </w:rPr>
      </w:pPr>
      <w:r>
        <w:rPr>
          <w:rFonts w:ascii="Times New Roman" w:cs="Times New Roman" w:eastAsia="Times New Roman" w:hAnsi="Times New Roman"/>
          <w:sz w:val="18"/>
          <w:szCs w:val="18"/>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9" w:name="page220"/>
    <w:bookmarkEnd w:id="219"/>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0" w:name="page221"/>
    <w:bookmarkEnd w:id="220"/>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1" w:name="page222"/>
    <w:bookmarkEnd w:id="221"/>
    <w:p>
      <w:pPr>
        <w:ind w:right="20"/>
        <w:spacing w:after="0" w:line="266" w:lineRule="auto"/>
        <w:rPr>
          <w:sz w:val="20"/>
          <w:szCs w:val="20"/>
          <w:color w:val="auto"/>
        </w:rPr>
      </w:pPr>
      <w:r>
        <w:rPr>
          <w:rFonts w:ascii="Times New Roman" w:cs="Times New Roman" w:eastAsia="Times New Roman" w:hAnsi="Times New Roman"/>
          <w:sz w:val="18"/>
          <w:szCs w:val="18"/>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2" w:name="page223"/>
    <w:bookmarkEnd w:id="222"/>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May 15, 2024, the Company borrowed $49,619 under the Second Extension Note and deposited the funds into the Trust Account thereby extending the Termination Date to June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June 15, 2024, the Company borrowed $49,619 under the Second Extension Note and deposited the funds into the Trust Account thereby extending the Termination Date to July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23" w:name="page224"/>
    <w:bookmarkEnd w:id="223"/>
    <w:p>
      <w:pPr>
        <w:ind w:right="180"/>
        <w:spacing w:after="0" w:line="282" w:lineRule="auto"/>
        <w:rPr>
          <w:sz w:val="20"/>
          <w:szCs w:val="20"/>
          <w:color w:val="auto"/>
        </w:rPr>
      </w:pPr>
      <w:r>
        <w:rPr>
          <w:rFonts w:ascii="Times New Roman" w:cs="Times New Roman" w:eastAsia="Times New Roman" w:hAnsi="Times New Roman"/>
          <w:sz w:val="18"/>
          <w:szCs w:val="18"/>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Subscription Agreements Liability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9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5" w:name="page226"/>
    <w:bookmarkEnd w:id="225"/>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5"/>
                <w:szCs w:val="15"/>
                <w:color w:val="auto"/>
              </w:rPr>
            </w:pPr>
          </w:p>
        </w:tc>
        <w:tc>
          <w:tcPr>
            <w:tcW w:w="24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516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r>
      <w:tr>
        <w:trPr>
          <w:trHeight w:val="210"/>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$ 16,126,337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7" w:name="page228"/>
    <w:bookmarkEnd w:id="227"/>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July 17, 2024, the Company borrowed $49,619 under the Second Extension Note and deposited the funds into the Trust Account thereby extending the Termination Date to August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8" w:name="page229"/>
    <w:bookmarkEnd w:id="228"/>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August 1, 2024, the Company held a special meeting of stockholders (the “Special Meeting”) virtually to approve, among other things, the Company’s initial business combination, as more fully described in the Definitive Proxy Statement filed with the U.S. Securities and Exchange Commission on July 10, 2024.</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consummation of the Business Combination, on August 15, 2024, (i) Rezolve AI effected a re-classification of its share capital whereby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series A shares were reclassified as ordinary shares of same class as existing ordinary shares on issue in Rezolve AI, with nominal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“Rezolve Ordinary Shares”), and (ii) the Company merged with and into Rezolve Merger Sub, with the Company surviving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Rezolve AI, with shareholders of the Company received Rezolve Ordinary Shares in exchange for their existing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and the Company warrant holders having their warrants automatically exchanged for warrants of Rezolve.</w:t>
      </w:r>
    </w:p>
    <w:p>
      <w:pPr>
        <w:spacing w:after="0" w:line="20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contemplation of closing of the Business combination the Company has entered into the following agreements with their vendors which were not paid in cash at the closing of the Business Combination:</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9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9" w:name="page230"/>
    <w:bookmarkEnd w:id="229"/>
    <w:p>
      <w:pPr>
        <w:spacing w:after="0" w:line="254" w:lineRule="auto"/>
        <w:rPr>
          <w:sz w:val="20"/>
          <w:szCs w:val="20"/>
          <w:color w:val="auto"/>
        </w:rPr>
      </w:pPr>
      <w:r>
        <w:rPr>
          <w:rFonts w:ascii="Times New Roman" w:cs="Times New Roman" w:eastAsia="Times New Roman" w:hAnsi="Times New Roman"/>
          <w:sz w:val="18"/>
          <w:szCs w:val="18"/>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0" w:name="page231"/>
    <w:bookmarkEnd w:id="2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15,771,190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5,392,262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redemption value of approximately $11.11 and $10.71 per share at March 31, 2024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15,747,446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1,417,687 and 2,363,349 shares subject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March 31, 2024 and September 30, 2023,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(9,636,663 )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(9,636,093 )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-3908425</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-3625215</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1" w:name="page232"/>
    <w:bookmarkEnd w:id="2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13"/>
                <w:szCs w:val="13"/>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80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(485,111 )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(818,698 )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(1,107,040 )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(1,241,013 )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(118,811 )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(124,198 )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270,156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(333,766 )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(626,246 )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(47,080 )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(182,853 )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(114,914 )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(443,184 )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(380,846 )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(741,160 )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1,895,714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7,722,273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non-redeemable common stock</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-1045210</wp:posOffset>
            </wp:positionV>
            <wp:extent cx="7747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-1045210</wp:posOffset>
            </wp:positionV>
            <wp:extent cx="685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-1045210</wp:posOffset>
            </wp:positionV>
            <wp:extent cx="6858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-625475</wp:posOffset>
            </wp:positionV>
            <wp:extent cx="774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-607695</wp:posOffset>
            </wp:positionV>
            <wp:extent cx="7747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-625475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-607695</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-625475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-607695</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2" w:name="page233"/>
    <w:bookmarkEnd w:id="2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00" w:type="dxa"/>
            <w:vAlign w:val="bottom"/>
            <w:gridSpan w:val="3"/>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60" w:type="dxa"/>
            <w:vAlign w:val="bottom"/>
            <w:gridSpan w:val="9"/>
          </w:tcPr>
          <w:p>
            <w:pPr>
              <w:ind w:left="30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60" w:type="dxa"/>
            <w:vAlign w:val="bottom"/>
          </w:tcPr>
          <w:p>
            <w:pPr>
              <w:spacing w:after="0"/>
              <w:rPr>
                <w:sz w:val="24"/>
                <w:szCs w:val="24"/>
                <w:color w:val="auto"/>
              </w:rPr>
            </w:pPr>
          </w:p>
        </w:tc>
        <w:tc>
          <w:tcPr>
            <w:tcW w:w="2200" w:type="dxa"/>
            <w:vAlign w:val="bottom"/>
            <w:gridSpan w:val="3"/>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shareholder non-redemption agreements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shareholder</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-4251325</wp:posOffset>
            </wp:positionV>
            <wp:extent cx="768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-4251325</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-4251325</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-4251325</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-3145155</wp:posOffset>
            </wp:positionV>
            <wp:extent cx="768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-3145155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-3145155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-3145155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-170815</wp:posOffset>
            </wp:positionV>
            <wp:extent cx="768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3" w:name="page234"/>
    <w:bookmarkEnd w:id="2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(741,160 )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(604,992 )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(2,264,081 )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684,212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(68,800 )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(378,057 )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(1,195,701 )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(382,840 )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(10,384,496 )</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(9,732,335 )</w:t>
            </w: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(115,129,879 )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47,438</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3,148,417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434,460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71,153</w:t>
            </w:r>
          </w:p>
        </w:tc>
        <w:tc>
          <w:tcPr>
            <w:tcW w:w="28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407,687</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-1945640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-814070</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4" w:name="page235"/>
    <w:bookmarkEnd w:id="2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5" w:name="page236"/>
    <w:bookmarkEnd w:id="235"/>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6" w:name="page237"/>
    <w:bookmarkEnd w:id="236"/>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7" w:name="page238"/>
    <w:bookmarkEnd w:id="237"/>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8" w:name="page239"/>
    <w:bookmarkEnd w:id="238"/>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41" w:name="page242"/>
    <w:bookmarkEnd w:id="241"/>
    <w:p>
      <w:pPr>
        <w:ind w:left="5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12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1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(129,175,094 )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-967740</wp:posOffset>
            </wp:positionV>
            <wp:extent cx="342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-556895</wp:posOffset>
            </wp:positionV>
            <wp:extent cx="342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2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2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(94,932 )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(285,914 )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(11,538 )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1,895,714</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7,722,273</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F-96</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2" w:name="page243"/>
    <w:bookmarkEnd w:id="242"/>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11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8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(201,430 )</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(539,730 )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386,387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2,130,809</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11,401,124</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243" w:name="page244"/>
    <w:bookmarkEnd w:id="243"/>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5" w:name="page246"/>
    <w:bookmarkEnd w:id="245"/>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6" w:name="page247"/>
    <w:bookmarkEnd w:id="246"/>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7" w:name="page248"/>
    <w:bookmarkEnd w:id="247"/>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20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16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$ 15,771,190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0" w:name="page251"/>
    <w:bookmarkEnd w:id="250"/>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1" w:name="page252"/>
    <w:bookmarkEnd w:id="2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25,871,565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5,132,351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value of approximately $10.91 and $10.71 per share at December 31, 2023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2,363,349 shares subject to</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December 31, 2023 and September 30, 2023,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(9,314,780 )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(9,155,176 )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-3916680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-2082165</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2" w:name="page253"/>
    <w:bookmarkEnd w:id="2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(621,929 )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(422,315 )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(5,387 )</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(292,480 )</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(67,834 )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(260,331 )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(360,314 )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-1782445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-513715</wp:posOffset>
            </wp:positionV>
            <wp:extent cx="6858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3" w:name="page254"/>
    <w:bookmarkEnd w:id="2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(467,884 )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(9,314,780 )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40" w:type="dxa"/>
            <w:vAlign w:val="bottom"/>
            <w:gridSpan w:val="8"/>
          </w:tcPr>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60" w:type="dxa"/>
            <w:vAlign w:val="bottom"/>
          </w:tcPr>
          <w:p>
            <w:pPr>
              <w:spacing w:after="0"/>
              <w:rPr>
                <w:sz w:val="24"/>
                <w:szCs w:val="24"/>
                <w:color w:val="auto"/>
              </w:rPr>
            </w:pPr>
          </w:p>
        </w:tc>
        <w:tc>
          <w:tcPr>
            <w:tcW w:w="22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-1765300</wp:posOffset>
            </wp:positionV>
            <wp:extent cx="7683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-1765300</wp:posOffset>
            </wp:positionV>
            <wp:extent cx="685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-1765300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-1765300</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4" w:name="page255"/>
    <w:bookmarkEnd w:id="2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(360,314 )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(334,836 )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(1,289,673 )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(115,339 )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(264,331 )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(212,701 )</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(212,701 )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(1,500,000 )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(5,879 )</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108,634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-1482090</wp:posOffset>
            </wp:positionV>
            <wp:extent cx="6858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5" w:name="page256"/>
    <w:bookmarkEnd w:id="2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56" w:name="page257"/>
    <w:bookmarkEnd w:id="256"/>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7" w:name="page258"/>
    <w:bookmarkEnd w:id="257"/>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8" w:name="page259"/>
    <w:bookmarkEnd w:id="258"/>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9" w:name="page260"/>
    <w:bookmarkEnd w:id="259"/>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00" w:hanging="383"/>
        <w:spacing w:after="0" w:line="312" w:lineRule="auto"/>
        <w:tabs>
          <w:tab w:leader="none" w:pos="9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2" w:name="page263"/>
    <w:bookmarkEnd w:id="262"/>
    <w:p>
      <w:pPr>
        <w:ind w:left="5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c>
          <w:tcPr>
            <w:tcW w:w="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20" w:type="dxa"/>
            <w:vAlign w:val="bottom"/>
          </w:tcPr>
          <w:p>
            <w:pPr>
              <w:spacing w:after="0"/>
              <w:rPr>
                <w:sz w:val="18"/>
                <w:szCs w:val="18"/>
                <w:color w:val="auto"/>
              </w:rPr>
            </w:pPr>
          </w:p>
        </w:tc>
      </w:tr>
      <w:tr>
        <w:trPr>
          <w:trHeight w:val="198"/>
        </w:trPr>
        <w:tc>
          <w:tcPr>
            <w:tcW w:w="4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7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7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20" w:type="dxa"/>
            <w:vAlign w:val="bottom"/>
          </w:tcPr>
          <w:p>
            <w:pPr>
              <w:spacing w:after="0"/>
              <w:rPr>
                <w:sz w:val="20"/>
                <w:szCs w:val="20"/>
                <w:color w:val="auto"/>
              </w:rPr>
            </w:pP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20"/>
                <w:szCs w:val="20"/>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0" w:type="dxa"/>
            <w:vAlign w:val="bottom"/>
          </w:tcPr>
          <w:p>
            <w:pPr>
              <w:spacing w:after="0"/>
              <w:rPr>
                <w:sz w:val="18"/>
                <w:szCs w:val="18"/>
                <w:color w:val="auto"/>
              </w:rPr>
            </w:pPr>
          </w:p>
        </w:tc>
      </w:tr>
      <w:tr>
        <w:trPr>
          <w:trHeight w:val="194"/>
        </w:trPr>
        <w:tc>
          <w:tcPr>
            <w:tcW w:w="48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20" w:type="dxa"/>
            <w:vAlign w:val="bottom"/>
          </w:tcPr>
          <w:p>
            <w:pPr>
              <w:spacing w:after="0"/>
              <w:rPr>
                <w:sz w:val="20"/>
                <w:szCs w:val="20"/>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8"/>
                <w:szCs w:val="18"/>
                <w:color w:val="auto"/>
              </w:rPr>
            </w:pPr>
          </w:p>
        </w:tc>
      </w:tr>
      <w:tr>
        <w:trPr>
          <w:trHeight w:val="194"/>
        </w:trPr>
        <w:tc>
          <w:tcPr>
            <w:tcW w:w="48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20" w:type="dxa"/>
            <w:vAlign w:val="bottom"/>
          </w:tcPr>
          <w:p>
            <w:pPr>
              <w:spacing w:after="0"/>
              <w:rPr>
                <w:sz w:val="20"/>
                <w:szCs w:val="20"/>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Possible</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(105,483 )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(254,831 )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3" w:name="page264"/>
    <w:bookmarkEnd w:id="263"/>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65" w:name="page266"/>
    <w:bookmarkEnd w:id="265"/>
    <w:p>
      <w:pPr>
        <w:ind w:right="500"/>
        <w:spacing w:after="0" w:line="282" w:lineRule="auto"/>
        <w:rPr>
          <w:sz w:val="20"/>
          <w:szCs w:val="20"/>
          <w:color w:val="auto"/>
        </w:rPr>
      </w:pPr>
      <w:r>
        <w:rPr>
          <w:rFonts w:ascii="Times New Roman" w:cs="Times New Roman" w:eastAsia="Times New Roman" w:hAnsi="Times New Roman"/>
          <w:sz w:val="18"/>
          <w:szCs w:val="18"/>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6" w:name="page267"/>
    <w:bookmarkEnd w:id="266"/>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8" w:name="page269"/>
    <w:bookmarkEnd w:id="268"/>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0" w:name="page271"/>
    <w:bookmarkEnd w:id="270"/>
    <w:p>
      <w:pPr>
        <w:ind w:left="900" w:right="540"/>
        <w:spacing w:after="0" w:line="282" w:lineRule="auto"/>
        <w:rPr>
          <w:sz w:val="20"/>
          <w:szCs w:val="20"/>
          <w:color w:val="auto"/>
        </w:rPr>
      </w:pPr>
      <w:r>
        <w:rPr>
          <w:rFonts w:ascii="Times New Roman" w:cs="Times New Roman" w:eastAsia="Times New Roman" w:hAnsi="Times New Roman"/>
          <w:sz w:val="18"/>
          <w:szCs w:val="18"/>
          <w:color w:val="auto"/>
        </w:rPr>
        <w:t>commencing at any time after the warrants become exercisable and ending on the third business day prior to the notice of redemption to warrant holders; and</w:t>
      </w:r>
    </w:p>
    <w:p>
      <w:pPr>
        <w:spacing w:after="0" w:line="54" w:lineRule="exact"/>
        <w:rPr>
          <w:sz w:val="20"/>
          <w:szCs w:val="20"/>
          <w:color w:val="auto"/>
        </w:rPr>
      </w:pPr>
    </w:p>
    <w:p>
      <w:pPr>
        <w:ind w:left="900" w:hanging="383"/>
        <w:spacing w:after="0"/>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1" w:name="page272"/>
    <w:bookmarkEnd w:id="27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2" w:name="page273"/>
    <w:bookmarkEnd w:id="272"/>
    <w:p>
      <w:pPr>
        <w:ind w:right="254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Armada Acquisition Corp. 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3" w:name="page274"/>
    <w:bookmarkEnd w:id="2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$10.71 and $10.04 per share at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2023 and 2022,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15,000,000 shares subject to</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 at September 30, 2023 and 2022,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(8,486,582 )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(4,091,693 )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(8,486,012 )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(3,149,327 )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-3771265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-3488690</wp:posOffset>
            </wp:positionV>
            <wp:extent cx="6858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-3488690</wp:posOffset>
            </wp:positionV>
            <wp:extent cx="6858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-2219325</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4" w:name="page275"/>
    <w:bookmarkEnd w:id="274"/>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(2,789,126 )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(4,503,115 )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295,134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(3,477,173 )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(615,284 )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(145,621 )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(320,150 )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8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8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-788035</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-770890</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5" w:name="page276"/>
    <w:bookmarkEnd w:id="2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740" w:type="dxa"/>
            <w:vAlign w:val="bottom"/>
            <w:gridSpan w:val="5"/>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27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6,834,500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(468,899 )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(1,125,000 )</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(548,862 )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(548,862 )</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(3,622,794 )</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191"/>
        </w:trPr>
        <w:tc>
          <w:tcPr>
            <w:tcW w:w="47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1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(1,102,909 )</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(1,160,050 )</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(131,701 )</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(1,291,751 )</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(3,943,038 )</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(3,943,038 )</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(320,150 )</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(320,150 )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-1559560</wp:posOffset>
            </wp:positionV>
            <wp:extent cx="7747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-1559560</wp:posOffset>
            </wp:positionV>
            <wp:extent cx="7683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-1559560</wp:posOffset>
            </wp:positionV>
            <wp:extent cx="685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-1559560</wp:posOffset>
            </wp:positionV>
            <wp:extent cx="6858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7683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6" w:name="page277"/>
    <w:bookmarkEnd w:id="276"/>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(320,150 )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(3,084,260 )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(1,025,942 )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(137,900 )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(134,838 )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(1,860,042 )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(913,835 )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(1,641,801 )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2,316,985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(4,300 )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(231,280 )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(129,175,094 )</w:t>
            </w: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(126,862,409 )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251,754</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(117,294 )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(480,012 )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on redemptions</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1,291,751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-2322195</wp:posOffset>
            </wp:positionV>
            <wp:extent cx="6858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6858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7" w:name="page278"/>
    <w:bookmarkEnd w:id="2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9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8" w:name="page279"/>
    <w:bookmarkEnd w:id="278"/>
    <w:p>
      <w:pPr>
        <w:ind w:right="80"/>
        <w:spacing w:after="0" w:line="258" w:lineRule="auto"/>
        <w:rPr>
          <w:sz w:val="20"/>
          <w:szCs w:val="20"/>
          <w:color w:val="auto"/>
        </w:rPr>
      </w:pPr>
      <w:r>
        <w:rPr>
          <w:rFonts w:ascii="Times New Roman" w:cs="Times New Roman" w:eastAsia="Times New Roman" w:hAnsi="Times New Roman"/>
          <w:sz w:val="18"/>
          <w:szCs w:val="18"/>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9" w:name="page280"/>
    <w:bookmarkEnd w:id="279"/>
    <w:p>
      <w:pPr>
        <w:ind w:right="160"/>
        <w:spacing w:after="0" w:line="261" w:lineRule="auto"/>
        <w:rPr>
          <w:sz w:val="20"/>
          <w:szCs w:val="20"/>
          <w:color w:val="auto"/>
        </w:rPr>
      </w:pPr>
      <w:r>
        <w:rPr>
          <w:rFonts w:ascii="Times New Roman" w:cs="Times New Roman" w:eastAsia="Times New Roman" w:hAnsi="Times New Roman"/>
          <w:sz w:val="18"/>
          <w:szCs w:val="18"/>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0" w:name="page281"/>
    <w:bookmarkEnd w:id="280"/>
    <w:p>
      <w:pPr>
        <w:ind w:right="80"/>
        <w:spacing w:after="0" w:line="282" w:lineRule="auto"/>
        <w:rPr>
          <w:sz w:val="20"/>
          <w:szCs w:val="20"/>
          <w:color w:val="auto"/>
        </w:rPr>
      </w:pPr>
      <w:r>
        <w:rPr>
          <w:rFonts w:ascii="Times New Roman" w:cs="Times New Roman" w:eastAsia="Times New Roman" w:hAnsi="Times New Roman"/>
          <w:sz w:val="18"/>
          <w:szCs w:val="18"/>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1" w:name="page282"/>
    <w:bookmarkEnd w:id="281"/>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20" w:hanging="383"/>
        <w:spacing w:after="0" w:line="312" w:lineRule="auto"/>
        <w:tabs>
          <w:tab w:leader="none" w:pos="90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2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that can be withdrawn from Trust Account for taxes)</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280" w:type="dxa"/>
            <w:vAlign w:val="bottom"/>
            <w:shd w:val="clear" w:color="auto" w:fill="CFF0FC"/>
          </w:tcPr>
          <w:p>
            <w:pPr>
              <w:spacing w:after="0"/>
              <w:rPr>
                <w:sz w:val="16"/>
                <w:szCs w:val="16"/>
                <w:color w:val="auto"/>
              </w:rPr>
            </w:pPr>
          </w:p>
        </w:tc>
        <w:tc>
          <w:tcPr>
            <w:tcW w:w="1200" w:type="dxa"/>
            <w:vAlign w:val="bottom"/>
            <w:tcBorders>
              <w:right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-839470</wp:posOffset>
            </wp:positionV>
            <wp:extent cx="342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4" w:name="page285"/>
    <w:bookmarkEnd w:id="284"/>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0"/>
                <w:szCs w:val="10"/>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0"/>
                <w:szCs w:val="10"/>
                <w:color w:val="auto"/>
              </w:rPr>
            </w:pP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(179,201 )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(140,949 )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(2,624,009 )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(998,785 )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5" w:name="page286"/>
    <w:bookmarkEnd w:id="285"/>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6" w:name="page287"/>
    <w:bookmarkEnd w:id="286"/>
    <w:p>
      <w:pPr>
        <w:ind w:right="220"/>
        <w:spacing w:after="0" w:line="282" w:lineRule="auto"/>
        <w:rPr>
          <w:sz w:val="20"/>
          <w:szCs w:val="20"/>
          <w:color w:val="auto"/>
        </w:rPr>
      </w:pPr>
      <w:r>
        <w:rPr>
          <w:rFonts w:ascii="Times New Roman" w:cs="Times New Roman" w:eastAsia="Times New Roman" w:hAnsi="Times New Roman"/>
          <w:sz w:val="18"/>
          <w:szCs w:val="18"/>
          <w:color w:val="auto"/>
        </w:rPr>
        <w:t>Sponsor under the remaining promissory note. As of September 30, 2023 and 2022, the net amount outstanding under the promissory note was $247,454 and $251,754, respectively.</w:t>
      </w:r>
    </w:p>
    <w:p>
      <w:pPr>
        <w:spacing w:after="0" w:line="162"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80" w:firstLine="8"/>
        <w:spacing w:after="0" w:line="260" w:lineRule="auto"/>
        <w:tabs>
          <w:tab w:leader="none" w:pos="26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7" w:name="page288"/>
    <w:bookmarkEnd w:id="287"/>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8" w:name="page289"/>
    <w:bookmarkEnd w:id="288"/>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40" w:type="dxa"/>
            <w:vAlign w:val="bottom"/>
            <w:gridSpan w:val="2"/>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2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F-143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9" w:name="page290"/>
    <w:bookmarkEnd w:id="289"/>
    <w:p>
      <w:pPr>
        <w:ind w:left="520"/>
        <w:spacing w:after="0"/>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 the hierarchy of fair value measurements as follows: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150,844,605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150,864,167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0" w:name="page291"/>
    <w:bookmarkEnd w:id="290"/>
    <w:p>
      <w:pPr>
        <w:ind w:right="140"/>
        <w:spacing w:after="0" w:line="282" w:lineRule="auto"/>
        <w:rPr>
          <w:sz w:val="20"/>
          <w:szCs w:val="20"/>
          <w:color w:val="auto"/>
        </w:rPr>
      </w:pPr>
      <w:r>
        <w:rPr>
          <w:rFonts w:ascii="Times New Roman" w:cs="Times New Roman" w:eastAsia="Times New Roman" w:hAnsi="Times New Roman"/>
          <w:sz w:val="18"/>
          <w:szCs w:val="18"/>
          <w:color w:val="auto"/>
        </w:rPr>
        <w:t>day prior to the date of exercise. The warrants will expire on the fifth anniversary of the completion of an initial Business Combination, at 5:00 p.m., New York City time, or earlier upon redemption or liquidation.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504,667</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(634,017 )</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(435,209 )</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437"/>
        </w:trPr>
        <w:tc>
          <w:tcPr>
            <w:tcW w:w="4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1"/>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(198,808 )</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8"/>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F-145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1" w:name="page292"/>
    <w:bookmarkEnd w:id="291"/>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6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38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8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119.13 %</w:t>
            </w:r>
          </w:p>
        </w:tc>
        <w:tc>
          <w:tcPr>
            <w:tcW w:w="3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67.40 %</w:t>
            </w:r>
          </w:p>
        </w:tc>
        <w:tc>
          <w:tcPr>
            <w:tcW w:w="3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207.49 %</w:t>
            </w:r>
          </w:p>
        </w:tc>
        <w:tc>
          <w:tcPr>
            <w:tcW w:w="3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-836295</wp:posOffset>
            </wp:positionV>
            <wp:extent cx="4989195" cy="13716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-287655</wp:posOffset>
            </wp:positionV>
            <wp:extent cx="4989195" cy="13716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8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92" w:name="page293"/>
    <w:bookmarkEnd w:id="2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1"/>
      <w:numFmt w:val="bullet"/>
      <w:start w:val="1"/>
    </w:lvl>
  </w:abstractNum>
  <w:abstractNum w:abstractNumId="5">
    <w:nsid w:val="2DF6D648"/>
    <w:multiLevelType w:val="hybridMultilevel"/>
    <w:lvl w:ilvl="0">
      <w:lvlJc w:val="left"/>
      <w:lvlText w:val="(%1)"/>
      <w:numFmt w:val="lowerRoman"/>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1)"/>
      <w:numFmt w:val="lowerRoman"/>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lvl w:ilvl="1">
      <w:lvlJc w:val="left"/>
      <w:lvlText w:val="(%2)"/>
      <w:numFmt w:val="lowerLetter"/>
      <w:start w:val="9"/>
    </w:lvl>
  </w:abstractNum>
  <w:abstractNum w:abstractNumId="23">
    <w:nsid w:val="6FC75AF8"/>
    <w:multiLevelType w:val="hybridMultilevel"/>
    <w:lvl w:ilvl="0">
      <w:lvlJc w:val="left"/>
      <w:lvlText w:val="•"/>
      <w:numFmt w:val="bullet"/>
      <w:start w:val="1"/>
    </w:lvl>
    <w:lvl w:ilvl="1">
      <w:lvlJc w:val="left"/>
      <w:lvlText w:val="(%2)"/>
      <w:numFmt w:val="lowerRoman"/>
      <w:start w:val="2"/>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1)"/>
      <w:numFmt w:val="lowerLetter"/>
      <w:start w:val="1"/>
    </w:lvl>
    <w:lvl w:ilvl="1">
      <w:lvlJc w:val="left"/>
      <w:lvlText w:val="•"/>
      <w:numFmt w:val="bullet"/>
      <w:start w:val="1"/>
    </w:lvl>
  </w:abstractNum>
  <w:abstractNum w:abstractNumId="26">
    <w:nsid w:val="5F3534A4"/>
    <w:multiLevelType w:val="hybridMultilevel"/>
    <w:lvl w:ilvl="0">
      <w:lvlJc w:val="left"/>
      <w:lvlText w:val="(%1)"/>
      <w:numFmt w:val="lowerLetter"/>
      <w:start w:val="13"/>
    </w:lvl>
  </w:abstractNum>
  <w:abstractNum w:abstractNumId="27">
    <w:nsid w:val="73A1821B"/>
    <w:multiLevelType w:val="hybridMultilevel"/>
    <w:lvl w:ilvl="0">
      <w:lvlJc w:val="left"/>
      <w:lvlText w:val="(%1)"/>
      <w:numFmt w:val="lowerLetter"/>
      <w:start w:val="27"/>
    </w:lvl>
  </w:abstractNum>
  <w:abstractNum w:abstractNumId="28">
    <w:nsid w:val="7DE67713"/>
    <w:multiLevelType w:val="hybridMultilevel"/>
    <w:lvl w:ilvl="0">
      <w:lvlJc w:val="left"/>
      <w:lvlText w:val="2"/>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
      <w:numFmt w:val="bullet"/>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1)"/>
      <w:numFmt w:val="decimal"/>
      <w:start w:val="7"/>
    </w:lvl>
  </w:abstractNum>
  <w:abstractNum w:abstractNumId="42">
    <w:nsid w:val="1D9F6E5F"/>
    <w:multiLevelType w:val="hybridMultilevel"/>
    <w:lvl w:ilvl="0">
      <w:lvlJc w:val="left"/>
      <w:lvlText w:val="(%1)"/>
      <w:numFmt w:val="lowerRoman"/>
      <w:start w:val="1"/>
    </w:lvl>
  </w:abstractNum>
  <w:abstractNum w:abstractNumId="43">
    <w:nsid w:val="97E1B4E"/>
    <w:multiLevelType w:val="hybridMultilevel"/>
    <w:lvl w:ilvl="0">
      <w:lvlJc w:val="left"/>
      <w:lvlText w:val="2"/>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abstractNum>
  <w:abstractNum w:abstractNumId="49">
    <w:nsid w:val="23D86AAC"/>
    <w:multiLevelType w:val="hybridMultilevel"/>
    <w:lvl w:ilvl="0">
      <w:lvlJc w:val="left"/>
      <w:lvlText w:val="0"/>
      <w:numFmt w:val="bullet"/>
      <w:start w:val="1"/>
    </w:lvl>
  </w:abstractNum>
  <w:abstractNum w:abstractNumId="50">
    <w:nsid w:val="45E6D486"/>
    <w:multiLevelType w:val="hybridMultilevel"/>
    <w:lvl w:ilvl="0">
      <w:lvlJc w:val="left"/>
      <w:lvlText w:val="•"/>
      <w:numFmt w:val="bullet"/>
      <w:start w:val="1"/>
    </w:lvl>
  </w:abstractNum>
  <w:abstractNum w:abstractNumId="51">
    <w:nsid w:val="5C10FE21"/>
    <w:multiLevelType w:val="hybridMultilevel"/>
    <w:lvl w:ilvl="0">
      <w:lvlJc w:val="left"/>
      <w:lvlText w:val="•"/>
      <w:numFmt w:val="bullet"/>
      <w:start w:val="1"/>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
      <w:numFmt w:val="bullet"/>
      <w:start w:val="1"/>
    </w:lvl>
  </w:abstractNum>
  <w:abstractNum w:abstractNumId="54">
    <w:nsid w:val="4BD8591A"/>
    <w:multiLevelType w:val="hybridMultilevel"/>
    <w:lvl w:ilvl="0">
      <w:lvlJc w:val="left"/>
      <w:lvlText w:val="•"/>
      <w:numFmt w:val="bullet"/>
      <w:start w:val="1"/>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
      <w:numFmt w:val="bullet"/>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1)"/>
      <w:numFmt w:val="decimal"/>
      <w:start w:val="7"/>
    </w:lvl>
  </w:abstractNum>
  <w:abstractNum w:abstractNumId="59">
    <w:nsid w:val="379E21B5"/>
    <w:multiLevelType w:val="hybridMultilevel"/>
    <w:lvl w:ilvl="0">
      <w:lvlJc w:val="left"/>
      <w:lvlText w:val="(%1)"/>
      <w:numFmt w:val="lowerRoman"/>
      <w:start w:val="1"/>
    </w:lvl>
  </w:abstractNum>
  <w:abstractNum w:abstractNumId="60">
    <w:nsid w:val="69E373"/>
    <w:multiLevelType w:val="hybridMultilevel"/>
    <w:lvl w:ilvl="0">
      <w:lvlJc w:val="left"/>
      <w:lvlText w:val="3"/>
      <w:numFmt w:val="bullet"/>
      <w:start w:val="1"/>
    </w:lvl>
  </w:abstractNum>
  <w:abstractNum w:abstractNumId="61">
    <w:nsid w:val="2C27173B"/>
    <w:multiLevelType w:val="hybridMultilevel"/>
    <w:lvl w:ilvl="0">
      <w:lvlJc w:val="left"/>
      <w:lvlText w:val="•"/>
      <w:numFmt w:val="bullet"/>
      <w:start w:val="1"/>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
      <w:numFmt w:val="bullet"/>
      <w:start w:val="1"/>
    </w:lvl>
  </w:abstractNum>
  <w:abstractNum w:abstractNumId="67">
    <w:nsid w:val="3DB012B3"/>
    <w:multiLevelType w:val="hybridMultilevel"/>
    <w:lvl w:ilvl="0">
      <w:lvlJc w:val="left"/>
      <w:lvlText w:val="•"/>
      <w:numFmt w:val="bullet"/>
      <w:start w:val="1"/>
    </w:lvl>
  </w:abstractNum>
  <w:abstractNum w:abstractNumId="68">
    <w:nsid w:val="2708C9AF"/>
    <w:multiLevelType w:val="hybridMultilevel"/>
    <w:lvl w:ilvl="0">
      <w:lvlJc w:val="left"/>
      <w:lvlText w:val="•"/>
      <w:numFmt w:val="bullet"/>
      <w:start w:val="1"/>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
      <w:numFmt w:val="bullet"/>
      <w:start w:val="1"/>
    </w:lvl>
  </w:abstractNum>
  <w:abstractNum w:abstractNumId="71">
    <w:nsid w:val="4F97E3E4"/>
    <w:multiLevelType w:val="hybridMultilevel"/>
    <w:lvl w:ilvl="0">
      <w:lvlJc w:val="left"/>
      <w:lvlText w:val="•"/>
      <w:numFmt w:val="bullet"/>
      <w:start w:val="1"/>
    </w:lvl>
  </w:abstractNum>
  <w:abstractNum w:abstractNumId="72">
    <w:nsid w:val="53B0A9E"/>
    <w:multiLevelType w:val="hybridMultilevel"/>
    <w:lvl w:ilvl="0">
      <w:lvlJc w:val="left"/>
      <w:lvlText w:val="•"/>
      <w:numFmt w:val="bullet"/>
      <w:start w:val="1"/>
    </w:lvl>
  </w:abstractNum>
  <w:abstractNum w:abstractNumId="73">
    <w:nsid w:val="34FD6B4F"/>
    <w:multiLevelType w:val="hybridMultilevel"/>
    <w:lvl w:ilvl="0">
      <w:lvlJc w:val="left"/>
      <w:lvlText w:val="•"/>
      <w:numFmt w:val="bullet"/>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1)"/>
      <w:numFmt w:val="lowerRoman"/>
      <w:start w:val="8"/>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1)"/>
      <w:numFmt w:val="decimal"/>
      <w:start w:val="1"/>
    </w:lvl>
  </w:abstractNum>
  <w:abstractNum w:abstractNumId="83">
    <w:nsid w:val="5EC6AFD4"/>
    <w:multiLevelType w:val="hybridMultilevel"/>
    <w:lvl w:ilvl="0">
      <w:lvlJc w:val="left"/>
      <w:lvlText w:val="(%1)"/>
      <w:numFmt w:val="decimal"/>
      <w:start w:val="1"/>
    </w:lvl>
  </w:abstractNum>
  <w:abstractNum w:abstractNumId="84">
    <w:nsid w:val="19E21BB2"/>
    <w:multiLevelType w:val="hybridMultilevel"/>
    <w:lvl w:ilvl="0">
      <w:lvlJc w:val="left"/>
      <w:lvlText w:val="(%1)"/>
      <w:numFmt w:val="decimal"/>
      <w:start w:val="10"/>
    </w:lvl>
  </w:abstractNum>
  <w:abstractNum w:abstractNumId="85">
    <w:nsid w:val="75E0858A"/>
    <w:multiLevelType w:val="hybridMultilevel"/>
    <w:lvl w:ilvl="0">
      <w:lvlJc w:val="left"/>
      <w:lvlText w:val="(%1)"/>
      <w:numFmt w:val="decimal"/>
      <w:start w:val="23"/>
    </w:lvl>
  </w:abstractNum>
  <w:abstractNum w:abstractNumId="86">
    <w:nsid w:val="57A61A29"/>
    <w:multiLevelType w:val="hybridMultilevel"/>
    <w:lvl w:ilvl="0">
      <w:lvlJc w:val="left"/>
      <w:lvlText w:val="(%1)"/>
      <w:numFmt w:val="decimal"/>
      <w:start w:val="36"/>
    </w:lvl>
  </w:abstractNum>
  <w:abstractNum w:abstractNumId="87">
    <w:nsid w:val="5399C654"/>
    <w:multiLevelType w:val="hybridMultilevel"/>
    <w:lvl w:ilvl="0">
      <w:lvlJc w:val="left"/>
      <w:lvlText w:val="(%1)"/>
      <w:numFmt w:val="decimal"/>
      <w:start w:val="46"/>
    </w:lvl>
  </w:abstractNum>
  <w:abstractNum w:abstractNumId="88">
    <w:nsid w:val="20EE1348"/>
    <w:multiLevelType w:val="hybridMultilevel"/>
    <w:lvl w:ilvl="0">
      <w:lvlJc w:val="left"/>
      <w:lvlText w:val="(%1)"/>
      <w:numFmt w:val="decimal"/>
      <w:start w:val="60"/>
    </w:lvl>
  </w:abstractNum>
  <w:abstractNum w:abstractNumId="89">
    <w:nsid w:val="4427069A"/>
    <w:multiLevelType w:val="hybridMultilevel"/>
    <w:lvl w:ilvl="0">
      <w:lvlJc w:val="left"/>
      <w:lvlText w:val="(%1)"/>
      <w:numFmt w:val="decimal"/>
      <w:start w:val="75"/>
    </w:lvl>
  </w:abstractNum>
  <w:abstractNum w:abstractNumId="90">
    <w:nsid w:val="B37E80A"/>
    <w:multiLevelType w:val="hybridMultilevel"/>
    <w:lvl w:ilvl="0">
      <w:lvlJc w:val="left"/>
      <w:lvlText w:val="(%1)"/>
      <w:numFmt w:val="decimal"/>
      <w:start w:val="84"/>
    </w:lvl>
  </w:abstractNum>
  <w:abstractNum w:abstractNumId="91">
    <w:nsid w:val="2157F6BC"/>
    <w:multiLevelType w:val="hybridMultilevel"/>
    <w:lvl w:ilvl="0">
      <w:lvlJc w:val="left"/>
      <w:lvlText w:val="(%1)"/>
      <w:numFmt w:val="decimal"/>
      <w:start w:val="98"/>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
      <w:numFmt w:val="bullet"/>
      <w:start w:val="1"/>
    </w:lvl>
  </w:abstractNum>
  <w:abstractNum w:abstractNumId="95">
    <w:nsid w:val="E3E47A8"/>
    <w:multiLevelType w:val="hybridMultilevel"/>
    <w:lvl w:ilvl="0">
      <w:lvlJc w:val="left"/>
      <w:lvlText w:val="(%1)"/>
      <w:numFmt w:val="lowerRoman"/>
      <w:start w:val="1"/>
    </w:lvl>
  </w:abstractNum>
  <w:abstractNum w:abstractNumId="96">
    <w:nsid w:val="2E48F044"/>
    <w:multiLevelType w:val="hybridMultilevel"/>
    <w:lvl w:ilvl="0">
      <w:lvlJc w:val="left"/>
      <w:lvlText w:val="•"/>
      <w:numFmt w:val="bullet"/>
      <w:start w:val="1"/>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
      <w:numFmt w:val="bullet"/>
      <w:start w:val="1"/>
    </w:lvl>
  </w:abstractNum>
  <w:abstractNum w:abstractNumId="99">
    <w:nsid w:val="5551B9F3"/>
    <w:multiLevelType w:val="hybridMultilevel"/>
    <w:lvl w:ilvl="0">
      <w:lvlJc w:val="left"/>
      <w:lvlText w:val="•"/>
      <w:numFmt w:val="bullet"/>
      <w:start w:val="1"/>
    </w:lvl>
  </w:abstractNum>
  <w:abstractNum w:abstractNumId="100">
    <w:nsid w:val="24F6AB8E"/>
    <w:multiLevelType w:val="hybridMultilevel"/>
    <w:lvl w:ilvl="0">
      <w:lvlJc w:val="left"/>
      <w:lvlText w:val="•"/>
      <w:numFmt w:val="bullet"/>
      <w:start w:val="1"/>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1)"/>
      <w:numFmt w:val="lowerRoman"/>
      <w:start w:val="3"/>
    </w:lvl>
  </w:abstractNum>
  <w:abstractNum w:abstractNumId="105">
    <w:nsid w:val="7DFF9D09"/>
    <w:multiLevelType w:val="hybridMultilevel"/>
    <w:lvl w:ilvl="0">
      <w:lvlJc w:val="left"/>
      <w:lvlText w:val="•"/>
      <w:numFmt w:val="bullet"/>
      <w:start w:val="1"/>
    </w:lvl>
  </w:abstractNum>
  <w:abstractNum w:abstractNumId="106">
    <w:nsid w:val="754342"/>
    <w:multiLevelType w:val="hybridMultilevel"/>
    <w:lvl w:ilvl="0">
      <w:lvlJc w:val="left"/>
      <w:lvlText w:val="(%1)"/>
      <w:numFmt w:val="lowerRoman"/>
      <w:start w:val="6"/>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1."/>
      <w:numFmt w:val="decimal"/>
      <w:start w:val="1"/>
    </w:lvl>
  </w:abstractNum>
  <w:abstractNum w:abstractNumId="110">
    <w:nsid w:val="37DF2233"/>
    <w:multiLevelType w:val="hybridMultilevel"/>
    <w:lvl w:ilvl="0">
      <w:lvlJc w:val="left"/>
      <w:lvlText w:val="%1."/>
      <w:numFmt w:val="decimal"/>
      <w:start w:val="2"/>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1)"/>
      <w:numFmt w:val="decimal"/>
      <w:start w:val="1"/>
    </w:lvl>
  </w:abstractNum>
  <w:abstractNum w:abstractNumId="113">
    <w:nsid w:val="61E74EA3"/>
    <w:multiLevelType w:val="hybridMultilevel"/>
    <w:lvl w:ilvl="0">
      <w:lvlJc w:val="left"/>
      <w:lvlText w:val="•"/>
      <w:numFmt w:val="bullet"/>
      <w:start w:val="1"/>
    </w:lvl>
  </w:abstractNum>
  <w:abstractNum w:abstractNumId="114">
    <w:nsid w:val="597B4D84"/>
    <w:multiLevelType w:val="hybridMultilevel"/>
    <w:lvl w:ilvl="0">
      <w:lvlJc w:val="left"/>
      <w:lvlText w:val="•"/>
      <w:numFmt w:val="bullet"/>
      <w:start w:val="1"/>
    </w:lvl>
  </w:abstractNum>
  <w:abstractNum w:abstractNumId="115">
    <w:nsid w:val="F819E7F"/>
    <w:multiLevelType w:val="hybridMultilevel"/>
    <w:lvl w:ilvl="0">
      <w:lvlJc w:val="left"/>
      <w:lvlText w:val="•"/>
      <w:numFmt w:val="bullet"/>
      <w:start w:val="1"/>
    </w:lvl>
  </w:abstractNum>
  <w:abstractNum w:abstractNumId="116">
    <w:nsid w:val="57C7D42D"/>
    <w:multiLevelType w:val="hybridMultilevel"/>
    <w:lvl w:ilvl="0">
      <w:lvlJc w:val="left"/>
      <w:lvlText w:val="•"/>
      <w:numFmt w:val="bullet"/>
      <w:start w:val="1"/>
    </w:lvl>
    <w:lvl w:ilvl="1">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1)"/>
      <w:numFmt w:val="lowerRoman"/>
      <w:start w:val="1"/>
    </w:lvl>
  </w:abstractNum>
  <w:abstractNum w:abstractNumId="119">
    <w:nsid w:val="78B5E776"/>
    <w:multiLevelType w:val="hybridMultilevel"/>
    <w:lvl w:ilvl="0">
      <w:lvlJc w:val="left"/>
      <w:lvlText w:val="%1."/>
      <w:numFmt w:val="decimal"/>
      <w:start w:val="7"/>
    </w:lvl>
  </w:abstractNum>
  <w:abstractNum w:abstractNumId="120">
    <w:nsid w:val="75486E47"/>
    <w:multiLevelType w:val="hybridMultilevel"/>
    <w:lvl w:ilvl="0">
      <w:lvlJc w:val="left"/>
      <w:lvlText w:val="(%1)"/>
      <w:numFmt w:val="decimal"/>
      <w:start w:val="1"/>
    </w:lvl>
  </w:abstractNum>
  <w:abstractNum w:abstractNumId="121">
    <w:nsid w:val="6E534CDE"/>
    <w:multiLevelType w:val="hybridMultilevel"/>
    <w:lvl w:ilvl="0">
      <w:lvlJc w:val="left"/>
      <w:lvlText w:val="(%1)"/>
      <w:numFmt w:val="decimal"/>
      <w:start w:val="1"/>
    </w:lvl>
  </w:abstractNum>
  <w:abstractNum w:abstractNumId="122">
    <w:nsid w:val="1A0DDE32"/>
    <w:multiLevelType w:val="hybridMultilevel"/>
    <w:lvl w:ilvl="0">
      <w:lvlJc w:val="left"/>
      <w:lvlText w:val="%1."/>
      <w:numFmt w:val="decimal"/>
      <w:start w:val="9"/>
    </w:lvl>
  </w:abstractNum>
  <w:abstractNum w:abstractNumId="123">
    <w:nsid w:val="65968C1C"/>
    <w:multiLevelType w:val="hybridMultilevel"/>
    <w:lvl w:ilvl="0">
      <w:lvlJc w:val="left"/>
      <w:lvlText w:val="%1."/>
      <w:numFmt w:val="decimal"/>
      <w:start w:val="10"/>
    </w:lvl>
  </w:abstractNum>
  <w:abstractNum w:abstractNumId="124">
    <w:nsid w:val="46263DEC"/>
    <w:multiLevelType w:val="hybridMultilevel"/>
    <w:lvl w:ilvl="0">
      <w:lvlJc w:val="left"/>
      <w:lvlText w:val="%1."/>
      <w:numFmt w:val="decimal"/>
      <w:start w:val="1"/>
    </w:lvl>
  </w:abstractNum>
  <w:abstractNum w:abstractNumId="125">
    <w:nsid w:val="260D8C4A"/>
    <w:multiLevelType w:val="hybridMultilevel"/>
    <w:lvl w:ilvl="0">
      <w:lvlJc w:val="left"/>
      <w:lvlText w:val="%1."/>
      <w:numFmt w:val="decimal"/>
      <w:start w:val="2"/>
    </w:lvl>
  </w:abstractNum>
  <w:abstractNum w:abstractNumId="126">
    <w:nsid w:val="73D4D3C4"/>
    <w:multiLevelType w:val="hybridMultilevel"/>
    <w:lvl w:ilvl="0">
      <w:lvlJc w:val="left"/>
      <w:lvlText w:val="2.%1."/>
      <w:numFmt w:val="decimal"/>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
      <w:numFmt w:val="bullet"/>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
      <w:numFmt w:val="bullet"/>
      <w:start w:val="1"/>
    </w:lvl>
  </w:abstractNum>
  <w:abstractNum w:abstractNumId="131">
    <w:nsid w:val="14D53685"/>
    <w:multiLevelType w:val="hybridMultilevel"/>
    <w:lvl w:ilvl="0">
      <w:lvlJc w:val="left"/>
      <w:lvlText w:val="(%1)"/>
      <w:numFmt w:val="decimal"/>
      <w:start w:val="1"/>
    </w:lvl>
  </w:abstractNum>
  <w:abstractNum w:abstractNumId="132">
    <w:nsid w:val="230F856C"/>
    <w:multiLevelType w:val="hybridMultilevel"/>
    <w:lvl w:ilvl="0">
      <w:lvlJc w:val="left"/>
      <w:lvlText w:val="%1."/>
      <w:numFmt w:val="decimal"/>
      <w:start w:val="3"/>
    </w:lvl>
  </w:abstractNum>
  <w:abstractNum w:abstractNumId="133">
    <w:nsid w:val="6EAA85FB"/>
    <w:multiLevelType w:val="hybridMultilevel"/>
    <w:lvl w:ilvl="0">
      <w:lvlJc w:val="left"/>
      <w:lvlText w:val="%1."/>
      <w:numFmt w:val="decimal"/>
      <w:start w:val="4"/>
    </w:lvl>
  </w:abstractNum>
  <w:abstractNum w:abstractNumId="134">
    <w:nsid w:val="3F06ECB2"/>
    <w:multiLevelType w:val="hybridMultilevel"/>
    <w:lvl w:ilvl="0">
      <w:lvlJc w:val="left"/>
      <w:lvlText w:val="•"/>
      <w:numFmt w:val="bullet"/>
      <w:start w:val="1"/>
    </w:lvl>
  </w:abstractNum>
  <w:abstractNum w:abstractNumId="135">
    <w:nsid w:val="3B594807"/>
    <w:multiLevelType w:val="hybridMultilevel"/>
    <w:lvl w:ilvl="0">
      <w:lvlJc w:val="left"/>
      <w:lvlText w:val="•"/>
      <w:numFmt w:val="bullet"/>
      <w:start w:val="1"/>
    </w:lvl>
  </w:abstractNum>
  <w:abstractNum w:abstractNumId="136">
    <w:nsid w:val="6CAA2304"/>
    <w:multiLevelType w:val="hybridMultilevel"/>
    <w:lvl w:ilvl="0">
      <w:lvlJc w:val="left"/>
      <w:lvlText w:val="•"/>
      <w:numFmt w:val="bullet"/>
      <w:start w:val="1"/>
    </w:lvl>
  </w:abstractNum>
  <w:abstractNum w:abstractNumId="137">
    <w:nsid w:val="3F7C2FF4"/>
    <w:multiLevelType w:val="hybridMultilevel"/>
    <w:lvl w:ilvl="0">
      <w:lvlJc w:val="left"/>
      <w:lvlText w:val="•"/>
      <w:numFmt w:val="bullet"/>
      <w:start w:val="1"/>
    </w:lvl>
  </w:abstractNum>
  <w:abstractNum w:abstractNumId="138">
    <w:nsid w:val="25413BEC"/>
    <w:multiLevelType w:val="hybridMultilevel"/>
    <w:lvl w:ilvl="0">
      <w:lvlJc w:val="left"/>
      <w:lvlText w:val="(%1)"/>
      <w:numFmt w:val="decimal"/>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139">
    <w:nsid w:val="17180B0B"/>
    <w:multiLevelType w:val="hybridMultilevel"/>
    <w:lvl w:ilvl="0">
      <w:lvlJc w:val="left"/>
      <w:lvlText w:val="%1."/>
      <w:numFmt w:val="decimal"/>
      <w:start w:val="9"/>
    </w:lvl>
  </w:abstractNum>
  <w:abstractNum w:abstractNumId="140">
    <w:nsid w:val="579328B9"/>
    <w:multiLevelType w:val="hybridMultilevel"/>
    <w:lvl w:ilvl="0">
      <w:lvlJc w:val="left"/>
      <w:lvlText w:val="%1."/>
      <w:numFmt w:val="decimal"/>
      <w:start w:val="10"/>
    </w:lvl>
  </w:abstractNum>
  <w:abstractNum w:abstractNumId="141">
    <w:nsid w:val="5D205E20"/>
    <w:multiLevelType w:val="hybridMultilevel"/>
    <w:lvl w:ilvl="0">
      <w:lvlJc w:val="left"/>
      <w:lvlText w:val="%1."/>
      <w:numFmt w:val="decimal"/>
      <w:start w:val="11"/>
    </w:lvl>
  </w:abstractNum>
  <w:abstractNum w:abstractNumId="142">
    <w:nsid w:val="11CCA8BA"/>
    <w:multiLevelType w:val="hybridMultilevel"/>
    <w:lvl w:ilvl="0">
      <w:lvlJc w:val="left"/>
      <w:lvlText w:val="(%1)"/>
      <w:numFmt w:val="decimal"/>
      <w:start w:val="1"/>
    </w:lvl>
  </w:abstractNum>
  <w:abstractNum w:abstractNumId="143">
    <w:nsid w:val="4D32AB86"/>
    <w:multiLevelType w:val="hybridMultilevel"/>
    <w:lvl w:ilvl="0">
      <w:lvlJc w:val="left"/>
      <w:lvlText w:val="•"/>
      <w:numFmt w:val="bullet"/>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1)"/>
      <w:numFmt w:val="decimal"/>
      <w:start w:val="1"/>
    </w:lvl>
  </w:abstractNum>
  <w:abstractNum w:abstractNumId="146">
    <w:nsid w:val="5CB44A05"/>
    <w:multiLevelType w:val="hybridMultilevel"/>
    <w:lvl w:ilvl="0">
      <w:lvlJc w:val="left"/>
      <w:lvlText w:val="%1."/>
      <w:numFmt w:val="decimal"/>
      <w:start w:val="13"/>
    </w:lvl>
  </w:abstractNum>
  <w:abstractNum w:abstractNumId="147">
    <w:nsid w:val="16CF80F1"/>
    <w:multiLevelType w:val="hybridMultilevel"/>
    <w:lvl w:ilvl="0">
      <w:lvlJc w:val="left"/>
      <w:lvlText w:val="%1."/>
      <w:numFmt w:val="decimal"/>
      <w:start w:val="14"/>
    </w:lvl>
  </w:abstractNum>
  <w:abstractNum w:abstractNumId="148">
    <w:nsid w:val="1C695DEC"/>
    <w:multiLevelType w:val="hybridMultilevel"/>
    <w:lvl w:ilvl="0">
      <w:lvlJc w:val="left"/>
      <w:lvlText w:val="(%1)"/>
      <w:numFmt w:val="decimal"/>
      <w:start w:val="1"/>
    </w:lvl>
  </w:abstractNum>
  <w:abstractNum w:abstractNumId="149">
    <w:nsid w:val="3FCFAED9"/>
    <w:multiLevelType w:val="hybridMultilevel"/>
    <w:lvl w:ilvl="0">
      <w:lvlJc w:val="left"/>
      <w:lvlText w:val="(%1)"/>
      <w:numFmt w:val="decimal"/>
      <w:start w:val="2"/>
    </w:lvl>
  </w:abstractNum>
  <w:abstractNum w:abstractNumId="150">
    <w:nsid w:val="F856867"/>
    <w:multiLevelType w:val="hybridMultilevel"/>
    <w:lvl w:ilvl="0">
      <w:lvlJc w:val="left"/>
      <w:lvlText w:val="(%1)"/>
      <w:numFmt w:val="decimal"/>
      <w:start w:val="2"/>
    </w:lvl>
  </w:abstractNum>
  <w:abstractNum w:abstractNumId="151">
    <w:nsid w:val="11B1CC33"/>
    <w:multiLevelType w:val="hybridMultilevel"/>
    <w:lvl w:ilvl="0">
      <w:lvlJc w:val="left"/>
      <w:lvlText w:val="%1."/>
      <w:numFmt w:val="decimal"/>
      <w:start w:val="15"/>
    </w:lvl>
  </w:abstractNum>
  <w:abstractNum w:abstractNumId="152">
    <w:nsid w:val="2E22FBB7"/>
    <w:multiLevelType w:val="hybridMultilevel"/>
    <w:lvl w:ilvl="0">
      <w:lvlJc w:val="left"/>
      <w:lvlText w:val="%1."/>
      <w:numFmt w:val="decimal"/>
      <w:start w:val="16"/>
    </w:lvl>
  </w:abstractNum>
  <w:abstractNum w:abstractNumId="153">
    <w:nsid w:val="29934699"/>
    <w:multiLevelType w:val="hybridMultilevel"/>
    <w:lvl w:ilvl="0">
      <w:lvlJc w:val="left"/>
      <w:lvlText w:val="(%1)"/>
      <w:numFmt w:val="lowerLetter"/>
      <w:start w:val="1"/>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17"/>
    </w:lvl>
  </w:abstractNum>
  <w:abstractNum w:abstractNumId="156">
    <w:nsid w:val="4FA0D2E3"/>
    <w:multiLevelType w:val="hybridMultilevel"/>
    <w:lvl w:ilvl="0">
      <w:lvlJc w:val="left"/>
      <w:lvlText w:val="•"/>
      <w:numFmt w:val="bullet"/>
      <w:start w:val="1"/>
    </w:lvl>
  </w:abstractNum>
  <w:abstractNum w:abstractNumId="157">
    <w:nsid w:val="6B1D2C14"/>
    <w:multiLevelType w:val="hybridMultilevel"/>
    <w:lvl w:ilvl="0">
      <w:lvlJc w:val="left"/>
      <w:lvlText w:val="(%1)"/>
      <w:numFmt w:val="decimal"/>
      <w:start w:val="2"/>
    </w:lvl>
  </w:abstractNum>
  <w:abstractNum w:abstractNumId="158">
    <w:nsid w:val="68B867D3"/>
    <w:multiLevelType w:val="hybridMultilevel"/>
    <w:lvl w:ilvl="0">
      <w:lvlJc w:val="left"/>
      <w:lvlText w:val="(%1)"/>
      <w:numFmt w:val="lowerRoman"/>
      <w:start w:val="2"/>
    </w:lvl>
  </w:abstractNum>
  <w:abstractNum w:abstractNumId="159">
    <w:nsid w:val="3F7F5DD9"/>
    <w:multiLevelType w:val="hybridMultilevel"/>
    <w:lvl w:ilvl="0">
      <w:lvlJc w:val="left"/>
      <w:lvlText w:val="•"/>
      <w:numFmt w:val="bullet"/>
      <w:start w:val="1"/>
    </w:lvl>
  </w:abstractNum>
  <w:abstractNum w:abstractNumId="160">
    <w:nsid w:val="2AE05A34"/>
    <w:multiLevelType w:val="hybridMultilevel"/>
    <w:lvl w:ilvl="0">
      <w:lvlJc w:val="left"/>
      <w:lvlText w:val="(%1)"/>
      <w:numFmt w:val="lowerRoman"/>
      <w:start w:val="2"/>
    </w:lvl>
  </w:abstractNum>
  <w:abstractNum w:abstractNumId="161">
    <w:nsid w:val="32794FF7"/>
    <w:multiLevelType w:val="hybridMultilevel"/>
    <w:lvl w:ilvl="0">
      <w:lvlJc w:val="left"/>
      <w:lvlText w:val="•"/>
      <w:numFmt w:val="bullet"/>
      <w:start w:val="1"/>
    </w:lvl>
  </w:abstractNum>
  <w:abstractNum w:abstractNumId="162">
    <w:nsid w:val="5454945E"/>
    <w:multiLevelType w:val="hybridMultilevel"/>
    <w:lvl w:ilvl="0">
      <w:lvlJc w:val="left"/>
      <w:lvlText w:val="(%1)"/>
      <w:numFmt w:val="decimal"/>
      <w:start w:val="2"/>
    </w:lvl>
  </w:abstractNum>
  <w:abstractNum w:abstractNumId="163">
    <w:nsid w:val="4DEFDFA0"/>
    <w:multiLevelType w:val="hybridMultilevel"/>
    <w:lvl w:ilvl="0">
      <w:lvlJc w:val="left"/>
      <w:lvlText w:val="(%1)"/>
      <w:numFmt w:val="lowerRoman"/>
      <w:start w:val="2"/>
    </w:lvl>
  </w:abstractNum>
  <w:abstractNum w:abstractNumId="164">
    <w:nsid w:val="2123D5F2"/>
    <w:multiLevelType w:val="hybridMultilevel"/>
    <w:lvl w:ilvl="0">
      <w:lvlJc w:val="left"/>
      <w:lvlText w:val="•"/>
      <w:numFmt w:val="bullet"/>
      <w:start w:val="1"/>
    </w:lvl>
  </w:abstractNum>
  <w:abstractNum w:abstractNumId="165">
    <w:nsid w:val="135B8110"/>
    <w:multiLevelType w:val="hybridMultilevel"/>
    <w:lvl w:ilvl="0">
      <w:lvlJc w:val="left"/>
      <w:lvlText w:val="(%1)"/>
      <w:numFmt w:val="lowerRoman"/>
      <w:start w:val="2"/>
    </w:lvl>
  </w:abstractNum>
  <w:abstractNum w:abstractNumId="166">
    <w:nsid w:val="94927A8"/>
    <w:multiLevelType w:val="hybridMultilevel"/>
    <w:lvl w:ilvl="0">
      <w:lvlJc w:val="left"/>
      <w:lvlText w:val="•"/>
      <w:numFmt w:val="bullet"/>
      <w:start w:val="1"/>
    </w:lvl>
  </w:abstractNum>
  <w:abstractNum w:abstractNumId="167">
    <w:nsid w:val="DCDF8F6"/>
    <w:multiLevelType w:val="hybridMultilevel"/>
    <w:lvl w:ilvl="0">
      <w:lvlJc w:val="left"/>
      <w:lvlText w:val="(%1)"/>
      <w:numFmt w:val="decimal"/>
      <w:start w:val="2"/>
    </w:lvl>
  </w:abstractNum>
  <w:abstractNum w:abstractNumId="168">
    <w:nsid w:val="52D7B105"/>
    <w:multiLevelType w:val="hybridMultilevel"/>
    <w:lvl w:ilvl="0">
      <w:lvlJc w:val="left"/>
      <w:lvlText w:val="(%1)"/>
      <w:numFmt w:val="lowerRoman"/>
      <w:start w:val="2"/>
    </w:lvl>
  </w:abstractNum>
  <w:abstractNum w:abstractNumId="169">
    <w:nsid w:val="2E8A6394"/>
    <w:multiLevelType w:val="hybridMultilevel"/>
    <w:lvl w:ilvl="0">
      <w:lvlJc w:val="left"/>
      <w:lvlText w:val="•"/>
      <w:numFmt w:val="bullet"/>
      <w:start w:val="1"/>
    </w:lvl>
  </w:abstractNum>
  <w:abstractNum w:abstractNumId="170">
    <w:nsid w:val="24E60401"/>
    <w:multiLevelType w:val="hybridMultilevel"/>
    <w:lvl w:ilvl="0">
      <w:lvlJc w:val="left"/>
      <w:lvlText w:val="•"/>
      <w:numFmt w:val="bullet"/>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
      <w:numFmt w:val="bullet"/>
      <w:start w:val="1"/>
    </w:lvl>
  </w:abstractNum>
  <w:abstractNum w:abstractNumId="173">
    <w:nsid w:val="36B2ACBC"/>
    <w:multiLevelType w:val="hybridMultilevel"/>
    <w:lvl w:ilvl="0">
      <w:lvlJc w:val="left"/>
      <w:lvlText w:val="(%1)"/>
      <w:numFmt w:val="lowerRoman"/>
      <w:start w:val="2"/>
    </w:lvl>
  </w:abstractNum>
  <w:abstractNum w:abstractNumId="174">
    <w:nsid w:val="779D85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2024-11-27T17:47:26Z</dcterms:created>
  <dcterms:modified xsi:type="dcterms:W3CDTF">2024-11-27T17:47:26Z</dcterms:modified>
</cp:coreProperties>
</file>