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19,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STATES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Washington, D.C. 20549</w:t>
            </w:r>
          </w:p>
        </w:tc>
      </w:tr>
      <w:tr>
        <w:trPr>
          <w:trHeight w:val="557"/>
        </w:trPr>
        <w:tc>
          <w:tcPr>
            <w:tcW w:w="3160" w:type="dxa"/>
            <w:vAlign w:val="bottom"/>
          </w:tcPr>
          <w:p>
            <w:pPr>
              <w:spacing w:after="0"/>
              <w:rPr>
                <w:sz w:val="24"/>
                <w:szCs w:val="24"/>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w w:val="99"/>
              </w:rPr>
              <w:t>FORM F-3</w:t>
            </w:r>
          </w:p>
        </w:tc>
      </w:tr>
      <w:tr>
        <w:trPr>
          <w:trHeight w:val="201"/>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REGISTRATION STATEMENT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4"/>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b w:val="1"/>
                <w:bCs w:val="1"/>
                <w:color w:val="auto"/>
              </w:rPr>
              <w:t>Rezolve AI plc</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06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8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6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4"/>
        </w:trPr>
        <w:tc>
          <w:tcPr>
            <w:tcW w:w="3160" w:type="dxa"/>
            <w:vAlign w:val="bottom"/>
          </w:tcPr>
          <w:p>
            <w:pPr>
              <w:spacing w:after="0"/>
              <w:rPr>
                <w:sz w:val="23"/>
                <w:szCs w:val="23"/>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21 Sackville Street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London, W1S 3DN</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Kingdom</w:t>
            </w:r>
          </w:p>
        </w:tc>
      </w:tr>
      <w:tr>
        <w:trPr>
          <w:trHeight w:val="204"/>
        </w:trPr>
        <w:tc>
          <w:tcPr>
            <w:tcW w:w="3160" w:type="dxa"/>
            <w:vAlign w:val="bottom"/>
          </w:tcPr>
          <w:p>
            <w:pPr>
              <w:spacing w:after="0"/>
              <w:rPr>
                <w:sz w:val="17"/>
                <w:szCs w:val="17"/>
                <w:color w:val="auto"/>
              </w:rPr>
            </w:pPr>
          </w:p>
        </w:tc>
        <w:tc>
          <w:tcPr>
            <w:tcW w:w="506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(+44 204 625 9700)</w:t>
            </w:r>
          </w:p>
        </w:tc>
        <w:tc>
          <w:tcPr>
            <w:tcW w:w="302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New York, N.Y. 10016</w:t>
            </w:r>
          </w:p>
        </w:tc>
      </w:tr>
      <w:tr>
        <w:trPr>
          <w:trHeight w:val="204"/>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Tel: +1 (212) 947-7200</w:t>
            </w: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tc>
      </w:tr>
      <w:tr>
        <w:trPr>
          <w:trHeight w:val="283"/>
        </w:trPr>
        <w:tc>
          <w:tcPr>
            <w:tcW w:w="3160" w:type="dxa"/>
            <w:vAlign w:val="bottom"/>
          </w:tcPr>
          <w:p>
            <w:pPr>
              <w:spacing w:after="0"/>
              <w:rPr>
                <w:sz w:val="24"/>
                <w:szCs w:val="24"/>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Copies to:</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Gerry Williams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Penny Minna</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DLA Piper LLP (US)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Atlanta, GA 30309</w:t>
            </w:r>
          </w:p>
        </w:tc>
      </w:tr>
      <w:tr>
        <w:trPr>
          <w:trHeight w:val="212"/>
        </w:trPr>
        <w:tc>
          <w:tcPr>
            <w:tcW w:w="3160" w:type="dxa"/>
            <w:vAlign w:val="bottom"/>
          </w:tcPr>
          <w:p>
            <w:pPr>
              <w:spacing w:after="0"/>
              <w:rPr>
                <w:sz w:val="18"/>
                <w:szCs w:val="18"/>
                <w:color w:val="auto"/>
              </w:rPr>
            </w:pPr>
          </w:p>
        </w:tc>
        <w:tc>
          <w:tcPr>
            <w:tcW w:w="5060" w:type="dxa"/>
            <w:vAlign w:val="bottom"/>
          </w:tcPr>
          <w:p>
            <w:pPr>
              <w:jc w:val="right"/>
              <w:ind w:right="1999"/>
              <w:spacing w:after="0"/>
              <w:rPr>
                <w:sz w:val="20"/>
                <w:szCs w:val="20"/>
                <w:color w:val="auto"/>
              </w:rPr>
            </w:pPr>
            <w:r>
              <w:rPr>
                <w:rFonts w:ascii="Times New Roman" w:cs="Times New Roman" w:eastAsia="Times New Roman" w:hAnsi="Times New Roman"/>
                <w:sz w:val="16"/>
                <w:szCs w:val="16"/>
                <w:b w:val="1"/>
                <w:bCs w:val="1"/>
                <w:color w:val="auto"/>
              </w:rPr>
              <w:t>(404) 736-7800</w:t>
            </w:r>
          </w:p>
        </w:tc>
        <w:tc>
          <w:tcPr>
            <w:tcW w:w="3020" w:type="dxa"/>
            <w:vAlign w:val="bottom"/>
          </w:tcPr>
          <w:p>
            <w:pPr>
              <w:spacing w:after="0"/>
              <w:rPr>
                <w:sz w:val="18"/>
                <w:szCs w:val="18"/>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right="8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w:t>
      </w:r>
      <w:r>
        <w:rPr>
          <w:rFonts w:ascii="Times New Roman" w:cs="Times New Roman" w:eastAsia="Times New Roman" w:hAnsi="Times New Roman"/>
          <w:sz w:val="16"/>
          <w:szCs w:val="16"/>
          <w:u w:val="single" w:color="auto"/>
          <w:color w:val="auto"/>
        </w:rPr>
        <w:t>Rule 462</w:t>
      </w:r>
      <w:r>
        <w:rPr>
          <w:rFonts w:ascii="Times New Roman" w:cs="Times New Roman" w:eastAsia="Times New Roman" w:hAnsi="Times New Roman"/>
          <w:sz w:val="16"/>
          <w:szCs w:val="16"/>
          <w:color w:val="auto"/>
        </w:rPr>
        <w:t xml:space="preserve">(e) under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xml:space="preserve">,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116"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67"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960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 w:name="page2"/>
    <w:bookmarkEnd w:id="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DECEMBER 19,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11,127,780 Ordinary Shares </w:t>
      </w:r>
      <w:r>
        <w:rPr>
          <w:rFonts w:ascii="Times New Roman" w:cs="Times New Roman" w:eastAsia="Times New Roman" w:hAnsi="Times New Roman"/>
          <w:sz w:val="18"/>
          <w:szCs w:val="18"/>
          <w:b w:val="1"/>
          <w:bCs w:val="1"/>
          <w:i w:val="1"/>
          <w:iCs w:val="1"/>
          <w:color w:val="auto"/>
        </w:rPr>
        <w:t>(for resale)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 holder named herein (the “Selling Holder”) of an aggregate of up to 11,127,780 Ordinary Shares issued to the Selling Holder in connection with the CrownPeak Acquisition (as defined herein).</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Selling Holder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 may experience lower rates of return (if any) than the Selling Holder,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 price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 represent approximately 3.3% of the outstanding Ordinary Shares as of the date of this prospectus. Given the substantial number of Ordinary Shares being registered for potential resale by the Selling Holder pursuant to this prospectus, the sale of shares by the Selling Holder, or the perception in the market that the Selling Holder intends to sell shares, could increase the volatility of the market price of the Ordinary Shares or result in a significant decline in the public trading price of the Ordinary Shares.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 may offer or sell the securities. More specific terms of any securities that the Selling Holder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 will issue, offer or sell, as applicable, any of the securities. The Selling Holder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Ordinary Shares are traded on The Nasdaq Stock Market LLC (“Nasdaq”) under the symbols “RZLV." On December 18, 2025, the closing price of the Ordinary Shares was $2.20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refer to Rezolve AI plc, including its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7 and in any applicable prospectus supplement.</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06"/>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580" w:type="dxa"/>
            <w:vAlign w:val="bottom"/>
            <w:gridSpan w:val="9"/>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20" w:type="dxa"/>
            <w:vAlign w:val="bottom"/>
            <w:gridSpan w:val="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6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w:t>
            </w:r>
          </w:p>
        </w:tc>
      </w:tr>
      <w:tr>
        <w:trPr>
          <w:trHeight w:val="196"/>
        </w:trPr>
        <w:tc>
          <w:tcPr>
            <w:tcW w:w="21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2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540" w:type="dxa"/>
            <w:vAlign w:val="bottom"/>
            <w:gridSpan w:val="1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20" w:type="dxa"/>
            <w:vAlign w:val="bottom"/>
            <w:gridSpan w:val="1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40" w:type="dxa"/>
            <w:vAlign w:val="bottom"/>
            <w:gridSpan w:val="1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2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6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22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25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32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0"/>
          </w:tcPr>
          <w:p>
            <w:pPr>
              <w:spacing w:after="0"/>
              <w:rPr>
                <w:sz w:val="17"/>
                <w:szCs w:val="17"/>
                <w:color w:val="auto"/>
              </w:rPr>
            </w:pPr>
          </w:p>
        </w:tc>
        <w:tc>
          <w:tcPr>
            <w:tcW w:w="676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32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4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4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4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8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8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524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358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402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480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(the "SEC") using a “shelf’ registration process. Under this shelf registration process, the Selling Holder may, from time to time, issue, offer and sell, as applicable, any combination of the securities described in this prospectus in one or more offerings. The Selling Holder may use the shelf registration statement to sell up to an aggregate of 11,127,780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 offer and sell may be provided in a prospectus supplement that describes, among other things, the specific amounts and prices of the Ordinary Shares being offered and the terms of the offering the Selling Holder may, from time to time, issue, offer and sell, as applicable, any combination of the securities described in this prospectus in one or more offerings.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or incorporated by reference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 have authorized anyone to provide any information or to make any representations other than those contained in this prospectus, any accompanying prospectus supplement or any free writing prospectus we have prepared. We and the Selling Holder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jc w:val="center"/>
        <w:ind w:right="60"/>
        <w:spacing w:after="0" w:line="407" w:lineRule="auto"/>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08" w:right="69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plc, a public limited company registered under the laws of England and Wales with registration number 14573691;</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w:t>
      </w:r>
      <w:r>
        <w:rPr>
          <w:rFonts w:ascii="Times New Roman" w:cs="Times New Roman" w:eastAsia="Times New Roman" w:hAnsi="Times New Roman"/>
          <w:sz w:val="18"/>
          <w:szCs w:val="18"/>
          <w:color w:val="auto"/>
        </w:rPr>
        <w:t>” means the selling security holder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7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artificial intelligence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 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in 2017 (which was developed prior to our de-merger in connection with the closing of business combination with Armada Acquisition Corp. I).</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by the end of Q4 2025, initially in Europe and the U.S.A. Revenues from brain commerce began in Q3 2025, and we expect them to increase significantly in Q4 2025. We also expect to generate revenues in South America and Asia during Q4 2025.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CrownPeak Acquisition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1, 2025, Rezolve entered into a Sale and Purchase Agreement (the “CrownPeak Purchase Agreement”), by and between the Company and CrownPeak Technology Holdings, Inc, a Delaware corporation (CrownPeak), pursuant to which the Company agreed to purchase, and CrownPeak agreed to sell, the entire issued share capital of CrownPeak (the “CrownPeak Acquisition”). The CrownPeak Acquisition closed on December 5, 2025.</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Purchase Agreement. The consideration under the Purchase Agreement is composed of the following to be issued by Rezolve to CrownPeak: (i) a promissory note in the initial principal amount of $50,000,000, made up of a $20,000,000 tranche (the “</w:t>
      </w:r>
      <w:r>
        <w:rPr>
          <w:rFonts w:ascii="Times New Roman" w:cs="Times New Roman" w:eastAsia="Times New Roman" w:hAnsi="Times New Roman"/>
          <w:sz w:val="18"/>
          <w:szCs w:val="18"/>
          <w:u w:val="single" w:color="auto"/>
          <w:color w:val="auto"/>
        </w:rPr>
        <w:t>First Loan Note</w:t>
      </w:r>
      <w:r>
        <w:rPr>
          <w:rFonts w:ascii="Times New Roman" w:cs="Times New Roman" w:eastAsia="Times New Roman" w:hAnsi="Times New Roman"/>
          <w:sz w:val="18"/>
          <w:szCs w:val="18"/>
          <w:color w:val="auto"/>
        </w:rPr>
        <w:t>”) and a $30,000,000 tranche (the “</w:t>
      </w:r>
      <w:r>
        <w:rPr>
          <w:rFonts w:ascii="Times New Roman" w:cs="Times New Roman" w:eastAsia="Times New Roman" w:hAnsi="Times New Roman"/>
          <w:sz w:val="18"/>
          <w:szCs w:val="18"/>
          <w:u w:val="single" w:color="auto"/>
          <w:color w:val="auto"/>
        </w:rPr>
        <w:t>Second Loan Note</w:t>
      </w:r>
      <w:r>
        <w:rPr>
          <w:rFonts w:ascii="Times New Roman" w:cs="Times New Roman" w:eastAsia="Times New Roman" w:hAnsi="Times New Roman"/>
          <w:sz w:val="18"/>
          <w:szCs w:val="18"/>
          <w:color w:val="auto"/>
        </w:rPr>
        <w:t>” and together with the First Loan Note, the “</w:t>
      </w:r>
      <w:r>
        <w:rPr>
          <w:rFonts w:ascii="Times New Roman" w:cs="Times New Roman" w:eastAsia="Times New Roman" w:hAnsi="Times New Roman"/>
          <w:sz w:val="18"/>
          <w:szCs w:val="18"/>
          <w:u w:val="single" w:color="auto"/>
          <w:color w:val="auto"/>
        </w:rPr>
        <w:t>Loan Notes</w:t>
      </w:r>
      <w:r>
        <w:rPr>
          <w:rFonts w:ascii="Times New Roman" w:cs="Times New Roman" w:eastAsia="Times New Roman" w:hAnsi="Times New Roman"/>
          <w:sz w:val="18"/>
          <w:szCs w:val="18"/>
          <w:color w:val="auto"/>
        </w:rPr>
        <w:t>”); and (ii) 11,127,780 ordinary shares, nominal value £0.0001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(such shares issued as consideration, the “</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or approximately $33.7 million in Ordinary Shares based on the 5-day VWAP for the Ordinary Shares.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Additionally,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(company number 14573691) and changed its name to Rezolve AI Limited on June 5, 2023.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U.S. Securities Act, as amended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U.S.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0" w:name="page11"/>
    <w:bookmarkEnd w:id="10"/>
    <w:p>
      <w:pPr>
        <w:ind w:right="320"/>
        <w:spacing w:after="0" w:line="282" w:lineRule="auto"/>
        <w:rPr>
          <w:sz w:val="20"/>
          <w:szCs w:val="20"/>
          <w:color w:val="auto"/>
        </w:rPr>
      </w:pPr>
      <w:r>
        <w:rPr>
          <w:rFonts w:ascii="Times New Roman" w:cs="Times New Roman" w:eastAsia="Times New Roman" w:hAnsi="Times New Roman"/>
          <w:sz w:val="18"/>
          <w:szCs w:val="18"/>
          <w:color w:val="auto"/>
        </w:rPr>
        <w:t>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 w:name="page12"/>
    <w:bookmarkEnd w:id="11"/>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7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such as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2" w:name="page13"/>
    <w:bookmarkEnd w:id="12"/>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shutdown of the U.S. federal government, we have determined to rely on Section 8(a) of the Securities Act to cause the registration statement of which this prospectus forms a part to become effective automatically, which could result in a number of potential adverse consequences.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Ordinary Shares could be volatile, and the value of our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 or their permitted transferees of up to 11,127,780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7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December 19, 2025 and does not give effect to issuances of Ordinary Shares after such date.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tc>
        <w:tc>
          <w:tcPr>
            <w:tcW w:w="8300" w:type="dxa"/>
            <w:vAlign w:val="bottom"/>
          </w:tcPr>
          <w:p>
            <w:pPr>
              <w:spacing w:after="0"/>
              <w:rPr>
                <w:sz w:val="20"/>
                <w:szCs w:val="20"/>
                <w:color w:val="auto"/>
              </w:rPr>
            </w:pPr>
          </w:p>
        </w:tc>
      </w:tr>
      <w:tr>
        <w:trPr>
          <w:trHeight w:val="41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 offered by the Selling</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11,127,780 Ordinary Shares issued in connection with the CrownPeak Acquisition</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w:t>
            </w:r>
          </w:p>
        </w:tc>
        <w:tc>
          <w:tcPr>
            <w:tcW w:w="8300" w:type="dxa"/>
            <w:vAlign w:val="bottom"/>
          </w:tcPr>
          <w:p>
            <w:pPr>
              <w:spacing w:after="0"/>
              <w:rPr>
                <w:sz w:val="20"/>
                <w:szCs w:val="20"/>
                <w:color w:val="auto"/>
              </w:rPr>
            </w:pPr>
          </w:p>
        </w:tc>
      </w:tr>
      <w:tr>
        <w:trPr>
          <w:trHeight w:val="4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w:t>
            </w:r>
          </w:p>
        </w:tc>
      </w:tr>
      <w:tr>
        <w:trPr>
          <w:trHeight w:val="41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7 of this prospectus and other information included in</w:t>
            </w:r>
          </w:p>
        </w:tc>
      </w:tr>
      <w:tr>
        <w:trPr>
          <w:trHeight w:val="216"/>
        </w:trPr>
        <w:tc>
          <w:tcPr>
            <w:tcW w:w="2940" w:type="dxa"/>
            <w:vAlign w:val="bottom"/>
          </w:tcPr>
          <w:p>
            <w:pPr>
              <w:spacing w:after="0"/>
              <w:rPr>
                <w:sz w:val="18"/>
                <w:szCs w:val="18"/>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this prospectus for a discussion of factors that you should consider carefully before deciding to invest in our</w:t>
            </w:r>
          </w:p>
        </w:tc>
      </w:tr>
      <w:tr>
        <w:trPr>
          <w:trHeight w:val="234"/>
        </w:trPr>
        <w:tc>
          <w:tcPr>
            <w:tcW w:w="2940" w:type="dxa"/>
            <w:vAlign w:val="bottom"/>
          </w:tcPr>
          <w:p>
            <w:pPr>
              <w:spacing w:after="0"/>
              <w:rPr>
                <w:sz w:val="20"/>
                <w:szCs w:val="20"/>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 and Warrants.</w:t>
            </w:r>
          </w:p>
        </w:tc>
      </w:tr>
      <w:tr>
        <w:trPr>
          <w:trHeight w:val="6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symbol for our Ordinary</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“RZLV.”</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8300" w:type="dxa"/>
            <w:vAlign w:val="bottom"/>
          </w:tcPr>
          <w:p>
            <w:pPr>
              <w:spacing w:after="0"/>
              <w:rPr>
                <w:sz w:val="20"/>
                <w:szCs w:val="20"/>
                <w:color w:val="auto"/>
              </w:rPr>
            </w:pPr>
          </w:p>
        </w:tc>
      </w:tr>
      <w:tr>
        <w:trPr>
          <w:trHeight w:val="540"/>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6</w:t>
            </w:r>
          </w:p>
        </w:tc>
      </w:tr>
      <w:tr>
        <w:trPr>
          <w:trHeight w:val="763"/>
        </w:trPr>
        <w:tc>
          <w:tcPr>
            <w:tcW w:w="29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SEC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020" w:right="7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the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660 employees at December 1, 2025.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8" w:name="page19"/>
    <w:bookmarkEnd w:id="18"/>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global pandemics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9" w:name="page20"/>
    <w:bookmarkEnd w:id="19"/>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our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1" w:name="page22"/>
    <w:bookmarkEnd w:id="21"/>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2" w:name="page23"/>
    <w:bookmarkEnd w:id="22"/>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global pandemics, may adversely impact Rezolve’s business, results of operations and financial performance.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Operating and Financial Officer, Arthur Yao, Chief Scientist, Salman Ahmad, and President, Global Professional Services and Chief Digital Officer,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geopolitical conflicts,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5" w:name="page26"/>
    <w:bookmarkEnd w:id="2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right="16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12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our Ordinary Shares may decline.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Ordinary Shares will trade. The price of our Ordinary Shares s is likely to be volatile and could be subject to fluctuations in response to various factors, some of which are beyond our control. These fluctuations could cause you to lose all or part of your investment in our Ordinary Shares as you might be unable to sell your shares at or above the price you paid. Factors that could cause fluctuations in the trading price of our Ordinary Shares include the following:</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1" w:name="page32"/>
    <w:bookmarkEnd w:id="3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our Ordinary Shares.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Nasdaq and are quoted on the OTC Bulletin Board (an inter-dealer automated quotation system for equity securities that is not a national securities exchange) or Rezolve’s securities are not listed on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jc w:val="right"/>
        <w:ind w:left="5540" w:right="5440" w:hanging="5023"/>
        <w:spacing w:after="0" w:line="342" w:lineRule="auto"/>
        <w:tabs>
          <w:tab w:leader="none" w:pos="10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availability of market quotations for Rezolve’s securities;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2" w:name="page33"/>
    <w:bookmarkEnd w:id="32"/>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a “penny stock” which will require brokers trading in our Ordinary Shares to adhere to more stringent rules, possibly resulting in a reduced level of trading activity in the secondary trading market for our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As a result, you may not be afforded the same protections or information that would be made available to you were you investing in a U.S. domestic issuer.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t>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5" w:name="page36"/>
    <w:bookmarkEnd w:id="3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 pursuant to this prospectus will be sold by the Selling Holder for their account.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 will pay any underwriting commissions and discounts, and expenses incurred by the Selling Holder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of directors.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2025:</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private placement in July 2025 of 20,000,000 Ordinary Shares for aggregate gross proceeds of approximately $50 million, before deducting placement agent fees and other offering expenses and (ii) the private placement in September 2025 of 37,000,000 Ordinary Shares for aggregate gross proceeds of approximately $200 million, before deducting placement agent fees and other offering expenses, as if such events had occurred on June 30, 2025 and the (iii) Crownpeak Acquisition.</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Actual (Unaudited)</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PIPE funding</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ATM</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205"/>
              <w:spacing w:after="0" w:line="118" w:lineRule="exact"/>
              <w:rPr>
                <w:sz w:val="20"/>
                <w:szCs w:val="20"/>
                <w:color w:val="auto"/>
              </w:rPr>
            </w:pPr>
            <w:r>
              <w:rPr>
                <w:rFonts w:ascii="Times New Roman" w:cs="Times New Roman" w:eastAsia="Times New Roman" w:hAnsi="Times New Roman"/>
                <w:sz w:val="13"/>
                <w:szCs w:val="13"/>
                <w:b w:val="1"/>
                <w:bCs w:val="1"/>
                <w:color w:val="auto"/>
              </w:rPr>
              <w:t>Crownpeak</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205"/>
              <w:spacing w:after="0" w:line="118" w:lineRule="exact"/>
              <w:rPr>
                <w:sz w:val="20"/>
                <w:szCs w:val="20"/>
                <w:color w:val="auto"/>
              </w:rPr>
            </w:pPr>
            <w:r>
              <w:rPr>
                <w:rFonts w:ascii="Times New Roman" w:cs="Times New Roman" w:eastAsia="Times New Roman" w:hAnsi="Times New Roman"/>
                <w:sz w:val="13"/>
                <w:szCs w:val="13"/>
                <w:b w:val="1"/>
                <w:bCs w:val="1"/>
                <w:color w:val="auto"/>
              </w:rPr>
              <w:t>Proforma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9,857,390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237,927,000</w:t>
            </w:r>
          </w:p>
        </w:tc>
        <w:tc>
          <w:tcPr>
            <w:tcW w:w="340" w:type="dxa"/>
            <w:vAlign w:val="bottom"/>
            <w:gridSpan w:val="2"/>
            <w:shd w:val="clear" w:color="auto" w:fill="CFF0FC"/>
          </w:tcPr>
          <w:p>
            <w:pPr>
              <w:jc w:val="right"/>
              <w:ind w:right="105"/>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138,849,566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386,633,956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 Equity: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4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Ordinary shares, £0.0001 nominal value 259,066,638 shares issued and</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outstanding as of June 30, 2025; 341,476,136 shares authorized as of</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June 30, 2025</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33,394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7,638</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6,437</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48,949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302,123,036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237,919,362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138,843,130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39,998,520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718,884,048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 subscription receivable</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(2,108)</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(2,108)</w:t>
            </w: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(316,062,263)</w:t>
            </w:r>
          </w:p>
        </w:tc>
        <w:tc>
          <w:tcPr>
            <w:tcW w:w="16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(316,062,263)</w:t>
            </w: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loss</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(381,878)</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(381,878)</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(deficit) equity</w:t>
            </w:r>
          </w:p>
        </w:tc>
        <w:tc>
          <w:tcPr>
            <w:tcW w:w="1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(14,289,819)</w:t>
            </w: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237,927,000</w:t>
            </w:r>
          </w:p>
        </w:tc>
        <w:tc>
          <w:tcPr>
            <w:tcW w:w="340" w:type="dxa"/>
            <w:vAlign w:val="bottom"/>
            <w:gridSpan w:val="2"/>
          </w:tcPr>
          <w:p>
            <w:pPr>
              <w:jc w:val="right"/>
              <w:ind w:right="105"/>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138,849,566</w:t>
            </w:r>
          </w:p>
        </w:tc>
        <w:tc>
          <w:tcPr>
            <w:tcW w:w="260" w:type="dxa"/>
            <w:vAlign w:val="bottom"/>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40,000,000</w:t>
            </w:r>
          </w:p>
        </w:tc>
        <w:tc>
          <w:tcPr>
            <w:tcW w:w="240" w:type="dxa"/>
            <w:vAlign w:val="bottom"/>
            <w:gridSpan w:val="2"/>
          </w:tcPr>
          <w:p>
            <w:pPr>
              <w:jc w:val="right"/>
              <w:ind w:right="5"/>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402,486,747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capitalization</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(14,289,819)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237,927,000</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138,849,566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40,000,000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402,486,747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8" w:name="page39"/>
    <w:bookmarkEnd w:id="3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20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February 21, 2025, December 1, 2025 and December 5, 2025, Rezolve AI plc (“Rezolve” or “the Company”) completed two acquisitions, as discussed below.</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Crownpeak Acquisition</w:t>
      </w:r>
    </w:p>
    <w:p>
      <w:pPr>
        <w:spacing w:after="0" w:line="119"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On December 1, 2025, the Company announced the acquisition (the “Crownpeak Acquisition”) of the issued share capital of Crownpeak Intermediate Holdings, Inc.,(“Crownpeak”), pursuant to a sale and purchase agreement (the “Crownpeak Purchase Agreement”) with Crownpeak Technology Holdings, Inc, (the “Crownpeak Seller”).</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Crownpeak offers an AI-driven product discovery engine, Fredhopper, and an enterprise content management system, FirstSpirit, to help businesses stay in control, scale fast, and deliver inclusive, accessible digital experiences for their customers.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5, 2025, Rezolve closed the Crownpeak Acquisition.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Crownpeak Purchase Agreement. The consideration under the Crownpeak Purchase Agreement is composed of the following to be issued by the Company to the Crownpeak Seller: (i) a promissory note in the initial principal amount of $50,000,000, made up of a $20,000,000 tranche (the “First Loan Note”) and a $30,000,000 tranche (the “Second Loan Note” and together with the First Loan Note, the “Loan Notes”); and (ii) 11,127,780 ordinary shares, nominal value £0.0001 per share (“Ordinary Shares”), of the Company (such shares issued as consideration, the “Consideration Shares”), with an approximate value of $40.0 million ($33.7 million net of cash acquired, completion indebtedness and transaction costs) based on the 5-day VWAP for the Ordinary Shares.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7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Crownpeak was deemed significant under Rule 3-05 and the following separate financial statements for Crownpeak are incorporated by reference from the Company's Form 6-K (Exhibits 99-1 and 99-2), furnished with the SEC on December 15, 2025:</w:t>
      </w:r>
    </w:p>
    <w:p>
      <w:pPr>
        <w:spacing w:after="0" w:line="162" w:lineRule="exact"/>
        <w:rPr>
          <w:sz w:val="20"/>
          <w:szCs w:val="20"/>
          <w:color w:val="auto"/>
        </w:rPr>
      </w:pPr>
    </w:p>
    <w:p>
      <w:pPr>
        <w:ind w:left="1260" w:right="54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Crownpeak Intermediate Holdings, Inc. and subsidiaries as of and for the years ended January 31, 2025 and 2024</w:t>
      </w:r>
    </w:p>
    <w:p>
      <w:pPr>
        <w:spacing w:after="0" w:line="161" w:lineRule="exact"/>
        <w:rPr>
          <w:rFonts w:ascii="Times New Roman" w:cs="Times New Roman" w:eastAsia="Times New Roman" w:hAnsi="Times New Roman"/>
          <w:sz w:val="18"/>
          <w:szCs w:val="18"/>
          <w:color w:val="auto"/>
        </w:rPr>
      </w:pPr>
    </w:p>
    <w:p>
      <w:pPr>
        <w:ind w:left="1260" w:right="36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Crownpeak Intermediate Holdings, Inc. and subsidiaries as of, and for the six months ended July 31, 2025 and 2024</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Crownpeak Intermediate Holdings, Inc. and subsidiaries as of and for the years ended January 31, 2025 and 2024 and the unaudited condensed consolidated financial statements Crownpeak Intermediate Holdings, Inc. and subsidiaries as of, and for the six months ended July 31, 2025 and 2024 have been prepared in accordance with United States Generally Accepted Accounting Principles (“US GAAP”).</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GroupBy Sellers”), to acquire the entire issued share capital (the “GroupBy acquisition”)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to the GroupBy Sellers.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9" w:name="page40"/>
    <w:bookmarkEnd w:id="39"/>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the following separate financial statements for GroupBy are incorporated by reference, as noted below:</w:t>
      </w:r>
    </w:p>
    <w:p>
      <w:pPr>
        <w:spacing w:after="0" w:line="162" w:lineRule="exact"/>
        <w:rPr>
          <w:sz w:val="20"/>
          <w:szCs w:val="20"/>
          <w:color w:val="auto"/>
        </w:rPr>
      </w:pPr>
    </w:p>
    <w:p>
      <w:pPr>
        <w:ind w:left="1260" w:right="16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combined consolidated financial statements of GroupBy Group of Companies as of and for the years ended December 31, 2024 and 2023 are incorporated by reference from the Company's Form 20-F (Item 18), filed with the SEC on April 24, 2025</w:t>
      </w:r>
    </w:p>
    <w:p>
      <w:pPr>
        <w:spacing w:after="0" w:line="161" w:lineRule="exact"/>
        <w:rPr>
          <w:rFonts w:ascii="Times New Roman" w:cs="Times New Roman" w:eastAsia="Times New Roman" w:hAnsi="Times New Roman"/>
          <w:sz w:val="18"/>
          <w:szCs w:val="18"/>
          <w:color w:val="auto"/>
        </w:rPr>
      </w:pPr>
    </w:p>
    <w:p>
      <w:pPr>
        <w:ind w:left="1260" w:right="100" w:hanging="368"/>
        <w:spacing w:after="0" w:line="266"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interim combined consolidated financial statements of GroupBy Group of Companies as of, and for the six months ended June 30, 2025 and 2024 are incorporated by reference from the Company's Form 6-K (Exhibit 99-3), furnished with the SEC on October 1, 2025</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audited combined consolidated financial statements of GroupBy Group of Companies as of and for the years ended December 31, 2024 and 2023 and the unaudited condensed interim combined consolidated financial statements for GroupBy as of and for six months ended June 30, 2025 have been prepared in accordance with International Financial Reporting Standards (“IFRS”) and interpretations adopted by the International Accounting Standards Board (“IASB”).</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360" w:firstLine="55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and the Unaudited Pro Forma Condensed Combined Statement of Operations for the six months ended June 30, 2025 give effect to the Crownpeak acquisition and the GroupBy acquisition as if both acquisitions had been completed on January 1, 2024.</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Crownpeak acquisition as if it had been completed on June 30, 2025. The assets and liabilities of GroupBy are included in the Company's Unaudited Condensed Combined Consolidated Balance Sheet as of June 30, 2025.</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such, the adjustments reflected in the Unaudited Pro Forma Condensed Combined Balance Sheet will not necessarily reconcile with the adjustments in the Unaudited Pro Forma Condensed Combined Statements of Operations.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Assumptions and estimates underlying the pro forma adjustments are described in the accompanying notes, which should be read in conjunction with the unaudited pro forma condensed combined financial statements. The unaudited pro forma condensed combined financial information is provided for illustrative purposes only and does not purport to represent what the actual consolidated results of operations of Rezolve would have been had the Crownpeak acquisition and the GroupBy acquisition occurred on the date noted above, nor are they necessarily indicative of future consolidated results of operations. Future results may vary significantly from the results reflected because of various factors.</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Crownpeak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 the:</w:t>
      </w:r>
    </w:p>
    <w:p>
      <w:pPr>
        <w:spacing w:after="0" w:line="117" w:lineRule="exact"/>
        <w:rPr>
          <w:sz w:val="20"/>
          <w:szCs w:val="20"/>
          <w:color w:val="auto"/>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Rezolve as of, and for the years ended, December 31, 2024 and 2023; incorporated by reference from the Company's Form 20-F (Item 18), filed with the SEC on April 24,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combined consolidated financial statements of Rezolve as of, and for the six months ended June 30, 2025; incorporated by reference from the Company's Form 6-K (Exhibit 99-3), furnished with the SEC on October 1, 2025;</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Crownpeak Intermediate Holdings, Inc. and subsidiaries as of and for the years ended January 31, 2025 and 2024, incorporated by reference from the Company's Form 6-K (Exhibits 99-1 and 99-2), furnished with the SEC on December 15, 2025;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Crownpeak Intermediate Holdings, Inc. and subsidiaries as of, and for the six months ended July 31, 2025 and 2024, incorporated by reference from the Company's Form 6-K (Exhibits 99-1 and 99-2), furnished with the SEC on December 15, 2025;</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combined consolidated financial statements of GroupBy Group of Companies as of and for the years ended December 31, 2024 and 2023; incorporated by reference from the Company's Form 20-F (Item 18), filed with the SEC on April 24, 2025;</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0" w:name="page41"/>
    <w:bookmarkEnd w:id="40"/>
    <w:p>
      <w:pPr>
        <w:ind w:left="503"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interim combined consolidated financial statements of GroupBy Group of Companies as of, and for the six months ended June 30, 2025 and 2024; incorporated by reference from the Company's Form 6-K (Exhibit 99-3), furnished with the SEC on October 1, 2025;</w:t>
      </w:r>
    </w:p>
    <w:p>
      <w:pPr>
        <w:spacing w:after="0" w:line="65" w:lineRule="exact"/>
        <w:rPr>
          <w:rFonts w:ascii="Times New Roman" w:cs="Times New Roman" w:eastAsia="Times New Roman" w:hAnsi="Times New Roman"/>
          <w:sz w:val="18"/>
          <w:szCs w:val="18"/>
          <w:color w:val="auto"/>
        </w:rPr>
      </w:pPr>
    </w:p>
    <w:p>
      <w:pPr>
        <w:ind w:left="503" w:right="26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incorporated by reference from the Company's Form 20-F (Item 5), filed with the SEC on April 24, 2025;</w:t>
      </w:r>
    </w:p>
    <w:p>
      <w:pPr>
        <w:spacing w:after="0" w:line="50" w:lineRule="exact"/>
        <w:rPr>
          <w:rFonts w:ascii="Times New Roman" w:cs="Times New Roman" w:eastAsia="Times New Roman" w:hAnsi="Times New Roman"/>
          <w:sz w:val="18"/>
          <w:szCs w:val="18"/>
          <w:color w:val="auto"/>
        </w:rPr>
      </w:pPr>
    </w:p>
    <w:p>
      <w:pPr>
        <w:ind w:left="503" w:right="26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incorporated by reference from the Company's Form 6-K (Exhibit 99-2), furnished with the SEC on October 1,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837" w:top="1120" w:right="4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Transaction adjustments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Crownpeak</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Year ended</w:t>
            </w:r>
          </w:p>
        </w:tc>
        <w:tc>
          <w:tcPr>
            <w:tcW w:w="156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 ended</w:t>
            </w:r>
          </w:p>
        </w:tc>
        <w:tc>
          <w:tcPr>
            <w:tcW w:w="10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 ended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right"/>
              <w:ind w:right="60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December 31, 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January 31, 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GroupBy</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2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2,013,567</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0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73,903,575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94,808,076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192,829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26,202,562</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38,269,528</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6,684,870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14,233,367</w:t>
            </w:r>
          </w:p>
        </w:tc>
        <w:tc>
          <w:tcPr>
            <w:tcW w:w="10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25,825,061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133,174,891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9,625,178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35,585,653</w:t>
            </w:r>
          </w:p>
        </w:tc>
        <w:tc>
          <w:tcPr>
            <w:tcW w:w="10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84"/>
              </w:rPr>
              <w:t>A</w:t>
            </w: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178,498,276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226,305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6,704,020</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5,029,614</w:t>
            </w:r>
          </w:p>
        </w:tc>
        <w:tc>
          <w:tcPr>
            <w:tcW w:w="1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3"/>
              </w:rPr>
              <w:t>A,B</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9,057,687</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78"/>
              </w:rPr>
              <w:t>H</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21,217,996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140,534,307</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82,725,602</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5,142,168</w:t>
            </w: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9,057,687</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264,066,273</w:t>
            </w: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(138,520,740)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(8,822,027)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(5,142,168)</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(9,057,687)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(169,258,197)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(10,645,464)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(16,744,512)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00" w:type="dxa"/>
            <w:vAlign w:val="bottom"/>
          </w:tcPr>
          <w:p>
            <w:pPr>
              <w:spacing w:after="0"/>
              <w:rPr>
                <w:sz w:val="11"/>
                <w:szCs w:val="11"/>
                <w:color w:val="auto"/>
              </w:rPr>
            </w:pPr>
          </w:p>
        </w:tc>
        <w:tc>
          <w:tcPr>
            <w:tcW w:w="420" w:type="dxa"/>
            <w:vAlign w:val="bottom"/>
            <w:gridSpan w:val="2"/>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0"/>
              </w:rPr>
              <w:t>A,C</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1,881,491</w:t>
            </w:r>
          </w:p>
        </w:tc>
        <w:tc>
          <w:tcPr>
            <w:tcW w:w="120" w:type="dxa"/>
            <w:vAlign w:val="bottom"/>
          </w:tcPr>
          <w:p>
            <w:pPr>
              <w:spacing w:after="0"/>
              <w:rPr>
                <w:sz w:val="11"/>
                <w:szCs w:val="11"/>
                <w:color w:val="auto"/>
              </w:rPr>
            </w:pP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I,J</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(25,487,285)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center"/>
              <w:ind w:right="88"/>
              <w:spacing w:after="0" w:line="115" w:lineRule="exact"/>
              <w:rPr>
                <w:sz w:val="20"/>
                <w:szCs w:val="20"/>
                <w:color w:val="auto"/>
              </w:rPr>
            </w:pPr>
            <w:r>
              <w:rPr>
                <w:rFonts w:ascii="Times New Roman" w:cs="Times New Roman" w:eastAsia="Times New Roman" w:hAnsi="Times New Roman"/>
                <w:sz w:val="13"/>
                <w:szCs w:val="13"/>
                <w:b w:val="1"/>
                <w:bCs w:val="1"/>
                <w:color w:val="auto"/>
              </w:rPr>
              <w:t>D,F,</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(44,332,819)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(5,072,086)</w:t>
            </w:r>
          </w:p>
        </w:tc>
        <w:tc>
          <w:tcPr>
            <w:tcW w:w="420" w:type="dxa"/>
            <w:vAlign w:val="bottom"/>
            <w:gridSpan w:val="2"/>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(49,404,905)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 (expense),</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1,289,944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(31,362)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1,044,564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(1,661,844)</w:t>
            </w:r>
          </w:p>
        </w:tc>
        <w:tc>
          <w:tcPr>
            <w:tcW w:w="420" w:type="dxa"/>
            <w:vAlign w:val="bottom"/>
            <w:gridSpan w:val="2"/>
            <w:vMerge w:val="restart"/>
            <w:shd w:val="clear" w:color="auto" w:fill="CFF0FC"/>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3"/>
              </w:rPr>
              <w:t>D,E</w:t>
            </w: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(9,329,566)</w:t>
            </w:r>
          </w:p>
        </w:tc>
        <w:tc>
          <w:tcPr>
            <w:tcW w:w="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K,L</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(8,688,264)</w:t>
            </w: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net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42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(34,686,658)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(15,699,948)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(5,560,334)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(7,448,075)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(64,578,773)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(173,207,398)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(24,521,975)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(10,702,502)</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(16,505,762)</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(233,836,970)</w:t>
            </w: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(243,735)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(655,014)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(13,707,369)</w:t>
            </w: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(14,639,642)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20" w:type="dxa"/>
            <w:vAlign w:val="bottom"/>
            <w:tcBorders>
              <w:top w:val="single" w:sz="8" w:color="CFF0FC"/>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(173,451,133)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(25,176,989)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(10,702,502)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(30,213,131)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(248,476,612)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 xml:space="preserve">183,839,971   </w:t>
            </w:r>
            <w:r>
              <w:rPr>
                <w:rFonts w:ascii="Times New Roman" w:cs="Times New Roman" w:eastAsia="Times New Roman" w:hAnsi="Times New Roman"/>
                <w:sz w:val="12"/>
                <w:szCs w:val="12"/>
                <w:b w:val="1"/>
                <w:bCs w:val="1"/>
                <w:color w:val="auto"/>
              </w:rPr>
              <w:t>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-1602105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-1602105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-1602105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-1602105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-1602105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-1602105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-736600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-736600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-736600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-736600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-736600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-368300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-350520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-462280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-368300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-350520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-462280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-368300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-350520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-462280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-368300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-350520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-462280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-368300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-462280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-368300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-350520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-462280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Transaction Accounting Adjustments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Crown Peak</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1360" w:type="dxa"/>
            <w:vAlign w:val="bottom"/>
            <w:gridSpan w:val="3"/>
            <w:vMerge w:val="restart"/>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as of June</w:t>
            </w:r>
          </w:p>
        </w:tc>
        <w:tc>
          <w:tcPr>
            <w:tcW w:w="180" w:type="dxa"/>
            <w:vAlign w:val="bottom"/>
          </w:tcPr>
          <w:p>
            <w:pPr>
              <w:spacing w:after="0"/>
              <w:rPr>
                <w:sz w:val="8"/>
                <w:szCs w:val="8"/>
                <w:color w:val="auto"/>
              </w:rPr>
            </w:pPr>
          </w:p>
        </w:tc>
        <w:tc>
          <w:tcPr>
            <w:tcW w:w="138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 July</w:t>
            </w:r>
          </w:p>
        </w:tc>
        <w:tc>
          <w:tcPr>
            <w:tcW w:w="120" w:type="dxa"/>
            <w:vAlign w:val="bottom"/>
          </w:tcPr>
          <w:p>
            <w:pPr>
              <w:spacing w:after="0"/>
              <w:rPr>
                <w:sz w:val="8"/>
                <w:szCs w:val="8"/>
                <w:color w:val="auto"/>
              </w:rPr>
            </w:pPr>
          </w:p>
        </w:tc>
        <w:tc>
          <w:tcPr>
            <w:tcW w:w="1180" w:type="dxa"/>
            <w:vAlign w:val="bottom"/>
            <w:gridSpan w:val="2"/>
            <w:vMerge w:val="restart"/>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Purchase Price</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36"/>
        </w:trPr>
        <w:tc>
          <w:tcPr>
            <w:tcW w:w="362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31, 2025)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Allocation</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3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9,857,390</w:t>
            </w:r>
          </w:p>
        </w:tc>
        <w:tc>
          <w:tcPr>
            <w:tcW w:w="1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7,342,732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(58,048,925)</w:t>
            </w:r>
          </w:p>
        </w:tc>
        <w:tc>
          <w:tcPr>
            <w:tcW w:w="3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R,S</w:t>
            </w:r>
          </w:p>
        </w:tc>
        <w:tc>
          <w:tcPr>
            <w:tcW w:w="3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(40,848,803)</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1,591,806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6,387,693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7,979,499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5,424,280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3,281,475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8,705,755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receivable</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commissions, current</w:t>
            </w:r>
          </w:p>
        </w:tc>
        <w:tc>
          <w:tcPr>
            <w:tcW w:w="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1,559,813</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1,559,813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22,584,190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18,571,713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(16,893,022)</w:t>
            </w:r>
          </w:p>
        </w:tc>
        <w:tc>
          <w:tcPr>
            <w:tcW w:w="0" w:type="dxa"/>
            <w:vAlign w:val="bottom"/>
          </w:tcPr>
          <w:p>
            <w:pPr>
              <w:spacing w:after="0"/>
              <w:rPr>
                <w:sz w:val="1"/>
                <w:szCs w:val="1"/>
                <w:color w:val="auto"/>
              </w:rPr>
            </w:pPr>
          </w:p>
        </w:tc>
      </w:tr>
      <w:tr>
        <w:trPr>
          <w:trHeight w:val="129"/>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189,364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1,057,576</w:t>
            </w:r>
          </w:p>
        </w:tc>
        <w:tc>
          <w:tcPr>
            <w:tcW w:w="120" w:type="dxa"/>
            <w:vAlign w:val="bottom"/>
          </w:tcPr>
          <w:p>
            <w:pPr>
              <w:spacing w:after="0"/>
              <w:rPr>
                <w:sz w:val="11"/>
                <w:szCs w:val="11"/>
                <w:color w:val="auto"/>
              </w:rPr>
            </w:pPr>
          </w:p>
        </w:tc>
        <w:tc>
          <w:tcPr>
            <w:tcW w:w="700" w:type="dxa"/>
            <w:vAlign w:val="bottom"/>
            <w:gridSpan w:val="2"/>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rPr>
              <w:t>P</w:t>
            </w: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Intangible 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47,104,816</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48,079,888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43,033,011</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rPr>
              <w:t>P</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138,217,715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6,189,901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109,549,108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76,270,436</w:t>
            </w:r>
          </w:p>
        </w:tc>
        <w:tc>
          <w:tcPr>
            <w:tcW w:w="120" w:type="dxa"/>
            <w:vAlign w:val="bottom"/>
          </w:tcPr>
          <w:p>
            <w:pPr>
              <w:spacing w:after="0"/>
              <w:rPr>
                <w:sz w:val="11"/>
                <w:szCs w:val="11"/>
                <w:color w:val="auto"/>
              </w:rPr>
            </w:pPr>
          </w:p>
        </w:tc>
        <w:tc>
          <w:tcPr>
            <w:tcW w:w="700" w:type="dxa"/>
            <w:vAlign w:val="bottom"/>
            <w:gridSpan w:val="2"/>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w w:val="98"/>
              </w:rPr>
              <w:t>Q</w:t>
            </w: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192,009,445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 of use 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2,294,862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1,427,106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3,721,968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412,569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commissions, current</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3,667,953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3,667,953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1,397,679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204,365</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1,602,044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57,517,802</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163,117,784</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340,996,609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80,101,992</w:t>
            </w:r>
          </w:p>
        </w:tc>
        <w:tc>
          <w:tcPr>
            <w:tcW w:w="120" w:type="dxa"/>
            <w:vAlign w:val="bottom"/>
          </w:tcPr>
          <w:p>
            <w:pPr>
              <w:spacing w:after="0"/>
              <w:rPr>
                <w:sz w:val="11"/>
                <w:szCs w:val="11"/>
                <w:color w:val="auto"/>
              </w:rPr>
            </w:pPr>
          </w:p>
        </w:tc>
        <w:tc>
          <w:tcPr>
            <w:tcW w:w="3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181,689,497</w:t>
            </w:r>
          </w:p>
        </w:tc>
        <w:tc>
          <w:tcPr>
            <w:tcW w:w="2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tcPr>
          <w:p>
            <w:pPr>
              <w:spacing w:after="0"/>
              <w:rPr>
                <w:sz w:val="11"/>
                <w:szCs w:val="11"/>
                <w:color w:val="auto"/>
              </w:rPr>
            </w:pPr>
          </w:p>
        </w:tc>
        <w:tc>
          <w:tcPr>
            <w:tcW w:w="70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00" w:type="dxa"/>
            <w:vAlign w:val="bottom"/>
          </w:tcPr>
          <w:p>
            <w:pPr>
              <w:spacing w:after="0"/>
              <w:rPr>
                <w:sz w:val="11"/>
                <w:szCs w:val="11"/>
                <w:color w:val="auto"/>
              </w:rPr>
            </w:pPr>
          </w:p>
        </w:tc>
        <w:tc>
          <w:tcPr>
            <w:tcW w:w="3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324,103,587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2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23,035,142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6,270,347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29,305,489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15,680,098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14,791,658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30,471,756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net of issuance costs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28,745,993</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135,804,243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(48,242,525)</w:t>
            </w:r>
          </w:p>
        </w:tc>
        <w:tc>
          <w:tcPr>
            <w:tcW w:w="3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4"/>
              </w:rPr>
              <w:t>R</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116,307,711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Revolving line of credit</w:t>
            </w:r>
          </w:p>
        </w:tc>
        <w:tc>
          <w:tcPr>
            <w:tcW w:w="80" w:type="dxa"/>
            <w:vAlign w:val="bottom"/>
          </w:tcPr>
          <w:p>
            <w:pPr>
              <w:spacing w:after="0"/>
              <w:rPr>
                <w:sz w:val="11"/>
                <w:szCs w:val="11"/>
                <w:color w:val="auto"/>
              </w:rPr>
            </w:pPr>
          </w:p>
        </w:tc>
        <w:tc>
          <w:tcPr>
            <w:tcW w:w="12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(7,500,000)</w:t>
            </w:r>
          </w:p>
        </w:tc>
        <w:tc>
          <w:tcPr>
            <w:tcW w:w="3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111,837</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111,837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538,524</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3,865,447</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3,865,447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16,016,292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24,909,265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40,925,557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current portion</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1,452,755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580,923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2,033,678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payable</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482,882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482,882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93,645,964</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189,856,436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(55,742,525)</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227,759,875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4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0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Long term debt</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non-current portion</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610,146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846,139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7,640,576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13,707,369</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rPr>
              <w:t>U</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21,347,945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 notes</w:t>
            </w:r>
          </w:p>
        </w:tc>
        <w:tc>
          <w:tcPr>
            <w:tcW w:w="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T</w:t>
            </w: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745,847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8,486,715</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63,707,369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72,939,931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94,391,811</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198,343,151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63,707,369</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(55,742,525)</w:t>
            </w:r>
          </w:p>
        </w:tc>
        <w:tc>
          <w:tcPr>
            <w:tcW w:w="3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300,699,806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 259,066,638 shares issued</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V</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and outstanding as of June 30, 2025 (Rezolve)</w:t>
            </w:r>
          </w:p>
        </w:tc>
        <w:tc>
          <w:tcPr>
            <w:tcW w:w="8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33,394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34,874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6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$0.001 par value 100 shares issued and outstanding</w:t>
            </w:r>
          </w:p>
        </w:tc>
        <w:tc>
          <w:tcPr>
            <w:tcW w:w="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 of July 31, 2025 (CrownPeak)</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 (Rezolve)</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302,123,036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39,998,520</w:t>
            </w:r>
          </w:p>
        </w:tc>
        <w:tc>
          <w:tcPr>
            <w:tcW w:w="120" w:type="dxa"/>
            <w:vAlign w:val="bottom"/>
          </w:tcPr>
          <w:p>
            <w:pPr>
              <w:spacing w:after="0"/>
              <w:rPr>
                <w:sz w:val="11"/>
                <w:szCs w:val="11"/>
                <w:color w:val="auto"/>
              </w:rPr>
            </w:pPr>
          </w:p>
        </w:tc>
        <w:tc>
          <w:tcPr>
            <w:tcW w:w="700" w:type="dxa"/>
            <w:vAlign w:val="bottom"/>
            <w:gridSpan w:val="2"/>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rPr>
              <w:t>V</w:t>
            </w: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342,121,556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 (CrownPeak)</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135,641,000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(135,641,000)</w:t>
            </w:r>
          </w:p>
        </w:tc>
        <w:tc>
          <w:tcPr>
            <w:tcW w:w="700" w:type="dxa"/>
            <w:vAlign w:val="bottom"/>
            <w:gridSpan w:val="2"/>
            <w:shd w:val="clear" w:color="auto" w:fill="CFF0FC"/>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subscription receivable</w:t>
            </w: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 (Rezolve)</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 (CrownPeak)</w:t>
            </w:r>
          </w:p>
        </w:tc>
        <w:tc>
          <w:tcPr>
            <w:tcW w:w="80" w:type="dxa"/>
            <w:vAlign w:val="bottom"/>
          </w:tcPr>
          <w:p>
            <w:pPr>
              <w:spacing w:after="0"/>
              <w:rPr>
                <w:sz w:val="11"/>
                <w:szCs w:val="11"/>
                <w:color w:val="auto"/>
              </w:rPr>
            </w:pPr>
          </w:p>
        </w:tc>
        <w:tc>
          <w:tcPr>
            <w:tcW w:w="12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(155,321,017)</w:t>
            </w: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155,321,017</w:t>
            </w:r>
          </w:p>
        </w:tc>
        <w:tc>
          <w:tcPr>
            <w:tcW w:w="120" w:type="dxa"/>
            <w:vAlign w:val="bottom"/>
          </w:tcPr>
          <w:p>
            <w:pPr>
              <w:spacing w:after="0"/>
              <w:rPr>
                <w:sz w:val="11"/>
                <w:szCs w:val="11"/>
                <w:color w:val="auto"/>
              </w:rPr>
            </w:pPr>
          </w:p>
        </w:tc>
        <w:tc>
          <w:tcPr>
            <w:tcW w:w="700" w:type="dxa"/>
            <w:vAlign w:val="bottom"/>
            <w:gridSpan w:val="2"/>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(2,306,400)</w:t>
            </w:r>
          </w:p>
        </w:tc>
        <w:tc>
          <w:tcPr>
            <w:tcW w:w="3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K</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(2,306,400)</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3,026,363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(3,026,363)</w:t>
            </w:r>
          </w:p>
        </w:tc>
        <w:tc>
          <w:tcPr>
            <w:tcW w:w="700" w:type="dxa"/>
            <w:vAlign w:val="bottom"/>
            <w:gridSpan w:val="2"/>
            <w:shd w:val="clear" w:color="auto" w:fill="CFF0FC"/>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(14,289,819)</w:t>
            </w:r>
          </w:p>
        </w:tc>
        <w:tc>
          <w:tcPr>
            <w:tcW w:w="3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(16,653,654)</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56,653,654</w:t>
            </w:r>
          </w:p>
        </w:tc>
        <w:tc>
          <w:tcPr>
            <w:tcW w:w="120" w:type="dxa"/>
            <w:vAlign w:val="bottom"/>
          </w:tcPr>
          <w:p>
            <w:pPr>
              <w:spacing w:after="0"/>
              <w:rPr>
                <w:sz w:val="11"/>
                <w:szCs w:val="11"/>
                <w:color w:val="auto"/>
              </w:rPr>
            </w:pPr>
          </w:p>
        </w:tc>
        <w:tc>
          <w:tcPr>
            <w:tcW w:w="70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(2,306,400)</w:t>
            </w:r>
          </w:p>
        </w:tc>
        <w:tc>
          <w:tcPr>
            <w:tcW w:w="300" w:type="dxa"/>
            <w:vAlign w:val="bottom"/>
          </w:tcPr>
          <w:p>
            <w:pPr>
              <w:spacing w:after="0"/>
              <w:rPr>
                <w:sz w:val="11"/>
                <w:szCs w:val="11"/>
                <w:color w:val="auto"/>
              </w:rPr>
            </w:pPr>
          </w:p>
        </w:tc>
        <w:tc>
          <w:tcPr>
            <w:tcW w:w="3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23,403,781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80,101,992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181,689,497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324,103,587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-4431030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-4431030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-4431030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-4431030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-3548380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-3548380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-3548380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-3548380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-1962150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-1962150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-1962150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-1962150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-1439545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-1439545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-1439545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-1439545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-1250950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-1233805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-1250950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-1233805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-1233805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-1250950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-196215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-196215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-196215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-196215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768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Transaction adjustments</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Subsidiaries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Crownpeak</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00" w:type="dxa"/>
            <w:vAlign w:val="bottom"/>
          </w:tcPr>
          <w:p>
            <w:pPr>
              <w:spacing w:after="0"/>
              <w:rPr>
                <w:sz w:val="11"/>
                <w:szCs w:val="11"/>
                <w:color w:val="auto"/>
              </w:rPr>
            </w:pPr>
          </w:p>
        </w:tc>
        <w:tc>
          <w:tcPr>
            <w:tcW w:w="12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(January 1, 2025 to</w:t>
            </w: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June 30,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March 25, 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July 31, 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GroupBy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2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6,316,950</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4,373,387</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35,852,639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46,542,976</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276,049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12,245,638</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12,521,837</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778,133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6,063,323</w:t>
            </w:r>
          </w:p>
        </w:tc>
        <w:tc>
          <w:tcPr>
            <w:tcW w:w="80" w:type="dxa"/>
            <w:vAlign w:val="bottom"/>
          </w:tcPr>
          <w:p>
            <w:pPr>
              <w:spacing w:after="0"/>
              <w:rPr>
                <w:sz w:val="23"/>
                <w:szCs w:val="23"/>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O</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10,461,131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33,263,730</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5,219,022</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13,616,750</w:t>
            </w:r>
          </w:p>
        </w:tc>
        <w:tc>
          <w:tcPr>
            <w:tcW w:w="80" w:type="dxa"/>
            <w:vAlign w:val="bottom"/>
            <w:shd w:val="clear" w:color="auto" w:fill="CFF0FC"/>
          </w:tcPr>
          <w:p>
            <w:pPr>
              <w:spacing w:after="0"/>
              <w:rPr>
                <w:sz w:val="23"/>
                <w:szCs w:val="23"/>
                <w:color w:val="auto"/>
              </w:rPr>
            </w:pPr>
          </w:p>
        </w:tc>
        <w:tc>
          <w:tcPr>
            <w:tcW w:w="3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2"/>
                <w:szCs w:val="12"/>
                <w:b w:val="1"/>
                <w:bCs w:val="1"/>
                <w:color w:val="auto"/>
              </w:rPr>
              <w:t>O</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52,099,502</w:t>
            </w: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31,236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1,550,777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3,452,370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1,178,257</w:t>
            </w: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4,372,548</w:t>
            </w:r>
          </w:p>
        </w:tc>
        <w:tc>
          <w:tcPr>
            <w:tcW w:w="120" w:type="dxa"/>
            <w:vAlign w:val="bottom"/>
            <w:shd w:val="clear" w:color="auto" w:fill="CFF0FC"/>
          </w:tcPr>
          <w:p>
            <w:pPr>
              <w:spacing w:after="0"/>
              <w:rPr>
                <w:sz w:val="11"/>
                <w:szCs w:val="11"/>
                <w:color w:val="auto"/>
              </w:rPr>
            </w:pPr>
          </w:p>
        </w:tc>
        <w:tc>
          <w:tcPr>
            <w:tcW w:w="500" w:type="dxa"/>
            <w:vAlign w:val="bottom"/>
            <w:gridSpan w:val="3"/>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10,553,952</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38,741,467</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5,997,305</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35,378,081</w:t>
            </w: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1,178,257</w:t>
            </w:r>
          </w:p>
        </w:tc>
        <w:tc>
          <w:tcPr>
            <w:tcW w:w="10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4,372,548</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85,667,658</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(32,424,517)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(1,623,918)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474,558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(1,178,257)</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(4,372,548)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(39,124,682)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gridSpan w:val="3"/>
            <w:shd w:val="clear" w:color="auto" w:fill="CFF0FC"/>
          </w:tcPr>
          <w:p>
            <w:pPr>
              <w:jc w:val="right"/>
              <w:ind w:righ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1,094,992</w:t>
            </w:r>
          </w:p>
        </w:tc>
        <w:tc>
          <w:tcPr>
            <w:tcW w:w="120" w:type="dxa"/>
            <w:vAlign w:val="bottom"/>
          </w:tcPr>
          <w:p>
            <w:pPr>
              <w:spacing w:after="0"/>
              <w:rPr>
                <w:sz w:val="9"/>
                <w:szCs w:val="9"/>
                <w:color w:val="auto"/>
              </w:rPr>
            </w:pPr>
          </w:p>
        </w:tc>
        <w:tc>
          <w:tcPr>
            <w:tcW w:w="50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BB,</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(2,109,570)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(264,509)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(9,200,968)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262,333</w:t>
            </w:r>
          </w:p>
        </w:tc>
        <w:tc>
          <w:tcPr>
            <w:tcW w:w="1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CC</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(10,217,722)</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Loss on derivatives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(1,521,136)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(1,521,136)</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(Loss)/gain on extinguishment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(27,183,375)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719,526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(719,526)</w:t>
            </w:r>
          </w:p>
        </w:tc>
        <w:tc>
          <w:tcPr>
            <w:tcW w:w="4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Z</w:t>
            </w: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(27,183,375)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 on revaluation of financial asset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169,613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(3,312,303)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(3,142,690)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(24,933,754)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455,017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(12,513,271)</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(457,193)</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1,094,992</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(36,354,209)</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(57,358,271)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(1,168,901)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(12,038,713)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(1,635,450)</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(3,277,556)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(75,478,891)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(494,247)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(740,304)</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(1,234,551)</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(57,852,518)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(1,168,901)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(12,779,017)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(1,635,450)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(3,277,556)</w:t>
            </w:r>
          </w:p>
        </w:tc>
        <w:tc>
          <w:tcPr>
            <w:tcW w:w="1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(76,713,442)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gridSpan w:val="3"/>
            <w:shd w:val="clear" w:color="auto" w:fill="CFF0FC"/>
          </w:tcPr>
          <w:p>
            <w:pPr>
              <w:ind w:left="720"/>
              <w:spacing w:after="0" w:line="116" w:lineRule="exact"/>
              <w:rPr>
                <w:sz w:val="20"/>
                <w:szCs w:val="20"/>
                <w:color w:val="auto"/>
              </w:rPr>
            </w:pPr>
            <w:r>
              <w:rPr>
                <w:rFonts w:ascii="Times New Roman" w:cs="Times New Roman" w:eastAsia="Times New Roman" w:hAnsi="Times New Roman"/>
                <w:sz w:val="13"/>
                <w:szCs w:val="13"/>
                <w:color w:val="auto"/>
              </w:rPr>
              <w:t xml:space="preserve">(0.3)  </w:t>
            </w:r>
            <w:r>
              <w:rPr>
                <w:rFonts w:ascii="Times New Roman" w:cs="Times New Roman" w:eastAsia="Times New Roman" w:hAnsi="Times New Roman"/>
                <w:sz w:val="13"/>
                <w:szCs w:val="13"/>
                <w:b w:val="1"/>
                <w:bCs w:val="1"/>
                <w:color w:val="auto"/>
              </w:rPr>
              <w:t>DD</w:t>
            </w:r>
          </w:p>
        </w:tc>
        <w:tc>
          <w:tcPr>
            <w:tcW w:w="0" w:type="dxa"/>
            <w:vAlign w:val="bottom"/>
          </w:tcPr>
          <w:p>
            <w:pPr>
              <w:spacing w:after="0"/>
              <w:rPr>
                <w:sz w:val="1"/>
                <w:szCs w:val="1"/>
                <w:color w:val="auto"/>
              </w:rPr>
            </w:pPr>
          </w:p>
        </w:tc>
      </w:tr>
      <w:tr>
        <w:trPr>
          <w:trHeight w:val="117"/>
        </w:trPr>
        <w:tc>
          <w:tcPr>
            <w:tcW w:w="23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233,521,905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244,649,685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-1532255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-1532255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-1532255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-1532255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-1532255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-1532255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-563880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-563880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-563880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-563880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-563880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-563880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4" w:name="page45"/>
    <w:bookmarkEnd w:id="4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previously disclosed in its unaudited condensed combined consolidated financial statements as of and for the six months ended June 30, 2025 included in its Current Report on Form 6-K furnished with the SEC on October 1, 2025, on February 4, 2025, the Company entered into a purchase agreement with DBLP Sea Cow Ltd (“DBLP”), to acquire the entire issued and to be issued share capital of each of Bluedot Industries, Inc. and Bluedot Industries Pty. Ltd, together “Bluedot Industries”. DBLP is a related party and is wholly legally owned by Daniel Wagner, a director of DBLP and the Company. Prior to his death, DBLP was beneficially owned by John Wagner, a former director of Rezolve. On February 20, 2025, the Company closed the Bluedot Industries acquisition and issued ordinary shares as consideration to DBLP. The Bluedot Industries acquisition was accounted for as a transfer of entities under common control and all periods presented reflect the financial position and results of operations of these entities as if they had been combined as of the beginning of the period. Therefore, the Company’s historical consolidated statements of operations for the year ended December 31, 2024 and for the six months ended June 30, 2025, used in the pro forma condensed combined financial information, have been retrospectively adjusted to furnish information as if the two companies (Rezolve and Bluedot Industries) had been combined from the beginning of the comparative period, as the entities were under common control for the entire comparative period.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accounted for both the Crownpeak Acquisition and the GroupBy Acquisition using the acquisition method of accounting under ASC</w:t>
      </w:r>
    </w:p>
    <w:p>
      <w:pPr>
        <w:spacing w:after="0" w:line="27" w:lineRule="exact"/>
        <w:rPr>
          <w:sz w:val="20"/>
          <w:szCs w:val="20"/>
          <w:color w:val="auto"/>
        </w:rPr>
      </w:pPr>
    </w:p>
    <w:p>
      <w:pPr>
        <w:ind w:right="380" w:firstLine="8"/>
        <w:spacing w:after="0" w:line="255"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method of accounting requires that the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dates of the Crownpeak Acquisition and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and the Unaudited Pro Forma Condensed Combined Statement of Operations for the six months ended June 30, 2025 give effect to the Crownpeak Acquisition and the GroupBy Acquisition as if both acquisitions had been completed on January 1, 2024.</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Crownpeak Acquisition as if it had been completed on June 30, 2025. The assets and liabilities of GroupBy are included in the Company's Unaudited Condensed Interim Combined Consolidated Balance Sheet as of June 30, 2025.</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Crownpeak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Crownpeak Acquisition and the GroupBy Acquisition were completed on the date mentioned above. Therefore, the unaudited pro forma condensed combined financial information and related notes are presented for illustrative purposes only. If the Crownpeak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Crownpeak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contemplation of the Crownpeak Acquisition and the GroupBy Acquisition. The unaudited pro forma condensed combined financial information does not give effect to any anticipated synergies, operating efficiencies, tax savings, or cost savings that may be associated with the Crownpeak Acquisition and the GroupBy Acquisition.</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separate financial statements and notes thereto of each of Crownpeak, GroupBy and Rezolve as listed in the Introduction, above.</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the difference between Crownpeak’s fiscal year end and Rezolve’s fiscal year end is less than one quarter, the historical consolidated statement of operations of Crownpeak as of, and for the year ended, January 31, 2025, is being combined with the historical combined consolidated statement of operations of Rezolve as of, and for the year ended, December 31, 2024.</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Similarly, the historical condensed consolidated financial statements Crownpeak Intermediate Holdings, Inc. and subsidiaries as of, and for the six months ended July 31, 2025 is being combined with the historical condensed combined consolidated financial statements of Rezolve as of, and for the six months ended June 30, 2025.</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audited combined consolidated financial statements of GroupBy Group of Companies as of and for the years ended December 31, 2024 and 2023 and the unaudited condensed interim combined consolidated financial statements for GroupBy as of and for six months ended June 30, 2025 and have been prepared in accordance with International Financial Reporting Standards (“IFRS”) and interpretations adopted by the International Accounting Standards Board (“IASB”). See Notes 3 and 5 for more information on adjustments resulting from material differences between IFRS and US GAAP.</w:t>
      </w:r>
    </w:p>
    <w:p>
      <w:pPr>
        <w:spacing w:after="0" w:line="180"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At this time, Rezolve is not aware of any material differences in accounting policies and financial statement classifications that would have a material impact on the pro forma financial information with the exception of the transaction accounting adjustments discussed in Notes 3, 4 and 5.</w:t>
      </w:r>
    </w:p>
    <w:p>
      <w:pPr>
        <w:spacing w:after="0" w:line="37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Note 2—Purchase Price and Preliminary Fair Value Estimate of Assets to be Acquired and Liabilities to be Assumed for the Crownpeak acquisition</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table below represents an initial allocation of the preliminary consideration to Crownpeak’s tangible and intangible assets to be acquired and liabilities to be assumed based on the preliminary estimate of their respective fair values derived using a benchmarking approach. Upon the completion of the acquisition date valuation procedures, the estimated fair value of the assets and liabilities will be updated, including the estimated fair value and useful lives of the identifiable intangible assets and allocation of the excess purchase price to goodwill. The calculation of goodwill and other identified assets and liabilities could be materially impacted by changing fair value measurements.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11,127,780 ordinary shares of Rezolve (1)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 Loan Note</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Loan Note</w:t>
            </w:r>
          </w:p>
        </w:tc>
        <w:tc>
          <w:tcPr>
            <w:tcW w:w="19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tcPr>
          <w:p>
            <w:pPr>
              <w:spacing w:after="0"/>
              <w:rPr>
                <w:sz w:val="18"/>
                <w:szCs w:val="18"/>
                <w:color w:val="auto"/>
              </w:rPr>
            </w:pPr>
          </w:p>
        </w:tc>
      </w:tr>
      <w:tr>
        <w:trPr>
          <w:trHeight w:val="210"/>
        </w:trPr>
        <w:tc>
          <w:tcPr>
            <w:tcW w:w="7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19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assets (2)</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13,023,806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1,246,940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3,820,143</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36,473,203</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50,819,554</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 (3)</w:t>
            </w:r>
          </w:p>
        </w:tc>
        <w:tc>
          <w:tcPr>
            <w:tcW w:w="1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5,243,258</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Debt under the Amended and Restated Credit Agreement</w:t>
            </w:r>
          </w:p>
        </w:tc>
        <w:tc>
          <w:tcPr>
            <w:tcW w:w="19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(151,921,625)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0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(13,707,369)</w:t>
            </w: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 (4)</w:t>
            </w:r>
          </w:p>
        </w:tc>
        <w:tc>
          <w:tcPr>
            <w:tcW w:w="19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(40,817,453)</w:t>
            </w:r>
          </w:p>
        </w:tc>
      </w:tr>
      <w:tr>
        <w:trPr>
          <w:trHeight w:val="20"/>
        </w:trPr>
        <w:tc>
          <w:tcPr>
            <w:tcW w:w="744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(95,819,543)</w:t>
            </w:r>
          </w:p>
        </w:tc>
      </w:tr>
      <w:tr>
        <w:trPr>
          <w:trHeight w:val="209"/>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185,819,543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estimated preliminary purchase price allocation</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40" w:right="5100" w:hanging="5532"/>
        <w:spacing w:after="0" w:line="407"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 million net of cash acquired, completion indebtedness and transaction costs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6" w:name="page47"/>
    <w:bookmarkEnd w:id="46"/>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accounts receivable, deferred commissions and prepaid expenses and other current assets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right-of-use assets, deferred commissions and other non-current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accounts payable, deferred revenue, accrued expenses, deferred tax liabilities and other liabilities</w:t>
      </w:r>
    </w:p>
    <w:p>
      <w:pPr>
        <w:spacing w:after="0" w:line="200" w:lineRule="exact"/>
        <w:rPr>
          <w:sz w:val="20"/>
          <w:szCs w:val="20"/>
          <w:color w:val="auto"/>
        </w:rPr>
      </w:pPr>
    </w:p>
    <w:p>
      <w:pPr>
        <w:spacing w:after="0" w:line="21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 3— Transaction Accounting Adjustments to the unaudited pro forma condensed combined statements of operations for the year ended December 31, 2024</w:t>
      </w:r>
    </w:p>
    <w:p>
      <w:pPr>
        <w:spacing w:after="0" w:line="15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reclassify Crownpeak’s and GroupBy’s historical presentation of certain line items to the presentation of those line items by Rezolve.</w:t>
      </w:r>
    </w:p>
    <w:p>
      <w:pPr>
        <w:spacing w:after="0" w:line="68" w:lineRule="exact"/>
        <w:rPr>
          <w:sz w:val="20"/>
          <w:szCs w:val="20"/>
          <w:color w:val="auto"/>
        </w:rPr>
      </w:pPr>
    </w:p>
    <w:p>
      <w:pPr>
        <w:ind w:left="1020" w:right="40" w:hanging="503"/>
        <w:spacing w:after="0" w:line="258"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expense for GroupBy of based on the fair values assigned in the preliminary purchase price allocation to (i) technology intellectual property and (ii) customer contract and related relationships.</w:t>
      </w:r>
    </w:p>
    <w:p>
      <w:pPr>
        <w:spacing w:after="0" w:line="53" w:lineRule="exact"/>
        <w:rPr>
          <w:rFonts w:ascii="Times New Roman" w:cs="Times New Roman" w:eastAsia="Times New Roman" w:hAnsi="Times New Roman"/>
          <w:sz w:val="18"/>
          <w:szCs w:val="18"/>
          <w:b w:val="1"/>
          <w:bCs w:val="1"/>
          <w:color w:val="auto"/>
        </w:rPr>
      </w:pPr>
    </w:p>
    <w:p>
      <w:pPr>
        <w:ind w:left="1020" w:right="48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w:t>
      </w:r>
    </w:p>
    <w:p>
      <w:pPr>
        <w:spacing w:after="0" w:line="53" w:lineRule="exact"/>
        <w:rPr>
          <w:rFonts w:ascii="Times New Roman" w:cs="Times New Roman" w:eastAsia="Times New Roman" w:hAnsi="Times New Roman"/>
          <w:sz w:val="18"/>
          <w:szCs w:val="18"/>
          <w:b w:val="1"/>
          <w:bCs w:val="1"/>
          <w:color w:val="auto"/>
        </w:rPr>
      </w:pPr>
    </w:p>
    <w:p>
      <w:pPr>
        <w:ind w:left="1020" w:right="260" w:hanging="503"/>
        <w:spacing w:after="0" w:line="256"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its Ordinary Shares which is equal to $12,300,000 ($12,000,000 debt and $300,000 forbearance fees) in order to settle debt owed by Groupby to WAB. In consideration for the allotment of these Ordinary Shares, WAB irrevocably and unconditionally released and discharged the Company from the obligations owed by the Company to WAB. This proforma adjustment assumes that this settlement occurred during fiscal year 2024 rather than in June 2025 when the actual settlement occurred.</w:t>
      </w:r>
    </w:p>
    <w:p>
      <w:pPr>
        <w:spacing w:after="0" w:line="187" w:lineRule="exact"/>
        <w:rPr>
          <w:rFonts w:ascii="Times New Roman" w:cs="Times New Roman" w:eastAsia="Times New Roman" w:hAnsi="Times New Roman"/>
          <w:sz w:val="18"/>
          <w:szCs w:val="18"/>
          <w:b w:val="1"/>
          <w:bCs w:val="1"/>
          <w:color w:val="auto"/>
        </w:rPr>
      </w:pPr>
    </w:p>
    <w:p>
      <w:pPr>
        <w:jc w:val="both"/>
        <w:ind w:left="102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5,857,143 Ordinary shares to WAB to settle the debt. The debt was settled in June 2025 upon issuance of 5,857,143 Ordinary shares at $2.10 per share, and a loss on extinguishment of $4,392,858 was recognized in the Company's Combined Consolidated Statement of Operations.</w:t>
      </w:r>
    </w:p>
    <w:p>
      <w:pPr>
        <w:spacing w:after="0" w:line="175" w:lineRule="exact"/>
        <w:rPr>
          <w:rFonts w:ascii="Times New Roman" w:cs="Times New Roman" w:eastAsia="Times New Roman" w:hAnsi="Times New Roman"/>
          <w:sz w:val="18"/>
          <w:szCs w:val="18"/>
          <w:b w:val="1"/>
          <w:bCs w:val="1"/>
          <w:color w:val="auto"/>
        </w:rPr>
      </w:pPr>
    </w:p>
    <w:p>
      <w:pPr>
        <w:ind w:left="102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terms of the subscription letter, WAB is to return any money received in excess of $12,300,000 from the subsequent sale of the 5,857,143 Ordinary shares. The receivable (financial asset) due from WAB involve returns that may vary in amount, such that the ultimate payout will depend on the price per Ordinary Share on the day that WAB sells all or part of the 5,857,143 Ordinary Shares. The Company elected to recognize this hybrid financial instrument at fair value with changes in fair value recognized currently in earnings, therefore no bifurcation of any embedded derivatives were required. As of June 30, 2025, the Company's market price per Ordinary share was $3.08, which resulted in a financial asset carried at fair value of $5,710,714 and a gain on revaluation of financial asset of $5,710,714 recognized in the Company's Combined Consolidated combined Statement of Operations.</w:t>
      </w:r>
    </w:p>
    <w:p>
      <w:pPr>
        <w:spacing w:after="0" w:line="80" w:lineRule="exact"/>
        <w:rPr>
          <w:rFonts w:ascii="Times New Roman" w:cs="Times New Roman" w:eastAsia="Times New Roman" w:hAnsi="Times New Roman"/>
          <w:sz w:val="18"/>
          <w:szCs w:val="18"/>
          <w:b w:val="1"/>
          <w:bCs w:val="1"/>
          <w:color w:val="auto"/>
        </w:rPr>
      </w:pPr>
    </w:p>
    <w:p>
      <w:pPr>
        <w:ind w:left="1020" w:right="18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b w:val="1"/>
          <w:bCs w:val="1"/>
          <w:color w:val="auto"/>
        </w:rPr>
      </w:pPr>
    </w:p>
    <w:p>
      <w:pPr>
        <w:ind w:left="1020" w:right="22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all equity classified warrants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b w:val="1"/>
          <w:bCs w:val="1"/>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and depreciation expense for Crownpeak of based on the fair values assigned in the preliminary purchase price allocation to (i) trade names and trademarks, (ii) developed technology, (ii) customer relationships and (iv) property, plant and equipment .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line="256"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Crownpeak's historical interest expense of $6.8 million for the year ended January 31, 2025, as a result of amendments to the credit agreement. 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7" w:name="page48"/>
    <w:bookmarkEnd w:id="47"/>
    <w:p>
      <w:pPr>
        <w:ind w:left="1020" w:right="100"/>
        <w:spacing w:after="0" w:line="261" w:lineRule="auto"/>
        <w:rPr>
          <w:sz w:val="20"/>
          <w:szCs w:val="20"/>
          <w:color w:val="auto"/>
        </w:rPr>
      </w:pPr>
      <w:r>
        <w:rPr>
          <w:rFonts w:ascii="Times New Roman" w:cs="Times New Roman" w:eastAsia="Times New Roman" w:hAnsi="Times New Roman"/>
          <w:sz w:val="18"/>
          <w:szCs w:val="18"/>
          <w:color w:val="auto"/>
        </w:rPr>
        <w:t>revolving loans were repaid in full including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“Term Loans”) with an outstanding principal amount of the Term Loans of $103,679,099.79.</w:t>
      </w:r>
    </w:p>
    <w:p>
      <w:pPr>
        <w:spacing w:after="0" w:line="72" w:lineRule="exact"/>
        <w:rPr>
          <w:sz w:val="20"/>
          <w:szCs w:val="20"/>
          <w:color w:val="auto"/>
        </w:rPr>
      </w:pPr>
    </w:p>
    <w:p>
      <w:pPr>
        <w:ind w:left="1020" w:right="220" w:hanging="503"/>
        <w:spacing w:after="0" w:line="26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interest expense of $5 million for interest payable on the First Loan Note (10% fixed rate per year loan note due 1 April 2027) and the Second Loan Note (10% fixed rate per year secured loan note due 31 December 2027), both issued as consideration in connection with the Crownpeak acquisition.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fees incurred in connection with the Amended and Restatement Credit Agreement with the lenders party thereto and Monroe Capital Management Advisors, LLC, as administrative and collateral agent. See pro forma adjustment (J) for more information.</w:t>
      </w:r>
    </w:p>
    <w:p>
      <w:pPr>
        <w:spacing w:after="0" w:line="53" w:lineRule="exact"/>
        <w:rPr>
          <w:rFonts w:ascii="Times New Roman" w:cs="Times New Roman" w:eastAsia="Times New Roman" w:hAnsi="Times New Roman"/>
          <w:sz w:val="18"/>
          <w:szCs w:val="18"/>
          <w:b w:val="1"/>
          <w:bCs w:val="1"/>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the transactions costs directly associated with the Crownpeak acquisition including, but not limited to advisory fees and legal fees.</w:t>
      </w:r>
    </w:p>
    <w:p>
      <w:pPr>
        <w:spacing w:after="0" w:line="53" w:lineRule="exact"/>
        <w:rPr>
          <w:rFonts w:ascii="Times New Roman" w:cs="Times New Roman" w:eastAsia="Times New Roman" w:hAnsi="Times New Roman"/>
          <w:sz w:val="18"/>
          <w:szCs w:val="18"/>
          <w:b w:val="1"/>
          <w:bCs w:val="1"/>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estimated deferred tax liabilities for Crownpeak resulting from differences in the book and tax basis of intangible assets remeasured to fair value as a result of business combination accounting under ASC 805.</w:t>
      </w:r>
    </w:p>
    <w:p>
      <w:pPr>
        <w:spacing w:after="0" w:line="53" w:lineRule="exact"/>
        <w:rPr>
          <w:rFonts w:ascii="Times New Roman" w:cs="Times New Roman" w:eastAsia="Times New Roman" w:hAnsi="Times New Roman"/>
          <w:sz w:val="18"/>
          <w:szCs w:val="18"/>
          <w:b w:val="1"/>
          <w:bCs w:val="1"/>
          <w:color w:val="auto"/>
        </w:rPr>
      </w:pPr>
    </w:p>
    <w:p>
      <w:pPr>
        <w:ind w:left="1020" w:right="80" w:hanging="503"/>
        <w:spacing w:after="0" w:line="25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GroupBy Acquisition and the Crownpeak Acquisition, assuming the shares were outstanding since January 1, 2024. As the GroupBy Acquisition and the Crownpeak Acquisition are both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and Crownpeak acquisitions have been outstanding for the entire period presented.</w:t>
      </w:r>
    </w:p>
    <w:p>
      <w:pPr>
        <w:spacing w:after="0" w:line="79" w:lineRule="exact"/>
        <w:rPr>
          <w:rFonts w:ascii="Times New Roman" w:cs="Times New Roman" w:eastAsia="Times New Roman" w:hAnsi="Times New Roman"/>
          <w:sz w:val="18"/>
          <w:szCs w:val="18"/>
          <w:b w:val="1"/>
          <w:bCs w:val="1"/>
          <w:color w:val="auto"/>
        </w:rPr>
      </w:pPr>
    </w:p>
    <w:p>
      <w:pPr>
        <w:ind w:left="1020" w:right="54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and benefits expense have been categorized to general and administrative expenses and marketing expenses to conform Crownpeak's historical presentation of certain line items to the presentation of those line items by Rezolve.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Transaction Accounting Adjustments to the unaudited pro forma condensed combined balance sheet as of June 30, 2025</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June 30, 2025 presented also include adjustments to reclassify Crownpeak’s historical presentation of certain line items to the presentation of those line items by Rezolve.</w:t>
      </w:r>
    </w:p>
    <w:p>
      <w:pPr>
        <w:spacing w:after="0" w:line="270" w:lineRule="exact"/>
        <w:rPr>
          <w:sz w:val="20"/>
          <w:szCs w:val="20"/>
          <w:color w:val="auto"/>
        </w:rPr>
      </w:pPr>
    </w:p>
    <w:p>
      <w:pPr>
        <w:ind w:left="1020" w:right="180" w:hanging="503"/>
        <w:spacing w:after="0" w:line="266"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(1) Removal of Crownpeak's historical intangible assets and property, plant and equipment of and (2) Preliminary fair value and other related adjustments to (i) trade names and trademarks, (ii) developed technology, (ii) customer relationships (iv) property, plant and equipment and (v) other assets acquired and liabilities assumed.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160" w:hanging="503"/>
        <w:spacing w:after="0" w:line="266"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(1) Removal of Crownpeak's historical goodwill of and (2) Goodwill representing the estimated excess of the preliminary consideration over the preliminary fair value of the assets to be acquired and liabilities to be assumed. Goodwill is not expected to be deductible for U.S. federal income tax purposes.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$50 million of the outstanding term loan and $0.6 million of exit and amendment fees and the recognition of $1.8 million of exit and amendment fees incurred (not yet paid) in connection with the transaction described below:</w:t>
      </w:r>
    </w:p>
    <w:p>
      <w:pPr>
        <w:ind w:left="102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$0.6 million of accrued exit and amendment fees were paid. After giving effect to these transactions, the remaining outstanding term loans under the prior facility, all paid-in-kind interest thereon and the accrued exit fees continued as term loans under the A&amp;R Credit Agreement (the “Term Loans”) with an outstanding principal amount of the Term Loans of $103,679,099.79. The maturity date for all outstanding term loans plus accrued interest is December 31, 2026.</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$7.5 million of revolving loans in connection with the transaction described in pro forma adjustment (T) above.</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loan notes plus accrued interest for the six months: The consideration under the Crownpeak Purchase Agreement</w:t>
      </w:r>
    </w:p>
    <w:p>
      <w:pPr>
        <w:spacing w:after="0" w:line="27" w:lineRule="exact"/>
        <w:rPr>
          <w:rFonts w:ascii="Times New Roman" w:cs="Times New Roman" w:eastAsia="Times New Roman" w:hAnsi="Times New Roman"/>
          <w:sz w:val="18"/>
          <w:szCs w:val="18"/>
          <w:b w:val="1"/>
          <w:bCs w:val="1"/>
          <w:color w:val="auto"/>
        </w:rPr>
      </w:pPr>
    </w:p>
    <w:p>
      <w:pPr>
        <w:ind w:left="10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 the following loan notes to be issued by the Company to the Crownpeak Seller: (i) a promissory note in the initial principal amount of $50,000,000, made up of a $20,000,000 tranche (the “First Loan Note” which is a 10% fixed rate loan note due 1 April 2027) and a $30,000,000 tranche (the “Second Loan Note” which is a 10% fixed rate secured loan note due 31 December 2027, and together with the First Loan Note, the “Loan Notes”).</w:t>
      </w:r>
    </w:p>
    <w:p>
      <w:pPr>
        <w:spacing w:after="0" w:line="80"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deferred tax liabilities for Crownpeak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issuance of ordinary shares as consideration for the acquisition of Crownpeak: the Company issued 11,127,780 of its ordinary shares to the Crownpeak Sellers. The pro forma adjustment assumes a price of $3.0488 per share.</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Crownpeak's historical equity as a result of acquisition accounting and other consolidation adjustments</w:t>
      </w:r>
    </w:p>
    <w:p>
      <w:pPr>
        <w:spacing w:after="0" w:line="200" w:lineRule="exact"/>
        <w:rPr>
          <w:sz w:val="20"/>
          <w:szCs w:val="20"/>
          <w:color w:val="auto"/>
        </w:rPr>
      </w:pPr>
    </w:p>
    <w:p>
      <w:pPr>
        <w:spacing w:after="0" w:line="2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5— Transaction Accounting Adjustments to the unaudited pro forma condensed combined statements of operations for the six months ended June 30, 2025</w:t>
      </w:r>
    </w:p>
    <w:p>
      <w:pPr>
        <w:spacing w:after="0" w:line="15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six months ended June 30, 2025 also include adjustments to reclassify Crownpeak’s and GroupBy's historical presentation of certain line items to the presentation of those line items by Rezolve.</w:t>
      </w:r>
    </w:p>
    <w:p>
      <w:pPr>
        <w:spacing w:after="0" w:line="284" w:lineRule="exact"/>
        <w:rPr>
          <w:sz w:val="20"/>
          <w:szCs w:val="20"/>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expense for GroupBy of based on the fair values assigned in the preliminary purchase price allocation to (i) technology intellectual property and (ii) customer contract and related relationships.</w:t>
      </w:r>
    </w:p>
    <w:p>
      <w:pPr>
        <w:spacing w:after="0" w:line="53"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GroupBy's historical interest expense for the period January 1, 2025 to March 25, 2025, as a result of the settlement of $12,300,000 of outstanding debt due to Western Alliance Bank (“WAB”). In connection with the closing of the GroupBy acquisition, the Company entered into a subscription letter with WAB pursuant to which the Company agreed to issue to WAB a number of its Ordinary Shares which is equal to $12,300,000. In consideration for the allotment of these Ordinary Shares, WAB irrevocably and unconditionally released and discharged the Company from the obligations owed by the Company to WAB.</w:t>
      </w:r>
    </w:p>
    <w:p>
      <w:pPr>
        <w:spacing w:after="0" w:line="75" w:lineRule="exact"/>
        <w:rPr>
          <w:rFonts w:ascii="Times New Roman" w:cs="Times New Roman" w:eastAsia="Times New Roman" w:hAnsi="Times New Roman"/>
          <w:sz w:val="18"/>
          <w:szCs w:val="18"/>
          <w:b w:val="1"/>
          <w:bCs w:val="1"/>
          <w:color w:val="auto"/>
        </w:rPr>
      </w:pPr>
    </w:p>
    <w:p>
      <w:pPr>
        <w:ind w:left="1020" w:right="300" w:hanging="503"/>
        <w:spacing w:after="0" w:line="266"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of all warrants, on acquisition date, to which GroupBy was a party which was one of the conditions for the closing of the GroupBy acquisition. The cancellation of all warrants are reflected in the pro forma condensed combined statement of operations for the year ended December 31, 2024. See pro forma adjustments (D), (F) and (G) above.</w:t>
      </w:r>
    </w:p>
    <w:p>
      <w:pPr>
        <w:spacing w:after="0" w:line="68" w:lineRule="exact"/>
        <w:rPr>
          <w:sz w:val="20"/>
          <w:szCs w:val="20"/>
          <w:color w:val="auto"/>
        </w:rPr>
      </w:pPr>
    </w:p>
    <w:p>
      <w:pPr>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and depreciation expense for Crownpeak of based on the fair values assigned in the preliminary purchase price allocation to (i) trade names and trademarks, (ii) developed technology, (ii) customer relationships and (iv) property, plant and equipment .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60" w:hanging="503"/>
        <w:spacing w:after="0" w:line="253"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Crownpeak's historical interest expense of $3.6 million for the six months ended July 31, 2025, as a result of amendments to the credit agreement: 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“Term Loans”) with an outstanding principal amount of the Term Loans of $103,679,099.79.</w:t>
      </w:r>
    </w:p>
    <w:p>
      <w:pPr>
        <w:spacing w:after="0" w:line="86" w:lineRule="exact"/>
        <w:rPr>
          <w:rFonts w:ascii="Times New Roman" w:cs="Times New Roman" w:eastAsia="Times New Roman" w:hAnsi="Times New Roman"/>
          <w:sz w:val="18"/>
          <w:szCs w:val="18"/>
          <w:b w:val="1"/>
          <w:bCs w:val="1"/>
          <w:color w:val="auto"/>
        </w:rPr>
      </w:pPr>
    </w:p>
    <w:p>
      <w:pPr>
        <w:ind w:left="1020" w:right="100" w:hanging="503"/>
        <w:spacing w:after="0" w:line="312" w:lineRule="auto"/>
        <w:tabs>
          <w:tab w:leader="none" w:pos="10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Adjustment to add interest expense of $2.5 million for interest payable on the First Loan Note (10% fixed rate per year loan note due 1 April 2027) and the Second Loan Note (10% fixed rate per year secured loan note due 31 December 2027). See pro forma adjustment (V) above.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ind w:left="503" w:hanging="503"/>
        <w:spacing w:after="0" w:line="256" w:lineRule="auto"/>
        <w:tabs>
          <w:tab w:leader="none" w:pos="50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GroupBy Acquisition and the Crownpeak Acquisition, assuming the shares were outstanding since January 1, 2024. As the GroupBy Acquisition and the Crownpeak Acquisition are both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and Crownpeak acquisitions have been outstanding for the entire period presented.</w:t>
      </w:r>
    </w:p>
    <w:p>
      <w:pPr>
        <w:spacing w:after="0" w:line="295"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120" w:right="41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1" w:name="page52"/>
    <w:bookmarkEnd w:id="5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2" w:name="page53"/>
    <w:bookmarkEnd w:id="52"/>
    <w:p>
      <w:pPr>
        <w:ind w:right="20"/>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4" w:name="page55"/>
    <w:bookmarkEnd w:id="54"/>
    <w:p>
      <w:pPr>
        <w:ind w:right="20"/>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of directors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6" w:name="page57"/>
    <w:bookmarkEnd w:id="56"/>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of directors may remove any of the two directors nominated by the Sponsor group and the independent director mutually determined by the nomination committee of the board of directors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7" w:name="page58"/>
    <w:bookmarkEnd w:id="57"/>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9" w:name="page60"/>
    <w:bookmarkEnd w:id="59"/>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0" w:name="page61"/>
    <w:bookmarkEnd w:id="60"/>
    <w:p>
      <w:pPr>
        <w:ind w:right="8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Holder of up to 11,127,780 Ordinary Shares issued in connection with the CrownPeak Acquisition.</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Ordinary Shares being offered by the Selling Holder are those previously issued to the Selling Holder.When we refer to the “Selling Holder” in this prospectus, we mean the person listed in the table and in the footnotes to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Ordinary Shares after the date of this prospectus such that registration rights shall apply to those securities.</w:t>
      </w:r>
    </w:p>
    <w:p>
      <w:pPr>
        <w:spacing w:after="0" w:line="181"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For additional information regarding the issuances of those shares of Common Stock, see “</w:t>
      </w:r>
      <w:r>
        <w:rPr>
          <w:rFonts w:ascii="Times New Roman" w:cs="Times New Roman" w:eastAsia="Times New Roman" w:hAnsi="Times New Roman"/>
          <w:sz w:val="18"/>
          <w:szCs w:val="18"/>
          <w:i w:val="1"/>
          <w:iCs w:val="1"/>
          <w:color w:val="auto"/>
        </w:rPr>
        <w:t>--Prospectus Summary--CrownPeak Acquisition</w:t>
      </w:r>
      <w:r>
        <w:rPr>
          <w:rFonts w:ascii="Times New Roman" w:cs="Times New Roman" w:eastAsia="Times New Roman" w:hAnsi="Times New Roman"/>
          <w:sz w:val="18"/>
          <w:szCs w:val="18"/>
          <w:color w:val="auto"/>
        </w:rPr>
        <w:t>”. We are registering the Ordinary Shares in order to permit the Selling Holder to offer the shares for resale from time to time. Except for the ownership of the Ordinary Shares, the Selling Holder has not had any material relationship with us within the past three years.</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Holder and other information regarding the beneficial ownership of the Ordinary Shares and is based on information provided to us by the Selling Holder. The second column lists the number of Ordinary Shares beneficially owned by the Selling Holder, based on its ownership of the Ordinary Shares, as of December 18, 2025. The third column lists the Ordinary Shares being offered by this prospectus by the Selling Holder. Unless otherwise indicated in the table below, the Selling Holder is not a broker-dealer or an affiliate of a broker-dealer.</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Holder, this prospectus generally covers the resale of the Ordinary Shares issued to the Selling Holder in the CrownPeak Acquisition described in the Purchase Agreement. The fourth column assumes the sale of all of the shares offered by the selling stockholders pursuant to this prospectus.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 will in fact sell any or all of such Ordinary Shares. In addition, the Selling Holder may sell, transfer or otherwise dispose of, at any time and from time to time, the Ordinary Shares in transactions exempt from the registration requirements of the Securities Act after the date of this prospectus. For purposes of this table, we have assumed that the Selling Holder will have sold all of the securities covered by this prospectus upon the completion of the offering.</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K2 Capital Advisors, L.P.</w:t>
            </w:r>
            <w:r>
              <w:rPr>
                <w:rFonts w:ascii="Times New Roman" w:cs="Times New Roman" w:eastAsia="Times New Roman" w:hAnsi="Times New Roman"/>
                <w:sz w:val="24"/>
                <w:szCs w:val="24"/>
                <w:color w:val="auto"/>
                <w:vertAlign w:val="superscript"/>
              </w:rPr>
              <w:t>(2)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11,127,780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11,127,780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84"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334,934,054 Ordinary Shares outstanding, which includes the sale of all securities offered hereby by that particular Selling Holder and does not assume the sale by any other Selling Holder.</w:t>
      </w:r>
    </w:p>
    <w:p>
      <w:pPr>
        <w:spacing w:after="0" w:line="68" w:lineRule="exact"/>
        <w:rPr>
          <w:sz w:val="20"/>
          <w:szCs w:val="20"/>
          <w:color w:val="auto"/>
        </w:rPr>
      </w:pPr>
    </w:p>
    <w:p>
      <w:pPr>
        <w:ind w:left="520" w:right="160" w:hanging="512"/>
        <w:spacing w:after="0" w:line="26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registered hereby consist of 11,127,780 Ordinary Shares issued in connection with the CrownPeak Acquisition. K2 Capital Advisors, L.P. is the beneficial owner of the Ordinary Shares, which are directly held by CrownPeak Technology Holdings, LLC, an indirect subsidiary. R. Neil Malik is a Managing member of K2 Capital Advisors, L.P., with the power to vote or dispose of the Ordinary Shares registered hereby. The address of the Selling Holder is: 1209 Orange Street, City of Wilmington, County of New Castle, Delaware, 19801.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 or their permitted transferees of up to 11,127,780 Ordinary Shares issued to the Selling Holder in connection with the CrownPeak Acquisition.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Selling Holder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the Selling Holder;</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Holder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Holder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 Selling Holder that is an entity may elect to make an in-kind distribution of shares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pursuant to a distribution pursuant to the registration statement of which this prospectus forms a part.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Holder may arrange for other brokers-dealers to participate in sales. Broker-dealers may receive commissions or discounts from the Selling 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Holder may enter into hedging transactions with broker-dealers or other financial institutions, which may in turn engage in short sales of the securities in the course of hedging the positions they assume. The Selling Holder may also sell securities short and deliver these securities to close out their short positions, or loan or pledge the securities to broker-dealers that in turn may sell these securities. The Selling 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Selling 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commissions or discounts under the Securities Act. Each Selling Holder has informed the Company that it does not have any written or oral agreement or understanding, directly or indirectly, with any person to distribute the securities.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Holder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Holder will be subject to applicable provisions of the Exchange Act and the rules and regulations thereunder, including Regulation M, which may limit the timing of purchases and sales of the shares of Common Stock by the Selling Holder or any other person. We will make copies of this prospectus available to the Selling Holder and have informed them of the need to deliver a copy of this prospectus to each purchaser at or prior to the time of the sale (including by compliance with Rule 172 under the Securities Act).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1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940" w:type="dxa"/>
            <w:vAlign w:val="bottom"/>
            <w:shd w:val="clear" w:color="auto" w:fill="CFF0FC"/>
          </w:tcPr>
          <w:p>
            <w:pPr>
              <w:jc w:val="right"/>
              <w:ind w:right="973"/>
              <w:spacing w:after="0"/>
              <w:rPr>
                <w:sz w:val="20"/>
                <w:szCs w:val="20"/>
                <w:color w:val="auto"/>
              </w:rPr>
            </w:pPr>
            <w:r>
              <w:rPr>
                <w:rFonts w:ascii="Times New Roman" w:cs="Times New Roman" w:eastAsia="Times New Roman" w:hAnsi="Times New Roman"/>
                <w:sz w:val="18"/>
                <w:szCs w:val="18"/>
                <w:color w:val="auto"/>
              </w:rPr>
              <w:t>$  3,711.25</w:t>
            </w:r>
          </w:p>
        </w:tc>
        <w:tc>
          <w:tcPr>
            <w:tcW w:w="220" w:type="dxa"/>
            <w:vAlign w:val="bottom"/>
            <w:shd w:val="clear" w:color="auto" w:fill="CFF0FC"/>
          </w:tcPr>
          <w:p>
            <w:pPr>
              <w:spacing w:after="0"/>
              <w:rPr>
                <w:sz w:val="18"/>
                <w:szCs w:val="18"/>
                <w:color w:val="auto"/>
              </w:rPr>
            </w:pPr>
          </w:p>
        </w:tc>
      </w:tr>
      <w:tr>
        <w:trPr>
          <w:trHeight w:val="216"/>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9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tcPr>
          <w:p>
            <w:pPr>
              <w:spacing w:after="0"/>
              <w:rPr>
                <w:sz w:val="18"/>
                <w:szCs w:val="18"/>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94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rPr>
              <w:t>32,500.00</w:t>
            </w:r>
          </w:p>
        </w:tc>
        <w:tc>
          <w:tcPr>
            <w:tcW w:w="220" w:type="dxa"/>
            <w:vAlign w:val="bottom"/>
          </w:tcPr>
          <w:p>
            <w:pPr>
              <w:spacing w:after="0"/>
              <w:rPr>
                <w:sz w:val="18"/>
                <w:szCs w:val="18"/>
                <w:color w:val="auto"/>
              </w:rPr>
            </w:pPr>
          </w:p>
        </w:tc>
      </w:tr>
      <w:tr>
        <w:trPr>
          <w:trHeight w:val="216"/>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9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8"/>
                <w:szCs w:val="18"/>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194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rPr>
              <w:t>4,532.00</w:t>
            </w:r>
          </w:p>
        </w:tc>
        <w:tc>
          <w:tcPr>
            <w:tcW w:w="220" w:type="dxa"/>
            <w:vAlign w:val="bottom"/>
          </w:tcPr>
          <w:p>
            <w:pPr>
              <w:spacing w:after="0"/>
              <w:rPr>
                <w:sz w:val="18"/>
                <w:szCs w:val="18"/>
                <w:color w:val="auto"/>
              </w:rPr>
            </w:pPr>
          </w:p>
        </w:tc>
      </w:tr>
      <w:tr>
        <w:trPr>
          <w:trHeight w:val="216"/>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100,743.25</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members of its board of directors,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from Rezolve's Annual Report on Form 20-F for the year ended December 31, 2024,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Group of Companies, are incorporated by reference herein from Rezolve's Annual Report on Form 20-F for the year ended December 31, 2024, have been audited by MNP, LLP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CrownPeak Intermediate Holdings, Inc. and Subsidiaries as of January 31, 2025 and 2024 and for the years then ended have been audited by SingerLewak LLP, an independent auditor, as stated in their report thereon which report expresses an unqualified opinion and includes an explanatory paragraph relating to substantial doubt about the Company’s ability to continue as a going concern, and is based in part on the reports of ba audit gmbh Wirtschaftsprüfungsgesellschaft, an independent auditor, and incorporated by reference in this Prospectus and Registration Statement in reliance upon such reports and upon the authority of such firms as experts in accounting and auditing.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81">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7"/>
        </w:numPr>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auto"/>
          </w:rPr>
          <w:t xml:space="preserve">our Report of Foreign Private Issuer on Form 6-K filed with the SEC on </w:t>
        </w:r>
        <w:r>
          <w:rPr>
            <w:rFonts w:ascii="Times New Roman" w:cs="Times New Roman" w:eastAsia="Times New Roman" w:hAnsi="Times New Roman"/>
            <w:sz w:val="18"/>
            <w:szCs w:val="18"/>
            <w:u w:val="single" w:color="auto"/>
            <w:color w:val="0000FF"/>
          </w:rPr>
          <w:t>October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10, 2025</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22,</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FF"/>
          </w:rPr>
          <w:t xml:space="preserve">, </w:t>
        </w:r>
      </w:hyperlink>
      <w:hyperlink r:id="rId183">
        <w:r>
          <w:rPr>
            <w:rFonts w:ascii="Times New Roman" w:cs="Times New Roman" w:eastAsia="Times New Roman" w:hAnsi="Times New Roman"/>
            <w:sz w:val="18"/>
            <w:szCs w:val="18"/>
            <w:u w:val="single" w:color="auto"/>
            <w:color w:val="0000FF"/>
          </w:rPr>
          <w:t>December 1, 2025</w:t>
        </w:r>
      </w:hyperlink>
      <w:hyperlink r:id="rId182">
        <w:r>
          <w:rPr>
            <w:rFonts w:ascii="Times New Roman" w:cs="Times New Roman" w:eastAsia="Times New Roman" w:hAnsi="Times New Roman"/>
            <w:sz w:val="18"/>
            <w:szCs w:val="18"/>
            <w:color w:val="0000FF"/>
          </w:rPr>
          <w:t xml:space="preserve">, </w:t>
        </w:r>
      </w:hyperlink>
      <w:hyperlink r:id="rId184">
        <w:r>
          <w:rPr>
            <w:rFonts w:ascii="Times New Roman" w:cs="Times New Roman" w:eastAsia="Times New Roman" w:hAnsi="Times New Roman"/>
            <w:sz w:val="18"/>
            <w:szCs w:val="18"/>
            <w:u w:val="single" w:color="auto"/>
            <w:color w:val="0000FF"/>
          </w:rPr>
          <w:t xml:space="preserve">December 5, 2025 </w:t>
        </w:r>
      </w:hyperlink>
      <w:hyperlink r:id="rId18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83">
        <w:r>
          <w:rPr>
            <w:rFonts w:ascii="Times New Roman" w:cs="Times New Roman" w:eastAsia="Times New Roman" w:hAnsi="Times New Roman"/>
            <w:sz w:val="18"/>
            <w:szCs w:val="18"/>
            <w:u w:val="single" w:color="auto"/>
            <w:color w:val="0000FF"/>
          </w:rPr>
          <w:t>December 15, 2025</w:t>
        </w:r>
      </w:hyperlink>
      <w:hyperlink r:id="rId182">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FF"/>
        </w:rPr>
      </w:pPr>
    </w:p>
    <w:p>
      <w:pPr>
        <w:ind w:left="1020" w:right="20" w:hanging="503"/>
        <w:spacing w:after="0" w:line="25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which was furnished to the SEC on December 1, 2025, which includes respectively as exhibits 99.1 and 99.2 (i) the Audited Consolidated Financial Statements of CrownPeak Intermediate Holdings, Inc. and subsidiaries as of and for the years ended January 31, 2025 and 2024 and the accompanying notes thereto, and (ii) the Unaudited Condensed Consolidated Financial Statements of CrownPeak Intermediate Holdings, Inc. and subsidiaries as of and for the six months ended July 31, 2025 and 2024 the unaudited condensed consolidated interim financial statements as of September 30, 2025 and for the nine months ended September 30, 2025 and 2024 and the accompanying notes thereto;</w:t>
      </w:r>
    </w:p>
    <w:p>
      <w:pPr>
        <w:spacing w:after="0" w:line="79"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which was furnished to the SEC on October 1, 2025, which includes, respectively, as exhibits 99.2 and 99.3 (i) the section captioned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and (ii) the Unaudited condensed interim combined consolidated financial statements of GroupBy Group of Companies as of, and for the six months ended June 30, 2025 and 2024 ;and</w:t>
      </w:r>
    </w:p>
    <w:p>
      <w:pPr>
        <w:spacing w:after="0" w:line="71"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85">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378"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200" w:lineRule="exact"/>
        <w:rPr>
          <w:rFonts w:ascii="Times New Roman" w:cs="Times New Roman" w:eastAsia="Times New Roman" w:hAnsi="Times New Roman"/>
          <w:sz w:val="18"/>
          <w:szCs w:val="18"/>
          <w:color w:val="0000FF"/>
        </w:rPr>
      </w:pPr>
    </w:p>
    <w:p>
      <w:pPr>
        <w:spacing w:after="0" w:line="331"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19"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10000" w:type="dxa"/>
            <w:vAlign w:val="bottom"/>
            <w:tcBorders>
              <w:top w:val="single" w:sz="8" w:color="auto"/>
              <w:right w:val="single" w:sz="8" w:color="auto"/>
            </w:tcBorders>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14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20" w:type="dxa"/>
            <w:vAlign w:val="bottom"/>
            <w:tcBorders>
              <w:bottom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280" w:type="dxa"/>
            <w:vAlign w:val="bottom"/>
            <w:tcBorders>
              <w:right w:val="single" w:sz="8" w:color="auto"/>
            </w:tcBorders>
            <w:gridSpan w:val="6"/>
          </w:tcPr>
          <w:p>
            <w:pPr>
              <w:spacing w:after="0"/>
              <w:rPr>
                <w:sz w:val="13"/>
                <w:szCs w:val="13"/>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700" w:type="dxa"/>
            <w:vAlign w:val="bottom"/>
            <w:tcBorders>
              <w:right w:val="single" w:sz="8" w:color="auto"/>
            </w:tcBorders>
            <w:gridSpan w:val="17"/>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66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Rezolve and Rezolve Merger Sub (incorporated by reference to Exhibit 2.2 of Rezolve AI Limited’s Registration Statement on Form F-</w:t>
              </w:r>
            </w:hyperlink>
          </w:p>
        </w:tc>
        <w:tc>
          <w:tcPr>
            <w:tcW w:w="220" w:type="dxa"/>
            <w:vAlign w:val="bottom"/>
            <w:tcBorders>
              <w:right w:val="single" w:sz="8" w:color="auto"/>
            </w:tcBorders>
            <w:gridSpan w:val="4"/>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340" w:type="dxa"/>
            <w:vAlign w:val="bottom"/>
            <w:tcBorders>
              <w:right w:val="single" w:sz="8" w:color="auto"/>
            </w:tcBorders>
            <w:gridSpan w:val="7"/>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38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1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740" w:type="dxa"/>
            <w:vAlign w:val="bottom"/>
            <w:tcBorders>
              <w:bottom w:val="single" w:sz="8" w:color="A0A0A0"/>
            </w:tcBorders>
          </w:tcPr>
          <w:p>
            <w:pPr>
              <w:spacing w:after="0"/>
              <w:rPr>
                <w:sz w:val="18"/>
                <w:szCs w:val="18"/>
                <w:color w:val="auto"/>
              </w:rPr>
            </w:pPr>
          </w:p>
        </w:tc>
        <w:tc>
          <w:tcPr>
            <w:tcW w:w="1240" w:type="dxa"/>
            <w:vAlign w:val="bottom"/>
            <w:tcBorders>
              <w:bottom w:val="single" w:sz="8" w:color="A0A0A0"/>
            </w:tcBorders>
          </w:tcPr>
          <w:p>
            <w:pPr>
              <w:spacing w:after="0"/>
              <w:rPr>
                <w:sz w:val="18"/>
                <w:szCs w:val="18"/>
                <w:color w:val="auto"/>
              </w:rPr>
            </w:pPr>
          </w:p>
        </w:tc>
        <w:tc>
          <w:tcPr>
            <w:tcW w:w="18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340" w:type="dxa"/>
            <w:vAlign w:val="bottom"/>
            <w:tcBorders>
              <w:bottom w:val="single" w:sz="8" w:color="A0A0A0"/>
            </w:tcBorders>
          </w:tcPr>
          <w:p>
            <w:pPr>
              <w:spacing w:after="0"/>
              <w:rPr>
                <w:sz w:val="18"/>
                <w:szCs w:val="18"/>
                <w:color w:val="auto"/>
              </w:rPr>
            </w:pPr>
          </w:p>
        </w:tc>
        <w:tc>
          <w:tcPr>
            <w:tcW w:w="1040" w:type="dxa"/>
            <w:vAlign w:val="bottom"/>
            <w:tcBorders>
              <w:bottom w:val="single" w:sz="8" w:color="A0A0A0"/>
            </w:tcBorders>
          </w:tcPr>
          <w:p>
            <w:pPr>
              <w:spacing w:after="0"/>
              <w:rPr>
                <w:sz w:val="18"/>
                <w:szCs w:val="18"/>
                <w:color w:val="auto"/>
              </w:rPr>
            </w:pPr>
          </w:p>
        </w:tc>
        <w:tc>
          <w:tcPr>
            <w:tcW w:w="1000" w:type="dxa"/>
            <w:vAlign w:val="bottom"/>
            <w:tcBorders>
              <w:bottom w:val="single" w:sz="8" w:color="A0A0A0"/>
            </w:tcBorders>
          </w:tcPr>
          <w:p>
            <w:pPr>
              <w:spacing w:after="0"/>
              <w:rPr>
                <w:sz w:val="18"/>
                <w:szCs w:val="18"/>
                <w:color w:val="auto"/>
              </w:rPr>
            </w:pPr>
          </w:p>
        </w:tc>
        <w:tc>
          <w:tcPr>
            <w:tcW w:w="1140" w:type="dxa"/>
            <w:vAlign w:val="bottom"/>
            <w:tcBorders>
              <w:bottom w:val="single" w:sz="8" w:color="A0A0A0"/>
            </w:tcBorders>
          </w:tcPr>
          <w:p>
            <w:pPr>
              <w:spacing w:after="0"/>
              <w:rPr>
                <w:sz w:val="18"/>
                <w:szCs w:val="18"/>
                <w:color w:val="auto"/>
              </w:rPr>
            </w:pPr>
          </w:p>
        </w:tc>
        <w:tc>
          <w:tcPr>
            <w:tcW w:w="4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580" w:type="dxa"/>
            <w:vAlign w:val="bottom"/>
            <w:tcBorders>
              <w:bottom w:val="single" w:sz="8" w:color="A0A0A0"/>
            </w:tcBorders>
          </w:tcPr>
          <w:p>
            <w:pPr>
              <w:spacing w:after="0"/>
              <w:rPr>
                <w:sz w:val="18"/>
                <w:szCs w:val="18"/>
                <w:color w:val="auto"/>
              </w:rPr>
            </w:pPr>
          </w:p>
        </w:tc>
        <w:tc>
          <w:tcPr>
            <w:tcW w:w="560" w:type="dxa"/>
            <w:vAlign w:val="bottom"/>
            <w:tcBorders>
              <w:bottom w:val="single" w:sz="8" w:color="A0A0A0"/>
            </w:tcBorders>
          </w:tcPr>
          <w:p>
            <w:pPr>
              <w:spacing w:after="0"/>
              <w:rPr>
                <w:sz w:val="18"/>
                <w:szCs w:val="18"/>
                <w:color w:val="auto"/>
              </w:rPr>
            </w:pPr>
          </w:p>
        </w:tc>
        <w:tc>
          <w:tcPr>
            <w:tcW w:w="140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988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Trust Company, N.A. (incorporated by reference to Exhibit 4.3 of Rezolve AI Limited’s Shell Company Report on Form 20-F, filed with</w:t>
              </w:r>
            </w:hyperlink>
          </w:p>
        </w:tc>
        <w:tc>
          <w:tcPr>
            <w:tcW w:w="120" w:type="dxa"/>
            <w:vAlign w:val="bottom"/>
            <w:tcBorders>
              <w:right w:val="single" w:sz="8" w:color="auto"/>
            </w:tcBorders>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4"/>
                <w:szCs w:val="14"/>
                <w:color w:val="auto"/>
              </w:rPr>
            </w:pPr>
          </w:p>
        </w:tc>
        <w:tc>
          <w:tcPr>
            <w:tcW w:w="92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800" w:type="dxa"/>
            <w:vAlign w:val="bottom"/>
            <w:tcBorders>
              <w:right w:val="single" w:sz="8" w:color="auto"/>
            </w:tcBorders>
            <w:gridSpan w:val="2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560" w:type="dxa"/>
            <w:vAlign w:val="bottom"/>
            <w:tcBorders>
              <w:right w:val="single" w:sz="8" w:color="auto"/>
            </w:tcBorders>
            <w:gridSpan w:val="1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96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360" w:type="dxa"/>
            <w:vAlign w:val="bottom"/>
            <w:tcBorders>
              <w:right w:val="single" w:sz="8" w:color="auto"/>
            </w:tcBorders>
            <w:gridSpan w:val="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4"/>
                <w:szCs w:val="14"/>
                <w:color w:val="auto"/>
              </w:rPr>
            </w:pPr>
          </w:p>
        </w:tc>
        <w:tc>
          <w:tcPr>
            <w:tcW w:w="976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24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Opinion of Taylor Wessing LLP.</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amended and restated on December 18, 2023 and December 29, 2023 (incorporated by reference to Exhibit 10.17 of Rezolve AI</w:t>
              </w:r>
            </w:hyperlink>
          </w:p>
        </w:tc>
        <w:tc>
          <w:tcPr>
            <w:tcW w:w="720" w:type="dxa"/>
            <w:vAlign w:val="bottom"/>
            <w:tcBorders>
              <w:right w:val="single" w:sz="8" w:color="auto"/>
            </w:tcBorders>
            <w:gridSpan w:val="18"/>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Limited’s Registration Statement on Form F-4, Amendment No. 6, filed with the SEC on June 11,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Binding Term Sheet, dated August 30, 2021,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reference to Exhibit 10.18 of Rezolve AI Limited’s Registration Statement on Form F-4, Amendment No. 5, filed with the SEC on May</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20,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89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Amendment to Binding Term Sheet, dated May 24, 2023, by and among Rezolve, Radio Group and the other parties thereto</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(incorporated by reference to Exhibit 10.19 of Rezolve AI Limited’s Registration Statement on Form F-4, Amendment No. 5, filed with</w:t>
              </w:r>
            </w:hyperlink>
          </w:p>
        </w:tc>
        <w:tc>
          <w:tcPr>
            <w:tcW w:w="180" w:type="dxa"/>
            <w:vAlign w:val="bottom"/>
            <w:tcBorders>
              <w:right w:val="single" w:sz="8" w:color="auto"/>
            </w:tcBorders>
            <w:gridSpan w:val="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94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Agreement in Context of the Binding Term Sheet, dated May 24, 2023, by and among Rezolve, Radio Group and the other parties</w:t>
              </w:r>
            </w:hyperlink>
          </w:p>
        </w:tc>
        <w:tc>
          <w:tcPr>
            <w:tcW w:w="580" w:type="dxa"/>
            <w:vAlign w:val="bottom"/>
            <w:tcBorders>
              <w:right w:val="single" w:sz="8" w:color="auto"/>
            </w:tcBorders>
            <w:gridSpan w:val="14"/>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thereto (incorporated by reference to Exhibit 10.20 of Rezolve AI Limited’s Registration Statement on Form F-4, Amendment No. 6,</w:t>
              </w:r>
            </w:hyperlink>
          </w:p>
        </w:tc>
        <w:tc>
          <w:tcPr>
            <w:tcW w:w="380" w:type="dxa"/>
            <w:vAlign w:val="bottom"/>
            <w:tcBorders>
              <w:right w:val="single" w:sz="8" w:color="auto"/>
            </w:tcBorders>
            <w:gridSpan w:val="9"/>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filed with the SEC on June 11,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reference to Exhibit 10.21 of Rezolve AI Limited’s Registration Statement on Form F-4, Amendment No. 6, filed with the SEC on June</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11,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93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Contractual Relationship, dated April 30, 2023 (incorporated by reference to Exhibit 10.22 of Rezolve AI Limited’s Registration</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Statement on Form F-4, Amendment No. 5, filed with the SEC on May 20,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95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Power of Disposal over ANY Lifestyle Marketing GmbH, dated November 17, 2023 (incorporated by reference to Exhibit 10.23 of</w:t>
              </w:r>
            </w:hyperlink>
          </w:p>
        </w:tc>
        <w:tc>
          <w:tcPr>
            <w:tcW w:w="500" w:type="dxa"/>
            <w:vAlign w:val="bottom"/>
            <w:tcBorders>
              <w:right w:val="single" w:sz="8" w:color="auto"/>
            </w:tcBorders>
            <w:gridSpan w:val="1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Loan Agreement, dated September 28, 2023,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reference to Exhibit 10.24 of 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1140" w:type="dxa"/>
            <w:vAlign w:val="bottom"/>
          </w:tcPr>
          <w:p>
            <w:pPr>
              <w:spacing w:after="0"/>
              <w:rPr>
                <w:sz w:val="24"/>
                <w:szCs w:val="24"/>
                <w:color w:val="auto"/>
              </w:rPr>
            </w:pPr>
          </w:p>
        </w:tc>
        <w:tc>
          <w:tcPr>
            <w:tcW w:w="486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207"/>
        </w:trPr>
        <w:tc>
          <w:tcPr>
            <w:tcW w:w="11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7"/>
                <w:szCs w:val="17"/>
                <w:color w:val="auto"/>
              </w:rPr>
            </w:pPr>
          </w:p>
        </w:tc>
        <w:tc>
          <w:tcPr>
            <w:tcW w:w="9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420" w:type="dxa"/>
            <w:vAlign w:val="bottom"/>
            <w:tcBorders>
              <w:right w:val="single" w:sz="8" w:color="auto"/>
            </w:tcBorders>
            <w:gridSpan w:val="12"/>
          </w:tcPr>
          <w:p>
            <w:pPr>
              <w:spacing w:after="0"/>
              <w:rPr>
                <w:sz w:val="17"/>
                <w:szCs w:val="17"/>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c>
          <w:tcPr>
            <w:tcW w:w="220" w:type="dxa"/>
            <w:vAlign w:val="bottom"/>
            <w:tcBorders>
              <w:right w:val="single" w:sz="8" w:color="auto"/>
            </w:tcBorders>
            <w:gridSpan w:val="5"/>
          </w:tcPr>
          <w:p>
            <w:pPr>
              <w:spacing w:after="0"/>
              <w:rPr>
                <w:sz w:val="17"/>
                <w:szCs w:val="17"/>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8-K, filed with the SEC on February 9, 2024).</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4"/>
                <w:szCs w:val="14"/>
                <w:color w:val="auto"/>
              </w:rPr>
            </w:pPr>
          </w:p>
        </w:tc>
        <w:tc>
          <w:tcPr>
            <w:tcW w:w="988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Second Amended and Restated Standby Equity Purchase Agreement, dated as of September 6, 2024, by and between YA II PN, Ltd. and</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c>
          <w:tcPr>
            <w:tcW w:w="260" w:type="dxa"/>
            <w:vAlign w:val="bottom"/>
            <w:tcBorders>
              <w:right w:val="single" w:sz="8" w:color="auto"/>
            </w:tcBorders>
            <w:gridSpan w:val="6"/>
          </w:tcPr>
          <w:p>
            <w:pPr>
              <w:spacing w:after="0"/>
              <w:rPr>
                <w:sz w:val="17"/>
                <w:szCs w:val="17"/>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84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4"/>
                <w:szCs w:val="14"/>
                <w:color w:val="auto"/>
              </w:rPr>
            </w:pPr>
          </w:p>
        </w:tc>
        <w:tc>
          <w:tcPr>
            <w:tcW w:w="970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300" w:type="dxa"/>
            <w:vAlign w:val="bottom"/>
            <w:tcBorders>
              <w:right w:val="single" w:sz="8" w:color="auto"/>
            </w:tcBorders>
            <w:gridSpan w:val="8"/>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4"/>
                <w:szCs w:val="14"/>
                <w:color w:val="auto"/>
              </w:rPr>
            </w:pPr>
          </w:p>
        </w:tc>
        <w:tc>
          <w:tcPr>
            <w:tcW w:w="978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Exhibit 99.1 of Rezolve's Report on Form 6-K, filed December 5, 2024).</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4"/>
                <w:szCs w:val="14"/>
                <w:color w:val="auto"/>
              </w:rPr>
            </w:pPr>
          </w:p>
        </w:tc>
        <w:tc>
          <w:tcPr>
            <w:tcW w:w="972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280" w:type="dxa"/>
            <w:vAlign w:val="bottom"/>
            <w:tcBorders>
              <w:right w:val="single" w:sz="8" w:color="auto"/>
            </w:tcBorders>
            <w:gridSpan w:val="7"/>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4"/>
                <w:szCs w:val="14"/>
                <w:color w:val="auto"/>
              </w:rPr>
            </w:pPr>
          </w:p>
        </w:tc>
        <w:tc>
          <w:tcPr>
            <w:tcW w:w="10000" w:type="dxa"/>
            <w:vAlign w:val="bottom"/>
            <w:tcBorders>
              <w:right w:val="single" w:sz="8" w:color="auto"/>
            </w:tcBorders>
            <w:gridSpan w:val="38"/>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4"/>
                <w:szCs w:val="14"/>
                <w:color w:val="auto"/>
              </w:rPr>
            </w:pPr>
          </w:p>
        </w:tc>
        <w:tc>
          <w:tcPr>
            <w:tcW w:w="988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Form of Securities Purchase Agreement (incorporated by reference to Exhibit 10.1 of Rezolve's Report on Form 6-K, filed December 23,</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84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4"/>
                <w:szCs w:val="14"/>
                <w:color w:val="auto"/>
              </w:rPr>
            </w:pPr>
          </w:p>
        </w:tc>
        <w:tc>
          <w:tcPr>
            <w:tcW w:w="950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500" w:type="dxa"/>
            <w:vAlign w:val="bottom"/>
            <w:tcBorders>
              <w:right w:val="single" w:sz="8" w:color="auto"/>
            </w:tcBorders>
            <w:gridSpan w:val="14"/>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4"/>
                <w:szCs w:val="14"/>
                <w:color w:val="auto"/>
              </w:rPr>
            </w:pPr>
          </w:p>
        </w:tc>
        <w:tc>
          <w:tcPr>
            <w:tcW w:w="980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Purchase Agreement, dated February 4, 2025, by and between Rezolve AI Limited and DBLP Sea Cow Ltd. (incorporated by reference</w:t>
              </w:r>
            </w:hyperlink>
          </w:p>
        </w:tc>
        <w:tc>
          <w:tcPr>
            <w:tcW w:w="200" w:type="dxa"/>
            <w:vAlign w:val="bottom"/>
            <w:tcBorders>
              <w:right w:val="single" w:sz="8" w:color="auto"/>
            </w:tcBorders>
            <w:gridSpan w:val="4"/>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to Exhibit 10.1 of Rezolve's Report on Form 6-K, filed February 7, 2025).</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4"/>
                <w:szCs w:val="14"/>
                <w:color w:val="auto"/>
              </w:rPr>
            </w:pPr>
          </w:p>
        </w:tc>
        <w:tc>
          <w:tcPr>
            <w:tcW w:w="984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160" w:type="dxa"/>
            <w:vAlign w:val="bottom"/>
            <w:tcBorders>
              <w:right w:val="single" w:sz="8" w:color="auto"/>
            </w:tcBorders>
            <w:gridSpan w:val="3"/>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14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filed February 11, 2025).</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4"/>
                <w:szCs w:val="14"/>
                <w:color w:val="auto"/>
              </w:rPr>
            </w:pPr>
          </w:p>
        </w:tc>
        <w:tc>
          <w:tcPr>
            <w:tcW w:w="948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5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Schedule of Buyers attached thereto (incorporated by reference to Exhibit 10.1 of Rezolve's Report on Form 6-K, filed February 25,</w:t>
              </w:r>
            </w:hyperlink>
          </w:p>
        </w:tc>
        <w:tc>
          <w:tcPr>
            <w:tcW w:w="460" w:type="dxa"/>
            <w:vAlign w:val="bottom"/>
            <w:tcBorders>
              <w:right w:val="single" w:sz="8" w:color="auto"/>
            </w:tcBorders>
            <w:gridSpan w:val="13"/>
          </w:tcPr>
          <w:p>
            <w:pPr>
              <w:spacing w:after="0"/>
              <w:rPr>
                <w:sz w:val="17"/>
                <w:szCs w:val="17"/>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84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4"/>
                <w:szCs w:val="14"/>
                <w:color w:val="auto"/>
              </w:rPr>
            </w:pPr>
          </w:p>
        </w:tc>
        <w:tc>
          <w:tcPr>
            <w:tcW w:w="10000" w:type="dxa"/>
            <w:vAlign w:val="bottom"/>
            <w:tcBorders>
              <w:right w:val="single" w:sz="8" w:color="auto"/>
            </w:tcBorders>
            <w:gridSpan w:val="38"/>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540" w:type="dxa"/>
            <w:vAlign w:val="bottom"/>
            <w:tcBorders>
              <w:right w:val="single" w:sz="8" w:color="auto"/>
            </w:tcBorders>
            <w:gridSpan w:val="16"/>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w:t>
              </w:r>
            </w:hyperlink>
          </w:p>
        </w:tc>
        <w:tc>
          <w:tcPr>
            <w:tcW w:w="380" w:type="dxa"/>
            <w:vAlign w:val="bottom"/>
            <w:tcBorders>
              <w:right w:val="single" w:sz="8" w:color="auto"/>
            </w:tcBorders>
            <w:gridSpan w:val="10"/>
          </w:tcPr>
          <w:p>
            <w:pPr>
              <w:spacing w:after="0"/>
              <w:rPr>
                <w:sz w:val="17"/>
                <w:szCs w:val="17"/>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84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4"/>
                <w:szCs w:val="14"/>
                <w:color w:val="auto"/>
              </w:rPr>
            </w:pPr>
          </w:p>
        </w:tc>
        <w:tc>
          <w:tcPr>
            <w:tcW w:w="948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Securities Purchase Agreement (incorporated by reference to Exhibit 10.1 of Rezolve's Report on Form 6-K, filed July 25,</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84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4"/>
                <w:szCs w:val="14"/>
                <w:color w:val="auto"/>
              </w:rPr>
            </w:pPr>
          </w:p>
        </w:tc>
        <w:tc>
          <w:tcPr>
            <w:tcW w:w="93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Placement Agent Agreement, dated July 24, 2025, between Rezolve AI plc and A.G.P/Alliance Global Partners (incorporated by</w:t>
              </w:r>
            </w:hyperlink>
          </w:p>
        </w:tc>
        <w:tc>
          <w:tcPr>
            <w:tcW w:w="680" w:type="dxa"/>
            <w:vAlign w:val="bottom"/>
            <w:tcBorders>
              <w:right w:val="single" w:sz="8" w:color="auto"/>
            </w:tcBorders>
            <w:gridSpan w:val="17"/>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reference to Exhibit 10.2 of Rezolve's Report on Form 6-K, filed July 25, 2025).</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4"/>
                <w:szCs w:val="14"/>
                <w:color w:val="auto"/>
              </w:rPr>
            </w:pPr>
          </w:p>
        </w:tc>
        <w:tc>
          <w:tcPr>
            <w:tcW w:w="948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Form of Registration Rights Agreement (incorporated by reference to Exhibit 10.3 of Rezolve's Report on Form 6-K, filed July 25,</w:t>
              </w:r>
            </w:hyperlink>
          </w:p>
        </w:tc>
        <w:tc>
          <w:tcPr>
            <w:tcW w:w="52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84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4"/>
                <w:szCs w:val="14"/>
                <w:color w:val="auto"/>
              </w:rPr>
            </w:pPr>
          </w:p>
        </w:tc>
        <w:tc>
          <w:tcPr>
            <w:tcW w:w="96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Form of Securities Purchase Agreement (incorporated by reference to Exhibit 10.1 of Rezolve's Report on Form 6-K, filed September</w:t>
              </w:r>
            </w:hyperlink>
          </w:p>
        </w:tc>
        <w:tc>
          <w:tcPr>
            <w:tcW w:w="32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80" w:type="dxa"/>
            <w:vAlign w:val="bottom"/>
            <w:gridSpan w:val="4"/>
          </w:tcPr>
          <w:p>
            <w:pPr>
              <w:ind w:left="100"/>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4"/>
                <w:szCs w:val="14"/>
                <w:color w:val="auto"/>
              </w:rPr>
            </w:pPr>
          </w:p>
        </w:tc>
        <w:tc>
          <w:tcPr>
            <w:tcW w:w="978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Placement Agent Agreement, dated September 24, 2025, between Rezolve AI plc and A.G.P/Alliance Global Partners (incorporated by</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reference to Exhibit 10.2 of Rezolve's Report on Form 6-K, filed September 26, 2025).</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4"/>
                <w:szCs w:val="14"/>
                <w:color w:val="auto"/>
              </w:rPr>
            </w:pPr>
          </w:p>
        </w:tc>
        <w:tc>
          <w:tcPr>
            <w:tcW w:w="96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of Registration Rights Agreement (incorporated by reference to Exhibit 10.3 of Rezolve's Report on Form 6-K, filed September</w:t>
              </w:r>
            </w:hyperlink>
          </w:p>
        </w:tc>
        <w:tc>
          <w:tcPr>
            <w:tcW w:w="32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80" w:type="dxa"/>
            <w:vAlign w:val="bottom"/>
            <w:gridSpan w:val="4"/>
          </w:tcPr>
          <w:p>
            <w:pPr>
              <w:ind w:left="100"/>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4"/>
                <w:szCs w:val="14"/>
                <w:color w:val="auto"/>
              </w:rPr>
            </w:pPr>
          </w:p>
        </w:tc>
        <w:tc>
          <w:tcPr>
            <w:tcW w:w="922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Sale and Purchase Agreement, dated December 1, 2025, between Rezolve AI plc and CrownPeak Intermmediate Holdings, Inc.</w:t>
              </w:r>
            </w:hyperlink>
          </w:p>
        </w:tc>
        <w:tc>
          <w:tcPr>
            <w:tcW w:w="780" w:type="dxa"/>
            <w:vAlign w:val="bottom"/>
            <w:tcBorders>
              <w:right w:val="single" w:sz="8" w:color="auto"/>
            </w:tcBorders>
            <w:gridSpan w:val="20"/>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(incorporated by reference to Exhibit 10.1 of Rezolve's Report on Form 6-K, filed December 1, 2025).</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4"/>
                <w:szCs w:val="14"/>
                <w:color w:val="auto"/>
              </w:rPr>
            </w:pPr>
          </w:p>
        </w:tc>
        <w:tc>
          <w:tcPr>
            <w:tcW w:w="924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Secured Promissory Note, dated December 1, 2025, by and between Rezolve AI plc and CrownPeak Technology Holdings, Inc.</w:t>
              </w:r>
            </w:hyperlink>
          </w:p>
        </w:tc>
        <w:tc>
          <w:tcPr>
            <w:tcW w:w="760" w:type="dxa"/>
            <w:vAlign w:val="bottom"/>
            <w:tcBorders>
              <w:right w:val="single" w:sz="8" w:color="auto"/>
            </w:tcBorders>
            <w:gridSpan w:val="19"/>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(incorporated by reference to Exhibit 10.2 of Rezolve's Report on Form 6-K filed December 1, 2025).</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4"/>
                <w:szCs w:val="14"/>
                <w:color w:val="auto"/>
              </w:rPr>
            </w:pPr>
          </w:p>
        </w:tc>
        <w:tc>
          <w:tcPr>
            <w:tcW w:w="960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Registration Rights Agreement, dated December 1, 2025 by and between Rezolve AI plc and CrownPeak Technology Holdings, Inc.</w:t>
              </w:r>
            </w:hyperlink>
          </w:p>
        </w:tc>
        <w:tc>
          <w:tcPr>
            <w:tcW w:w="40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8"/>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(incorporated by reference to Exhibit 10.3 of Rezolve's Report on Form 6-K filed December 1, 2025).</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4"/>
                <w:szCs w:val="14"/>
                <w:color w:val="auto"/>
              </w:rPr>
            </w:pPr>
          </w:p>
        </w:tc>
        <w:tc>
          <w:tcPr>
            <w:tcW w:w="10000" w:type="dxa"/>
            <w:vAlign w:val="bottom"/>
            <w:tcBorders>
              <w:right w:val="single" w:sz="8" w:color="auto"/>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4"/>
                <w:szCs w:val="14"/>
                <w:color w:val="auto"/>
              </w:rPr>
            </w:pPr>
          </w:p>
        </w:tc>
        <w:tc>
          <w:tcPr>
            <w:tcW w:w="10000" w:type="dxa"/>
            <w:vAlign w:val="bottom"/>
            <w:tcBorders>
              <w:right w:val="single" w:sz="8" w:color="auto"/>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4"/>
                <w:szCs w:val="14"/>
                <w:color w:val="auto"/>
              </w:rPr>
            </w:pPr>
          </w:p>
        </w:tc>
        <w:tc>
          <w:tcPr>
            <w:tcW w:w="10000" w:type="dxa"/>
            <w:vAlign w:val="bottom"/>
            <w:tcBorders>
              <w:right w:val="single" w:sz="8" w:color="auto"/>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Consent of SingerLewak LLP</w:t>
            </w:r>
            <w:r>
              <w:rPr>
                <w:rFonts w:ascii="Times New Roman" w:cs="Times New Roman" w:eastAsia="Times New Roman" w:hAnsi="Times New Roman"/>
                <w:sz w:val="18"/>
                <w:szCs w:val="18"/>
                <w:color w:val="000000"/>
              </w:rPr>
              <w:t>.</w:t>
            </w: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4"/>
                <w:szCs w:val="14"/>
                <w:color w:val="auto"/>
              </w:rPr>
            </w:pPr>
          </w:p>
        </w:tc>
        <w:tc>
          <w:tcPr>
            <w:tcW w:w="10000" w:type="dxa"/>
            <w:vAlign w:val="bottom"/>
            <w:tcBorders>
              <w:right w:val="single" w:sz="8" w:color="auto"/>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Consent of ba audit gmbh Wirtschaftsprüfungsgesellschaft</w:t>
            </w: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5380" w:type="dxa"/>
            <w:vAlign w:val="bottom"/>
            <w:gridSpan w:val="10"/>
          </w:tcPr>
          <w:p>
            <w:pPr>
              <w:ind w:left="440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192"/>
        </w:trPr>
        <w:tc>
          <w:tcPr>
            <w:tcW w:w="114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23.5*</w:t>
            </w:r>
          </w:p>
        </w:tc>
        <w:tc>
          <w:tcPr>
            <w:tcW w:w="10100" w:type="dxa"/>
            <w:vAlign w:val="bottom"/>
            <w:tcBorders>
              <w:top w:val="single" w:sz="8" w:color="auto"/>
              <w:right w:val="single" w:sz="8" w:color="auto"/>
            </w:tcBorders>
            <w:gridSpan w:val="4"/>
          </w:tcPr>
          <w:p>
            <w:pPr>
              <w:ind w:left="100"/>
              <w:spacing w:after="0" w:line="19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Consent of Taylor Wessing LLP (included in Exhibit 5.1).</w:t>
              </w:r>
            </w:hyperlink>
          </w:p>
        </w:tc>
      </w:tr>
      <w:tr>
        <w:trPr>
          <w:trHeight w:val="60"/>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top w:val="single" w:sz="8" w:color="0000FF"/>
              <w:bottom w:val="single" w:sz="8" w:color="0000FF"/>
            </w:tcBorders>
          </w:tcPr>
          <w:p>
            <w:pPr>
              <w:spacing w:after="0"/>
              <w:rPr>
                <w:sz w:val="5"/>
                <w:szCs w:val="5"/>
                <w:color w:val="auto"/>
              </w:rPr>
            </w:pPr>
          </w:p>
        </w:tc>
        <w:tc>
          <w:tcPr>
            <w:tcW w:w="2380" w:type="dxa"/>
            <w:vAlign w:val="bottom"/>
            <w:tcBorders>
              <w:top w:val="single" w:sz="8" w:color="0000FF"/>
              <w:bottom w:val="single" w:sz="8" w:color="0000FF"/>
            </w:tcBorders>
          </w:tcPr>
          <w:p>
            <w:pPr>
              <w:spacing w:after="0"/>
              <w:rPr>
                <w:sz w:val="5"/>
                <w:szCs w:val="5"/>
                <w:color w:val="auto"/>
              </w:rPr>
            </w:pPr>
          </w:p>
        </w:tc>
        <w:tc>
          <w:tcPr>
            <w:tcW w:w="5800" w:type="dxa"/>
            <w:vAlign w:val="bottom"/>
            <w:tcBorders>
              <w:right w:val="single" w:sz="8" w:color="auto"/>
            </w:tcBorders>
          </w:tcPr>
          <w:p>
            <w:pPr>
              <w:spacing w:after="0"/>
              <w:rPr>
                <w:sz w:val="5"/>
                <w:szCs w:val="5"/>
                <w:color w:val="auto"/>
              </w:rPr>
            </w:pPr>
          </w:p>
        </w:tc>
      </w:tr>
      <w:tr>
        <w:trPr>
          <w:trHeight w:val="130"/>
        </w:trPr>
        <w:tc>
          <w:tcPr>
            <w:tcW w:w="114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107*</w:t>
            </w:r>
          </w:p>
        </w:tc>
        <w:tc>
          <w:tcPr>
            <w:tcW w:w="10100" w:type="dxa"/>
            <w:vAlign w:val="bottom"/>
            <w:tcBorders>
              <w:top w:val="single" w:sz="8" w:color="auto"/>
              <w:right w:val="single" w:sz="8" w:color="auto"/>
            </w:tcBorders>
            <w:gridSpan w:val="4"/>
          </w:tcPr>
          <w:p>
            <w:pPr>
              <w:ind w:left="100"/>
              <w:spacing w:after="0" w:line="130" w:lineRule="exact"/>
              <w:rPr>
                <w:rFonts w:ascii="Times New Roman" w:cs="Times New Roman" w:eastAsia="Times New Roman" w:hAnsi="Times New Roman"/>
                <w:sz w:val="15"/>
                <w:szCs w:val="15"/>
                <w:color w:val="0000FF"/>
              </w:rPr>
            </w:pPr>
            <w:hyperlink r:id="rId232">
              <w:r>
                <w:rPr>
                  <w:rFonts w:ascii="Times New Roman" w:cs="Times New Roman" w:eastAsia="Times New Roman" w:hAnsi="Times New Roman"/>
                  <w:sz w:val="15"/>
                  <w:szCs w:val="15"/>
                  <w:color w:val="0000FF"/>
                </w:rPr>
                <w:t>Calculation of Fee Table.</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580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previously filed</w:t>
      </w:r>
    </w:p>
    <w:p>
      <w:pPr>
        <w:spacing w:after="0" w:line="9" w:lineRule="exact"/>
        <w:rPr>
          <w:sz w:val="20"/>
          <w:szCs w:val="20"/>
          <w:color w:val="auto"/>
        </w:rPr>
      </w:pPr>
    </w:p>
    <w:p>
      <w:pPr>
        <w:ind w:right="480" w:firstLine="8"/>
        <w:spacing w:after="0" w:line="250"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601(b)(2). The Registrant agrees to furnish supplementally a copy of all omitted exhibits and schedules to the SEC upon its request.</w:t>
      </w:r>
    </w:p>
    <w:p>
      <w:pPr>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Certain identified information has been excluded from the exhibit pursuant to Item 601(a)(6) and/or Item 601(b)(10)(iv) of Regulation S-K.</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3" w:name="page74"/>
    <w:bookmarkEnd w:id="73"/>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London, United Kingdom, on the 19th day of December, 2025.</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F-3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Arthur Yao</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Arthur Yao</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2"/>
            <w:vMerge w:val="restart"/>
          </w:tcPr>
          <w:p>
            <w:pPr>
              <w:jc w:val="right"/>
              <w:ind w:right="321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5" w:name="page76"/>
    <w:bookmarkEnd w:id="75"/>
    <w:p>
      <w:pPr>
        <w:ind w:left="230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F-3 to be signed on its behalf by the undersigned, thereunto duly authorized, in the city of New York, New York, on the 19th of December,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31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008" w:right="799" w:bottom="1440" w:gutter="0" w:footer="0" w:header="0"/>
        </w:sectPr>
      </w:pPr>
    </w:p>
    <w:bookmarkStart w:id="76" w:name="page77"/>
    <w:bookmarkEnd w:id="76"/>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4888865</wp:posOffset>
            </wp:positionH>
            <wp:positionV relativeFrom="page">
              <wp:posOffset>706120</wp:posOffset>
            </wp:positionV>
            <wp:extent cx="1551305"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2400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9"/>
          <w:szCs w:val="19"/>
          <w:b w:val="1"/>
          <w:bCs w:val="1"/>
          <w:color w:val="auto"/>
        </w:rPr>
        <w:t>EXHIBIT 5.1</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19 December 2025</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Rezolve Ai plc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21 Sackville Street</w:t>
      </w:r>
    </w:p>
    <w:p>
      <w:pPr>
        <w:spacing w:after="0" w:line="237" w:lineRule="auto"/>
        <w:rPr>
          <w:sz w:val="20"/>
          <w:szCs w:val="20"/>
          <w:color w:val="auto"/>
        </w:rPr>
      </w:pPr>
      <w:r>
        <w:rPr>
          <w:rFonts w:ascii="Arial" w:cs="Arial" w:eastAsia="Arial" w:hAnsi="Arial"/>
          <w:sz w:val="19"/>
          <w:szCs w:val="19"/>
          <w:color w:val="auto"/>
        </w:rPr>
        <w:t>London</w:t>
      </w:r>
    </w:p>
    <w:p>
      <w:pPr>
        <w:spacing w:after="0" w:line="237" w:lineRule="auto"/>
        <w:rPr>
          <w:sz w:val="20"/>
          <w:szCs w:val="20"/>
          <w:color w:val="auto"/>
        </w:rPr>
      </w:pPr>
      <w:r>
        <w:rPr>
          <w:rFonts w:ascii="Arial" w:cs="Arial" w:eastAsia="Arial" w:hAnsi="Arial"/>
          <w:sz w:val="19"/>
          <w:szCs w:val="19"/>
          <w:color w:val="auto"/>
        </w:rPr>
        <w:t>England</w:t>
      </w:r>
    </w:p>
    <w:p>
      <w:pPr>
        <w:spacing w:after="0"/>
        <w:rPr>
          <w:sz w:val="20"/>
          <w:szCs w:val="20"/>
          <w:color w:val="auto"/>
        </w:rPr>
      </w:pPr>
      <w:r>
        <w:rPr>
          <w:rFonts w:ascii="Arial" w:cs="Arial" w:eastAsia="Arial" w:hAnsi="Arial"/>
          <w:sz w:val="19"/>
          <w:szCs w:val="19"/>
          <w:color w:val="auto"/>
        </w:rPr>
        <w:t>W1S 3DN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 Rezolve Ai plc – Registration Statement on Form F-3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760" w:hanging="748"/>
        <w:spacing w:after="0" w:line="252" w:lineRule="auto"/>
        <w:tabs>
          <w:tab w:leader="none" w:pos="7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acted as English legal advisers to Rezolve Ai plc, a public limited company incorporated in England and Wales with company number 14573691 and with its registered office at 21 Sackville Street, London, England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Company's acquisition of CrownPeak Intermediate Holdings, Inc. (the "</w:t>
      </w:r>
      <w:r>
        <w:rPr>
          <w:rFonts w:ascii="Arial" w:cs="Arial" w:eastAsia="Arial" w:hAnsi="Arial"/>
          <w:sz w:val="19"/>
          <w:szCs w:val="19"/>
          <w:b w:val="1"/>
          <w:bCs w:val="1"/>
          <w:color w:val="auto"/>
        </w:rPr>
        <w:t>Target</w:t>
      </w:r>
      <w:r>
        <w:rPr>
          <w:rFonts w:ascii="Arial" w:cs="Arial" w:eastAsia="Arial" w:hAnsi="Arial"/>
          <w:sz w:val="19"/>
          <w:szCs w:val="19"/>
          <w:color w:val="auto"/>
        </w:rPr>
        <w:t>") from CrownPeak Technology Holdings, Inc. (the "</w:t>
      </w:r>
      <w:r>
        <w:rPr>
          <w:rFonts w:ascii="Arial" w:cs="Arial" w:eastAsia="Arial" w:hAnsi="Arial"/>
          <w:sz w:val="19"/>
          <w:szCs w:val="19"/>
          <w:b w:val="1"/>
          <w:bCs w:val="1"/>
          <w:color w:val="auto"/>
        </w:rPr>
        <w:t>Seller</w:t>
      </w:r>
      <w:r>
        <w:rPr>
          <w:rFonts w:ascii="Arial" w:cs="Arial" w:eastAsia="Arial" w:hAnsi="Arial"/>
          <w:sz w:val="19"/>
          <w:szCs w:val="19"/>
          <w:color w:val="auto"/>
        </w:rPr>
        <w:t>") on 1 December 2025 (the "</w:t>
      </w:r>
      <w:r>
        <w:rPr>
          <w:rFonts w:ascii="Arial" w:cs="Arial" w:eastAsia="Arial" w:hAnsi="Arial"/>
          <w:sz w:val="19"/>
          <w:szCs w:val="19"/>
          <w:b w:val="1"/>
          <w:bCs w:val="1"/>
          <w:color w:val="auto"/>
        </w:rPr>
        <w:t>Transaction</w:t>
      </w:r>
      <w:r>
        <w:rPr>
          <w:rFonts w:ascii="Arial" w:cs="Arial" w:eastAsia="Arial" w:hAnsi="Arial"/>
          <w:sz w:val="19"/>
          <w:szCs w:val="19"/>
          <w:color w:val="auto"/>
        </w:rPr>
        <w:t>").</w:t>
      </w:r>
    </w:p>
    <w:p>
      <w:pPr>
        <w:spacing w:after="0" w:line="162"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Company is to file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on Form F-3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 for the purposes of registering with the Commission under the Securities Act the potential issue of 11,127,780 ordinary shares of £0.0001 each in the capital of the Company (the “</w:t>
      </w:r>
      <w:r>
        <w:rPr>
          <w:rFonts w:ascii="Arial" w:cs="Arial" w:eastAsia="Arial" w:hAnsi="Arial"/>
          <w:sz w:val="19"/>
          <w:szCs w:val="19"/>
          <w:b w:val="1"/>
          <w:bCs w:val="1"/>
          <w:color w:val="auto"/>
        </w:rPr>
        <w:t>Ordinary Shares</w:t>
      </w:r>
      <w:r>
        <w:rPr>
          <w:rFonts w:ascii="Arial" w:cs="Arial" w:eastAsia="Arial" w:hAnsi="Arial"/>
          <w:sz w:val="19"/>
          <w:szCs w:val="19"/>
          <w:color w:val="auto"/>
        </w:rPr>
        <w:t>”), comprised of 11,127,780 Ordinary Shares issued to the Seller as consideration for, and in connection with, the Transaction (the "</w:t>
      </w:r>
      <w:r>
        <w:rPr>
          <w:rFonts w:ascii="Arial" w:cs="Arial" w:eastAsia="Arial" w:hAnsi="Arial"/>
          <w:sz w:val="19"/>
          <w:szCs w:val="19"/>
          <w:b w:val="1"/>
          <w:bCs w:val="1"/>
          <w:color w:val="auto"/>
        </w:rPr>
        <w:t>Registration Shares</w:t>
      </w:r>
      <w:r>
        <w:rPr>
          <w:rFonts w:ascii="Arial" w:cs="Arial" w:eastAsia="Arial" w:hAnsi="Arial"/>
          <w:sz w:val="19"/>
          <w:szCs w:val="19"/>
          <w:color w:val="auto"/>
        </w:rPr>
        <w:t>").</w:t>
      </w:r>
    </w:p>
    <w:p>
      <w:pPr>
        <w:spacing w:after="0" w:line="168"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760" w:right="20" w:hanging="748"/>
        <w:spacing w:after="0" w:line="254" w:lineRule="auto"/>
        <w:tabs>
          <w:tab w:leader="none" w:pos="7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F-3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For the purposes of this opinion, we have examined:</w:t>
      </w:r>
    </w:p>
    <w:p>
      <w:pPr>
        <w:spacing w:after="0" w:line="214" w:lineRule="exact"/>
        <w:rPr>
          <w:sz w:val="20"/>
          <w:szCs w:val="20"/>
          <w:color w:val="auto"/>
        </w:rPr>
      </w:pPr>
    </w:p>
    <w:p>
      <w:pPr>
        <w:ind w:left="1500" w:hanging="743"/>
        <w:spacing w:after="0"/>
        <w:tabs>
          <w:tab w:leader="none" w:pos="15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 board resolution dated 1 December 2025 ("</w:t>
      </w:r>
      <w:r>
        <w:rPr>
          <w:rFonts w:ascii="Arial" w:cs="Arial" w:eastAsia="Arial" w:hAnsi="Arial"/>
          <w:sz w:val="19"/>
          <w:szCs w:val="19"/>
          <w:b w:val="1"/>
          <w:bCs w:val="1"/>
          <w:color w:val="auto"/>
        </w:rPr>
        <w:t>Board Resolution</w:t>
      </w:r>
      <w:r>
        <w:rPr>
          <w:rFonts w:ascii="Arial" w:cs="Arial" w:eastAsia="Arial" w:hAnsi="Arial"/>
          <w:sz w:val="19"/>
          <w:szCs w:val="19"/>
          <w:color w:val="auto"/>
        </w:rPr>
        <w:t>") approving the Transaction;</w:t>
      </w:r>
    </w:p>
    <w:p>
      <w:pPr>
        <w:spacing w:after="0" w:line="213"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 copy of the sale and purchase agreement dated 1 December 2025 pursuant to which the Company acquired the entire issued share capital of the Target;</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UKMATTERS:85881622.2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9" w:lineRule="exact"/>
        <w:rPr>
          <w:sz w:val="20"/>
          <w:szCs w:val="20"/>
          <w:color w:val="auto"/>
        </w:rPr>
      </w:pPr>
    </w:p>
    <w:p>
      <w:pPr>
        <w:jc w:val="both"/>
        <w:ind w:left="1500" w:hanging="743"/>
        <w:spacing w:after="0" w:line="252" w:lineRule="auto"/>
        <w:tabs>
          <w:tab w:leader="none" w:pos="15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written shareholders resolution dated 28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shares having an aggregate nominal amount of up to £30,000 ("</w:t>
      </w:r>
      <w:r>
        <w:rPr>
          <w:rFonts w:ascii="Arial" w:cs="Arial" w:eastAsia="Arial" w:hAnsi="Arial"/>
          <w:sz w:val="19"/>
          <w:szCs w:val="19"/>
          <w:b w:val="1"/>
          <w:bCs w:val="1"/>
          <w:color w:val="auto"/>
        </w:rPr>
        <w:t>Shareholder Resolution</w:t>
      </w:r>
      <w:r>
        <w:rPr>
          <w:rFonts w:ascii="Arial" w:cs="Arial" w:eastAsia="Arial" w:hAnsi="Arial"/>
          <w:sz w:val="19"/>
          <w:szCs w:val="19"/>
          <w:color w:val="auto"/>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(together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500" w:right="20" w:hanging="743"/>
        <w:spacing w:after="0" w:line="270" w:lineRule="auto"/>
        <w:tabs>
          <w:tab w:leader="none" w:pos="15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17 December 2025 at 14:59 (London time); and</w:t>
      </w:r>
    </w:p>
    <w:p>
      <w:pPr>
        <w:spacing w:after="0" w:line="15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17 December 2025 at 14:54 (London time) which revealed that as at that date no petition has been lodged for the winding-up of the Company.</w:t>
      </w:r>
    </w:p>
    <w:p>
      <w:pPr>
        <w:spacing w:after="0" w:line="170"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5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In relation to insolvency proceedings, the search and enquiry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1"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w:t>
      </w:r>
    </w:p>
    <w:p>
      <w:pPr>
        <w:spacing w:after="0" w:line="156"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0"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For the purposes of this opinion, we have not examined any of the corporate or other records of the Company (apart from those set out in paragraph 2.4 or revealed by the</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UKMATTERS:85881622.2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9"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search and enquiry mentioned in paragraph 2.5) 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500" w:hanging="743"/>
        <w:spacing w:after="0" w:line="270"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500" w:right="20" w:hanging="743"/>
        <w:spacing w:after="0" w:line="254"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aggregate nominal value of the number of Registration Shares allotted and issued together with those to be allotted and issued as contemplated by the Registration Statement and those shares already allotted pursuant to the Corporate Approvals not being greater than the aggregate nominal value specified in the Corporate Approvals;</w:t>
      </w:r>
    </w:p>
    <w:p>
      <w:pPr>
        <w:spacing w:after="0" w:line="170" w:lineRule="exact"/>
        <w:rPr>
          <w:rFonts w:ascii="Arial" w:cs="Arial" w:eastAsia="Arial" w:hAnsi="Arial"/>
          <w:sz w:val="19"/>
          <w:szCs w:val="19"/>
          <w:color w:val="auto"/>
        </w:rPr>
      </w:pPr>
    </w:p>
    <w:p>
      <w:pPr>
        <w:jc w:val="both"/>
        <w:ind w:left="1500" w:hanging="743"/>
        <w:spacing w:after="0" w:line="248"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allotment and issue of Registration Shares to either GTU Ops Inc (or another depositary nominee of Computershare Trust Company. N.A.) or Cede &amp; Co. (or another nominee of The Depositary Trust Company) for the ultimate benefit of a party constitute due satisfaction of the Company's obligations to issue and allot Ordinary Shares to such party under the transactions set out in the Registration Statement;</w:t>
      </w:r>
    </w:p>
    <w:p>
      <w:pPr>
        <w:spacing w:after="0" w:line="17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receipt in full of payment for the Registration Shares of not less than the aggregate nominal value for such Registration Shares and any applicable share premium;</w:t>
      </w:r>
    </w:p>
    <w:p>
      <w:pPr>
        <w:spacing w:after="0" w:line="156" w:lineRule="exact"/>
        <w:rPr>
          <w:rFonts w:ascii="Arial" w:cs="Arial" w:eastAsia="Arial" w:hAnsi="Arial"/>
          <w:sz w:val="19"/>
          <w:szCs w:val="19"/>
          <w:color w:val="auto"/>
        </w:rPr>
      </w:pPr>
    </w:p>
    <w:p>
      <w:pPr>
        <w:jc w:val="both"/>
        <w:ind w:left="1500" w:hanging="743"/>
        <w:spacing w:after="0" w:line="242"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and the articles (as in force from time to time) or English law were each duly passed by written resolution or at a meeting which was duly convened and held in accordance with all applicable laws and regulations; that in particular, but without limitation, a duly qualified quorum of directors or, as the case may be, shareholders was present in each case throughout the meeting and voted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duly observed;</w:t>
      </w:r>
    </w:p>
    <w:p>
      <w:pPr>
        <w:spacing w:after="0" w:line="181"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Registration Shares in the books and registers of the Company;</w:t>
      </w:r>
    </w:p>
    <w:p>
      <w:pPr>
        <w:spacing w:after="0" w:line="15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170" w:lineRule="exact"/>
        <w:rPr>
          <w:rFonts w:ascii="Arial" w:cs="Arial" w:eastAsia="Arial" w:hAnsi="Arial"/>
          <w:sz w:val="19"/>
          <w:szCs w:val="19"/>
          <w:color w:val="auto"/>
        </w:rPr>
      </w:pPr>
    </w:p>
    <w:p>
      <w:pPr>
        <w:ind w:left="1500" w:hanging="743"/>
        <w:spacing w:after="0"/>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213" w:lineRule="exact"/>
        <w:rPr>
          <w:rFonts w:ascii="Arial" w:cs="Arial" w:eastAsia="Arial" w:hAnsi="Arial"/>
          <w:sz w:val="19"/>
          <w:szCs w:val="19"/>
          <w:color w:val="auto"/>
        </w:rPr>
      </w:pPr>
    </w:p>
    <w:p>
      <w:pPr>
        <w:jc w:val="both"/>
        <w:ind w:left="1500" w:hanging="743"/>
        <w:spacing w:after="0" w:line="259"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articles of association of the Company as registered at Companies House as at the date hereof remain in full force and effect, and no alteration has been made to such articles of association, in each case prior to the date of allotment and issue of the Registration Shares (the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500" w:right="20" w:hanging="743"/>
        <w:spacing w:after="0" w:line="254" w:lineRule="auto"/>
        <w:tabs>
          <w:tab w:leader="none" w:pos="15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on the Allotment Date, the Company has complied with all applicable laws as to any offering of and as to the allotment and issue of the Registration Shares and the Company has received such amounts as are necessary to fully pay the nominal value of the Registration Shares and any applicable share premium;</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UKMATTERS:85881622.2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9" w:lineRule="exact"/>
        <w:rPr>
          <w:sz w:val="20"/>
          <w:szCs w:val="20"/>
          <w:color w:val="auto"/>
        </w:rPr>
      </w:pPr>
    </w:p>
    <w:p>
      <w:pPr>
        <w:jc w:val="both"/>
        <w:ind w:left="1460" w:hanging="743"/>
        <w:spacing w:after="0" w:line="248"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Board Resolution provided to us in connection with the giving of the opinion in this letter reflects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remained in full force and effect as at the Allotment Date;</w:t>
      </w:r>
    </w:p>
    <w:p>
      <w:pPr>
        <w:spacing w:after="0" w:line="17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respect of the Board Resolution (i) in passing such resolutions the directors of the Company were acting in good faith, (ii) the transactions and other matters referred to in the Board Resolution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otherwise obtained and/or required by the Company to, inter alia, validly authorise the issuance of all Registration Shares were validly passed and have not been and will not be revoked or varied and remained in full force and effect as at the Allotment Date;</w:t>
      </w:r>
    </w:p>
    <w:p>
      <w:pPr>
        <w:spacing w:after="0" w:line="17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at the Allotment Date, the directors of the Company had sufficient powers conferred on them to allot the Registration Shares and to grant rights to subscribe for Registration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has not and shall not issue (or purport to issue) Registration Shares and has not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relation to the allotment and issue of the Registration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0"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as at the Allotment Date, any authority granted pursuant to the articles (in force from time to time) or the Shareholder Resolution or otherwise by the Company’s shareholders remained unutilised to the extent necessary to permit the allotment and issue of the Registration Shares;</w:t>
      </w:r>
    </w:p>
    <w:p>
      <w:pPr>
        <w:spacing w:after="0" w:line="170"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ind w:left="1460" w:right="20" w:hanging="743"/>
        <w:spacing w:after="0" w:line="270" w:lineRule="auto"/>
        <w:tabs>
          <w:tab w:leader="none" w:pos="14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UKMATTERS:85881622.2</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80" w:name="page81"/>
    <w:bookmarkEnd w:id="80"/>
    <w:p>
      <w:pPr>
        <w:spacing w:after="0" w:line="9" w:lineRule="exact"/>
        <w:rPr>
          <w:sz w:val="20"/>
          <w:szCs w:val="20"/>
          <w:color w:val="auto"/>
        </w:rPr>
      </w:pPr>
    </w:p>
    <w:p>
      <w:pPr>
        <w:ind w:left="1460" w:hanging="743"/>
        <w:spacing w:after="0" w:line="270" w:lineRule="auto"/>
        <w:tabs>
          <w:tab w:leader="none" w:pos="14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1460" w:hanging="743"/>
        <w:spacing w:after="0"/>
        <w:tabs>
          <w:tab w:leader="none" w:pos="14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ind w:left="2220" w:right="20" w:hanging="755"/>
        <w:spacing w:after="0" w:line="270" w:lineRule="auto"/>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56" w:lineRule="exact"/>
        <w:rPr>
          <w:rFonts w:ascii="Arial" w:cs="Arial" w:eastAsia="Arial" w:hAnsi="Arial"/>
          <w:sz w:val="19"/>
          <w:szCs w:val="19"/>
          <w:color w:val="auto"/>
        </w:rPr>
      </w:pPr>
    </w:p>
    <w:p>
      <w:pPr>
        <w:ind w:left="2220" w:hanging="755"/>
        <w:spacing w:after="0"/>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213" w:lineRule="exact"/>
        <w:rPr>
          <w:rFonts w:ascii="Arial" w:cs="Arial" w:eastAsia="Arial" w:hAnsi="Arial"/>
          <w:sz w:val="19"/>
          <w:szCs w:val="19"/>
          <w:color w:val="auto"/>
        </w:rPr>
      </w:pPr>
    </w:p>
    <w:p>
      <w:pPr>
        <w:jc w:val="both"/>
        <w:ind w:left="2220" w:right="20" w:hanging="755"/>
        <w:spacing w:after="0" w:line="254" w:lineRule="auto"/>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2220" w:hanging="755"/>
        <w:spacing w:after="0" w:line="254" w:lineRule="auto"/>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0" w:lineRule="exact"/>
        <w:rPr>
          <w:rFonts w:ascii="Arial" w:cs="Arial" w:eastAsia="Arial" w:hAnsi="Arial"/>
          <w:sz w:val="19"/>
          <w:szCs w:val="19"/>
          <w:color w:val="auto"/>
        </w:rPr>
      </w:pPr>
    </w:p>
    <w:p>
      <w:pPr>
        <w:jc w:val="both"/>
        <w:ind w:left="2220" w:hanging="755"/>
        <w:spacing w:after="0" w:line="254" w:lineRule="auto"/>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rFonts w:ascii="Arial" w:cs="Arial" w:eastAsia="Arial" w:hAnsi="Arial"/>
          <w:sz w:val="19"/>
          <w:szCs w:val="19"/>
          <w:color w:val="auto"/>
        </w:rPr>
      </w:pPr>
    </w:p>
    <w:p>
      <w:pPr>
        <w:ind w:left="2220" w:hanging="755"/>
        <w:spacing w:after="0" w:line="270" w:lineRule="auto"/>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2220" w:hanging="755"/>
        <w:spacing w:after="0" w:line="270" w:lineRule="auto"/>
        <w:tabs>
          <w:tab w:leader="none" w:pos="22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15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as at the Allotment Date,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w:t>
      </w:r>
    </w:p>
    <w:p>
      <w:pPr>
        <w:spacing w:after="0" w:line="185"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and referred to in paragraph 2.5 was complete and accurate in all respects and has not, since the time of the search and enquiry, been altered and</w:t>
      </w:r>
    </w:p>
    <w:p>
      <w:pPr>
        <w:spacing w:after="0" w:line="316"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UKMATTERS:85881622.2</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81" w:name="page82"/>
    <w:bookmarkEnd w:id="81"/>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that the results of the search and enquiry remained complete and accurate as at the Allotment Date;</w:t>
      </w:r>
    </w:p>
    <w:p>
      <w:pPr>
        <w:spacing w:after="0" w:line="214" w:lineRule="exact"/>
        <w:rPr>
          <w:sz w:val="20"/>
          <w:szCs w:val="20"/>
          <w:color w:val="auto"/>
        </w:rPr>
      </w:pPr>
    </w:p>
    <w:p>
      <w:pPr>
        <w:jc w:val="both"/>
        <w:ind w:left="1500" w:hanging="743"/>
        <w:spacing w:after="0" w:line="254" w:lineRule="auto"/>
        <w:tabs>
          <w:tab w:leader="none" w:pos="15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3.8(v) or any other insolvency procedure has occurred in respect of the Company in a country other than England and that no steps have been taken to subject either of them to such a procedure;</w:t>
      </w:r>
    </w:p>
    <w:p>
      <w:pPr>
        <w:spacing w:after="0" w:line="170" w:lineRule="exact"/>
        <w:rPr>
          <w:rFonts w:ascii="Arial" w:cs="Arial" w:eastAsia="Arial" w:hAnsi="Arial"/>
          <w:sz w:val="19"/>
          <w:szCs w:val="19"/>
          <w:color w:val="auto"/>
        </w:rPr>
      </w:pPr>
    </w:p>
    <w:p>
      <w:pPr>
        <w:jc w:val="both"/>
        <w:ind w:left="1500" w:hanging="743"/>
        <w:spacing w:after="0" w:line="245" w:lineRule="auto"/>
        <w:tabs>
          <w:tab w:leader="none" w:pos="15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connection with the transactions contemplated by the Registration Statement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80" w:lineRule="exact"/>
        <w:rPr>
          <w:rFonts w:ascii="Arial" w:cs="Arial" w:eastAsia="Arial" w:hAnsi="Arial"/>
          <w:sz w:val="19"/>
          <w:szCs w:val="19"/>
          <w:color w:val="auto"/>
        </w:rPr>
      </w:pPr>
    </w:p>
    <w:p>
      <w:pPr>
        <w:jc w:val="both"/>
        <w:ind w:left="1500" w:hanging="743"/>
        <w:spacing w:after="0" w:line="248" w:lineRule="auto"/>
        <w:tabs>
          <w:tab w:leader="none" w:pos="15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extent that the entry into of a document in connection with the transactions contemplated by the Registration Statement by the Company constitutes a regulated activity for the purposes of the Financial Services and Markets Act 2000 the Company will be in compliance with all applicable requirements of that Act and any regulations or rules made under that Act;</w:t>
      </w:r>
    </w:p>
    <w:p>
      <w:pPr>
        <w:spacing w:after="0" w:line="177" w:lineRule="exact"/>
        <w:rPr>
          <w:sz w:val="20"/>
          <w:szCs w:val="20"/>
          <w:color w:val="auto"/>
        </w:rPr>
      </w:pPr>
    </w:p>
    <w:p>
      <w:pPr>
        <w:ind w:left="1500" w:hanging="743"/>
        <w:spacing w:after="0" w:line="270" w:lineRule="auto"/>
        <w:tabs>
          <w:tab w:leader="none" w:pos="15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that there are no written or oral representations made in connection with documents in connection with the transactions contemplated by the Registration Statement which have not been disclosed to us;</w:t>
      </w:r>
    </w:p>
    <w:p>
      <w:pPr>
        <w:spacing w:after="0" w:line="156"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that there are no written or oral agreements modifying the terms of the documents in connection with the transactions contemplated by the Registration Statement which have not been disclosed to us;</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156"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 the Registration Shares have been duly and validly authorised and issued, fully paid or credited as fully paid.</w:t>
      </w:r>
    </w:p>
    <w:p>
      <w:pPr>
        <w:spacing w:after="0" w:line="170"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1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UKMATTERS:85881622.2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25" w:lineRule="exact"/>
        <w:rPr>
          <w:sz w:val="20"/>
          <w:szCs w:val="20"/>
          <w:color w:val="auto"/>
        </w:rPr>
      </w:pPr>
    </w:p>
    <w:p>
      <w:pPr>
        <w:ind w:left="760" w:hanging="752"/>
        <w:spacing w:after="0"/>
        <w:tabs>
          <w:tab w:leader="none" w:pos="76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of liability</w:t>
      </w:r>
    </w:p>
    <w:p>
      <w:pPr>
        <w:spacing w:after="0" w:line="213" w:lineRule="exact"/>
        <w:rPr>
          <w:rFonts w:ascii="Arial" w:cs="Arial" w:eastAsia="Arial" w:hAnsi="Arial"/>
          <w:sz w:val="19"/>
          <w:szCs w:val="19"/>
          <w:b w:val="1"/>
          <w:bCs w:val="1"/>
          <w:color w:val="auto"/>
        </w:rPr>
      </w:pPr>
    </w:p>
    <w:p>
      <w:pPr>
        <w:ind w:left="760"/>
        <w:spacing w:after="0"/>
        <w:rPr>
          <w:rFonts w:ascii="Arial" w:cs="Arial" w:eastAsia="Arial" w:hAnsi="Arial"/>
          <w:sz w:val="19"/>
          <w:szCs w:val="19"/>
          <w:b w:val="1"/>
          <w:bCs w:val="1"/>
          <w:color w:val="auto"/>
        </w:rPr>
      </w:pPr>
      <w:r>
        <w:rPr>
          <w:rFonts w:ascii="Arial" w:cs="Arial" w:eastAsia="Arial" w:hAnsi="Arial"/>
          <w:sz w:val="19"/>
          <w:szCs w:val="19"/>
          <w:color w:val="auto"/>
        </w:rPr>
        <w:t>Our liability under this letter is limited to an aggregate total of $25 million.</w:t>
      </w:r>
    </w:p>
    <w:p>
      <w:pPr>
        <w:spacing w:after="0" w:line="213" w:lineRule="exact"/>
        <w:rPr>
          <w:rFonts w:ascii="Arial" w:cs="Arial" w:eastAsia="Arial" w:hAnsi="Arial"/>
          <w:sz w:val="19"/>
          <w:szCs w:val="19"/>
          <w:b w:val="1"/>
          <w:bCs w:val="1"/>
          <w:color w:val="auto"/>
        </w:rPr>
      </w:pPr>
    </w:p>
    <w:p>
      <w:pPr>
        <w:ind w:left="760" w:hanging="752"/>
        <w:spacing w:after="0"/>
        <w:tabs>
          <w:tab w:leader="none" w:pos="76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Registration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37310" cy="2832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133731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Taylor Wessing LLP</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UKMATTERS:85881622.2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this Registration Statement on Form F-3 of our report dated April 23, 2025, except for Note 17, as to which the date is September 9, 2025, with respects to our audits of the consolidated financial statements of Rezolve AI plc, as of and for the years ended December 31, 2024 and 2023. We also consent to the reference to our firm under the heading “Experts” appearing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F-3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MNP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234" w:lineRule="auto"/>
        <w:rPr>
          <w:sz w:val="20"/>
          <w:szCs w:val="20"/>
          <w:color w:val="auto"/>
        </w:rPr>
      </w:pPr>
      <w:r>
        <w:rPr>
          <w:rFonts w:ascii="Arial" w:cs="Arial" w:eastAsia="Arial" w:hAnsi="Arial"/>
          <w:sz w:val="18"/>
          <w:szCs w:val="18"/>
          <w:color w:val="auto"/>
        </w:rPr>
        <w:t>Toronto, Canada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3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F-3 of Rezolve AI plc of our report dated July 31, 2025, except for Note 3, as to which the date is October 31, 2025, relating to the consolidated financial statements of Crownpeak Intermediate Holdings, Inc. and Subsidiaries, appearing in the Report of Foreign Private Issuer on Form 6-K filed by Rezolve AI plc on December 15,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of our firm under the heading “Experts” in such Registration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SingerLewak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23.4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this Registration Statement on Form F-3 of Rezolve AI plc of our reports dated July 11, 2025 and July 31, 2024, relating to the financial statements of Crownpeak Technology GmbH, Dortmund, Germany, as of and for the years ended January 31, 2025 and 2024. We also consent to the reference to our firm under the heading “Experts” appearing therein.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ba audit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Wirtschaftspruefungsgesellschaft</w:t>
      </w:r>
    </w:p>
    <w:p>
      <w:pPr>
        <w:spacing w:after="0" w:line="234" w:lineRule="auto"/>
        <w:rPr>
          <w:sz w:val="20"/>
          <w:szCs w:val="20"/>
          <w:color w:val="auto"/>
        </w:rPr>
      </w:pPr>
      <w:r>
        <w:rPr>
          <w:rFonts w:ascii="Arial" w:cs="Arial" w:eastAsia="Arial" w:hAnsi="Arial"/>
          <w:sz w:val="18"/>
          <w:szCs w:val="18"/>
          <w:color w:val="auto"/>
        </w:rPr>
        <w:t>Berlin, Germany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7" w:name="page88"/>
    <w:bookmarkEnd w:id="87"/>
    <w:p>
      <w:pPr>
        <w:ind w:left="1026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Table 1: Newly Registered Securities</w:t>
            </w: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980" w:type="dxa"/>
            <w:vAlign w:val="bottom"/>
            <w:tcBorders>
              <w:left w:val="single" w:sz="8" w:color="auto"/>
              <w:right w:val="single" w:sz="8" w:color="auto"/>
            </w:tcBorders>
          </w:tcPr>
          <w:p>
            <w:pPr>
              <w:spacing w:after="0"/>
              <w:rPr>
                <w:sz w:val="24"/>
                <w:szCs w:val="24"/>
                <w:color w:val="auto"/>
              </w:rPr>
            </w:pPr>
          </w:p>
        </w:tc>
        <w:tc>
          <w:tcPr>
            <w:tcW w:w="1480" w:type="dxa"/>
            <w:vAlign w:val="bottom"/>
            <w:vMerge w:val="restart"/>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4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w:t>
            </w:r>
          </w:p>
        </w:tc>
        <w:tc>
          <w:tcPr>
            <w:tcW w:w="11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30"/>
        </w:trPr>
        <w:tc>
          <w:tcPr>
            <w:tcW w:w="980" w:type="dxa"/>
            <w:vAlign w:val="bottom"/>
            <w:tcBorders>
              <w:left w:val="single" w:sz="8" w:color="auto"/>
              <w:right w:val="single" w:sz="8" w:color="auto"/>
            </w:tcBorders>
          </w:tcPr>
          <w:p>
            <w:pPr>
              <w:spacing w:after="0"/>
              <w:rPr>
                <w:sz w:val="11"/>
                <w:szCs w:val="11"/>
                <w:color w:val="auto"/>
              </w:rPr>
            </w:pPr>
          </w:p>
        </w:tc>
        <w:tc>
          <w:tcPr>
            <w:tcW w:w="148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Instruction</w:t>
            </w:r>
          </w:p>
        </w:tc>
        <w:tc>
          <w:tcPr>
            <w:tcW w:w="104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22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118"/>
        </w:trPr>
        <w:tc>
          <w:tcPr>
            <w:tcW w:w="98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gridSpan w:val="2"/>
            <w:vMerge w:val="continue"/>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gridSpan w:val="2"/>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Fees to Be</w:t>
            </w:r>
          </w:p>
        </w:tc>
        <w:tc>
          <w:tcPr>
            <w:tcW w:w="148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Equity</w:t>
            </w:r>
          </w:p>
        </w:tc>
        <w:tc>
          <w:tcPr>
            <w:tcW w:w="240" w:type="dxa"/>
            <w:vAlign w:val="bottom"/>
            <w:tcBorders>
              <w:right w:val="single" w:sz="8" w:color="auto"/>
            </w:tcBorders>
          </w:tcPr>
          <w:p>
            <w:pPr>
              <w:spacing w:after="0"/>
              <w:rPr>
                <w:sz w:val="23"/>
                <w:szCs w:val="23"/>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Ordinary Shares</w:t>
            </w:r>
          </w:p>
        </w:tc>
        <w:tc>
          <w:tcPr>
            <w:tcW w:w="260" w:type="dxa"/>
            <w:vAlign w:val="bottom"/>
          </w:tcPr>
          <w:p>
            <w:pPr>
              <w:spacing w:after="0"/>
              <w:rPr>
                <w:sz w:val="23"/>
                <w:szCs w:val="23"/>
                <w:color w:val="auto"/>
              </w:rPr>
            </w:pPr>
          </w:p>
        </w:tc>
        <w:tc>
          <w:tcPr>
            <w:tcW w:w="8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457(c)</w:t>
            </w:r>
          </w:p>
        </w:tc>
        <w:tc>
          <w:tcPr>
            <w:tcW w:w="10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11,127,780</w:t>
            </w:r>
          </w:p>
        </w:tc>
        <w:tc>
          <w:tcPr>
            <w:tcW w:w="1120" w:type="dxa"/>
            <w:vAlign w:val="bottom"/>
            <w:tcBorders>
              <w:right w:val="single" w:sz="8" w:color="auto"/>
            </w:tcBorders>
            <w:gridSpan w:val="2"/>
          </w:tcPr>
          <w:p>
            <w:pPr>
              <w:jc w:val="center"/>
              <w:ind w:right="260"/>
              <w:spacing w:after="0" w:line="266" w:lineRule="exact"/>
              <w:rPr>
                <w:sz w:val="20"/>
                <w:szCs w:val="20"/>
                <w:color w:val="auto"/>
              </w:rPr>
            </w:pPr>
            <w:r>
              <w:rPr>
                <w:rFonts w:ascii="Times New Roman" w:cs="Times New Roman" w:eastAsia="Times New Roman" w:hAnsi="Times New Roman"/>
                <w:sz w:val="18"/>
                <w:szCs w:val="18"/>
                <w:color w:val="auto"/>
              </w:rPr>
              <w:t>$2.415</w:t>
            </w:r>
            <w:r>
              <w:rPr>
                <w:rFonts w:ascii="Times New Roman" w:cs="Times New Roman" w:eastAsia="Times New Roman" w:hAnsi="Times New Roman"/>
                <w:sz w:val="24"/>
                <w:szCs w:val="24"/>
                <w:color w:val="auto"/>
                <w:vertAlign w:val="superscript"/>
              </w:rPr>
              <w:t>(1)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$26,873,588.70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$3,711.25</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Paid</w:t>
            </w: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1480" w:type="dxa"/>
            <w:vAlign w:val="bottom"/>
            <w:vMerge w:val="restart"/>
          </w:tcPr>
          <w:p>
            <w:pPr>
              <w:jc w:val="center"/>
              <w:ind w:left="93"/>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gridSpan w:val="2"/>
            <w:vMerge w:val="restart"/>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right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Previously</w:t>
            </w:r>
          </w:p>
        </w:tc>
        <w:tc>
          <w:tcPr>
            <w:tcW w:w="148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9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430"/>
              <w:spacing w:after="0"/>
              <w:rPr>
                <w:sz w:val="20"/>
                <w:szCs w:val="20"/>
                <w:color w:val="auto"/>
              </w:rPr>
            </w:pPr>
            <w:r>
              <w:rPr>
                <w:rFonts w:ascii="Times New Roman" w:cs="Times New Roman" w:eastAsia="Times New Roman" w:hAnsi="Times New Roman"/>
                <w:sz w:val="18"/>
                <w:szCs w:val="18"/>
                <w:color w:val="auto"/>
              </w:rPr>
              <w:t>Total Offering Amounts</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$26,873,588.70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$3,711.25</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center"/>
              <w:ind w:right="41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center"/>
              <w:ind w:right="67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Net Fee Due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80" w:right="40" w:hanging="372"/>
        <w:spacing w:after="0" w:line="247" w:lineRule="auto"/>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Pursuant to Rule 416(a) under the Securities Act of 1933, as amended (the “Securities Act”), Rezolve AI plc (the “Company”) is also registering an indeterminable number of additional securities as may be issued to prevent dilution resulting from stock splits, stock dividends or similar transactions.</w:t>
      </w:r>
    </w:p>
    <w:p>
      <w:pPr>
        <w:ind w:left="380" w:right="20" w:hanging="372"/>
        <w:spacing w:after="0" w:line="249" w:lineRule="auto"/>
        <w:tabs>
          <w:tab w:leader="none" w:pos="42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Estimated solely for the purpose of the calculation of the registration fee pursuant to Rule 457(c) under the Securities Act, based on the average of the high and the low prices as reported on the Nasdaq Stock Market LLC on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805"/>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2"/>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upperLetter"/>
      <w:start w:val="1"/>
    </w:lvl>
  </w:abstractNum>
  <w:abstractNum w:abstractNumId="27">
    <w:nsid w:val="4B588F54"/>
    <w:multiLevelType w:val="hybridMultilevel"/>
    <w:lvl w:ilvl="0">
      <w:lvlJc w:val="left"/>
      <w:lvlText w:val="(%1)"/>
      <w:numFmt w:val="upperLetter"/>
      <w:start w:val="10"/>
    </w:lvl>
  </w:abstractNum>
  <w:abstractNum w:abstractNumId="28">
    <w:nsid w:val="542289EC"/>
    <w:multiLevelType w:val="hybridMultilevel"/>
    <w:lvl w:ilvl="0">
      <w:lvlJc w:val="left"/>
      <w:lvlText w:val="(%1)"/>
      <w:numFmt w:val="upperLetter"/>
      <w:start w:val="16"/>
    </w:lvl>
  </w:abstractNum>
  <w:abstractNum w:abstractNumId="29">
    <w:nsid w:val="6DE91B18"/>
    <w:multiLevelType w:val="hybridMultilevel"/>
    <w:lvl w:ilvl="0">
      <w:lvlJc w:val="left"/>
      <w:lvlText w:val="(%1)"/>
      <w:numFmt w:val="upperLetter"/>
      <w:start w:val="19"/>
    </w:lvl>
  </w:abstractNum>
  <w:abstractNum w:abstractNumId="30">
    <w:nsid w:val="38437FDB"/>
    <w:multiLevelType w:val="hybridMultilevel"/>
    <w:lvl w:ilvl="0">
      <w:lvlJc w:val="left"/>
      <w:lvlText w:val="(%1)"/>
      <w:numFmt w:val="upperLetter"/>
      <w:start w:val="24"/>
    </w:lvl>
  </w:abstractNum>
  <w:abstractNum w:abstractNumId="31">
    <w:nsid w:val="7644A45C"/>
    <w:multiLevelType w:val="hybridMultilevel"/>
    <w:lvl w:ilvl="0">
      <w:lvlJc w:val="left"/>
      <w:lvlText w:val="(%1)"/>
      <w:numFmt w:val="upperLetter"/>
      <w:start w:val="27"/>
    </w:lvl>
  </w:abstractNum>
  <w:abstractNum w:abstractNumId="32">
    <w:nsid w:val="32FFF902"/>
    <w:multiLevelType w:val="hybridMultilevel"/>
    <w:lvl w:ilvl="0">
      <w:lvlJc w:val="left"/>
      <w:lvlText w:val="(%1)"/>
      <w:numFmt w:val="upperLetter"/>
      <w:start w:val="30"/>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lowerRoman"/>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lvl w:ilvl="1">
      <w:lvlJc w:val="left"/>
      <w:lvlText w:val="(%2)"/>
      <w:numFmt w:val="decimal"/>
      <w:start w:val="1"/>
    </w:lvl>
  </w:abstractNum>
  <w:abstractNum w:abstractNumId="43">
    <w:nsid w:val="374A3FE6"/>
    <w:multiLevelType w:val="hybridMultilevel"/>
    <w:lvl w:ilvl="0">
      <w:lvlJc w:val="left"/>
      <w:lvlText w:val="(%1)"/>
      <w:numFmt w:val="decimal"/>
      <w:start w:val="2"/>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2"/>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1)"/>
      <w:numFmt w:val="lowerLetter"/>
      <w:start w:val="3"/>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decimal"/>
      <w:start w:val="3"/>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11"/>
    </w:lvl>
  </w:abstractNum>
  <w:abstractNum w:abstractNumId="57">
    <w:nsid w:val="10233C99"/>
    <w:multiLevelType w:val="hybridMultilevel"/>
    <w:lvl w:ilvl="0">
      <w:lvlJc w:val="left"/>
      <w:lvlText w:val="(%1)"/>
      <w:numFmt w:val="lowerLetter"/>
      <w:start w:val="19"/>
    </w:lvl>
    <w:lvl w:ilvl="1">
      <w:lvlJc w:val="left"/>
      <w:lvlText w:val="(%2)"/>
      <w:numFmt w:val="lowerRoman"/>
      <w:start w:val="1"/>
    </w:lvl>
  </w:abstractNum>
  <w:abstractNum w:abstractNumId="58">
    <w:nsid w:val="3F6AB60F"/>
    <w:multiLevelType w:val="hybridMultilevel"/>
    <w:lvl w:ilvl="0">
      <w:lvlJc w:val="left"/>
      <w:lvlText w:val="(%1)"/>
      <w:numFmt w:val="lowerLetter"/>
      <w:start w:val="24"/>
    </w:lvl>
  </w:abstractNum>
  <w:abstractNum w:abstractNumId="59">
    <w:nsid w:val="61574095"/>
    <w:multiLevelType w:val="hybridMultilevel"/>
    <w:lvl w:ilvl="0">
      <w:lvlJc w:val="left"/>
      <w:lvlText w:val="(%1)"/>
      <w:numFmt w:val="lowerLetter"/>
      <w:start w:val="27"/>
    </w:lvl>
  </w:abstractNum>
  <w:abstractNum w:abstractNumId="60">
    <w:nsid w:val="7E0C57B1"/>
    <w:multiLevelType w:val="hybridMultilevel"/>
    <w:lvl w:ilvl="0">
      <w:lvlJc w:val="left"/>
      <w:lvlText w:val="%1."/>
      <w:numFmt w:val="decimal"/>
      <w:start w:val="4"/>
    </w:lvl>
  </w:abstractNum>
  <w:abstractNum w:abstractNumId="61">
    <w:nsid w:val="77AE35EB"/>
    <w:multiLevelType w:val="hybridMultilevel"/>
    <w:lvl w:ilvl="0">
      <w:lvlJc w:val="left"/>
      <w:lvlText w:val="%1."/>
      <w:numFmt w:val="decimal"/>
      <w:start w:val="5"/>
    </w:lvl>
  </w:abstractNum>
  <w:abstractNum w:abstractNumId="62">
    <w:nsid w:val="579BE4F1"/>
    <w:multiLevelType w:val="hybridMultilevel"/>
    <w:lvl w:ilvl="0">
      <w:lvlJc w:val="left"/>
      <w:lvlText w:val="%1."/>
      <w:numFmt w:val="decimal"/>
      <w:start w:val="6"/>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jpe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jpe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181" Type="http://schemas.openxmlformats.org/officeDocument/2006/relationships/hyperlink" Target="https://www.sec.gov/Archives/edgar/data/1920294/000095017025057622/rzlv-20241231.htm" TargetMode="External"/><Relationship Id="rId182" Type="http://schemas.openxmlformats.org/officeDocument/2006/relationships/hyperlink" Target="https://www.sec.gov/Archives/edgar/data/1920294/000119312525245776/cfo_change_6-k.htm" TargetMode="External"/><Relationship Id="rId183" Type="http://schemas.openxmlformats.org/officeDocument/2006/relationships/hyperlink" Target="https://www.sec.gov/Archives/edgar/data/1920294/000119312525303269/atmcrown_6-k.htm" TargetMode="External"/><Relationship Id="rId184" Type="http://schemas.openxmlformats.org/officeDocument/2006/relationships/hyperlink" Target="https://www.sec.gov/Archives/edgar/data/1920294/000119312525309752/0001193125-25-309752-index.htm" TargetMode="External"/><Relationship Id="rId185" Type="http://schemas.openxmlformats.org/officeDocument/2006/relationships/hyperlink" Target="https://www.sec.gov/Archives/edgar/data/1920294/000119312524201396/d873446d8a12b.htm" TargetMode="External"/><Relationship Id="rId188" Type="http://schemas.openxmlformats.org/officeDocument/2006/relationships/hyperlink" Target="https://www.sec.gov/Archives/edgar/data/1920294/000119312523240685/d309194df4a.htm#anxacov" TargetMode="External"/><Relationship Id="rId189" Type="http://schemas.openxmlformats.org/officeDocument/2006/relationships/hyperlink" Target="https://www.sec.gov/Archives/edgar/data/1920294/000119312523240685/d309194df4a.htm#anxaa" TargetMode="External"/><Relationship Id="rId190" Type="http://schemas.openxmlformats.org/officeDocument/2006/relationships/hyperlink" Target="https://www.sec.gov/Archives/edgar/data/1920294/000095017025047916/rzlv-ex3_1.htm" TargetMode="External"/><Relationship Id="rId191" Type="http://schemas.openxmlformats.org/officeDocument/2006/relationships/hyperlink" Target="https://www.sec.gov/Archives/edgar/data/1920294/000119312524204510/d885107dex21.htm" TargetMode="External"/><Relationship Id="rId192" Type="http://schemas.openxmlformats.org/officeDocument/2006/relationships/hyperlink" Target="https://www.sec.gov/Archives/edgar/data/1920294/000119312524204510/d885107dex22.htm" TargetMode="External"/><Relationship Id="rId193" Type="http://schemas.openxmlformats.org/officeDocument/2006/relationships/hyperlink" Target="https://www.sec.gov/Archives/edgar/data/1920294/000119312524204510/d885107dex43.htm" TargetMode="External"/><Relationship Id="rId194" Type="http://schemas.openxmlformats.org/officeDocument/2006/relationships/hyperlink" Target="https://www.sec.gov/Archives/edgar/data/1920294/000119312524204510/d885107dex44.htm" TargetMode="External"/><Relationship Id="rId195" Type="http://schemas.openxmlformats.org/officeDocument/2006/relationships/hyperlink" Target="https://www.sec.gov/Archives/edgar/data/1920294/000119312524204510/d885107dex46.htm" TargetMode="External"/><Relationship Id="rId196" Type="http://schemas.openxmlformats.org/officeDocument/2006/relationships/hyperlink" Target="https://www.sec.gov/Archives/edgar/data/1920294/000119312524204510/d885107dex47.htm" TargetMode="External"/><Relationship Id="rId197" Type="http://schemas.openxmlformats.org/officeDocument/2006/relationships/hyperlink" Target="https://www.sec.gov/Archives/edgar/data/1920294/000119312525225236/rzlv-ex5_1.htm" TargetMode="External"/><Relationship Id="rId198" Type="http://schemas.openxmlformats.org/officeDocument/2006/relationships/hyperlink" Target="https://www.sec.gov/Archives/edgar/data/1920294/000119312524159410/d309194dex1017.htm" TargetMode="External"/><Relationship Id="rId199" Type="http://schemas.openxmlformats.org/officeDocument/2006/relationships/hyperlink" Target="https://www.sec.gov/Archives/edgar/data/1920294/000119312524143103/d309194dex1018.htm" TargetMode="External"/><Relationship Id="rId200" Type="http://schemas.openxmlformats.org/officeDocument/2006/relationships/hyperlink" Target="https://www.sec.gov/Archives/edgar/data/1920294/000119312524143103/d309194dex1019.htm" TargetMode="External"/><Relationship Id="rId201" Type="http://schemas.openxmlformats.org/officeDocument/2006/relationships/hyperlink" Target="https://www.sec.gov/Archives/edgar/data/1920294/000119312524143103/d309194dex1020.htm" TargetMode="External"/><Relationship Id="rId202" Type="http://schemas.openxmlformats.org/officeDocument/2006/relationships/hyperlink" Target="https://www.sec.gov/Archives/edgar/data/1920294/000119312524143103/d309194dex1021.htm" TargetMode="External"/><Relationship Id="rId203" Type="http://schemas.openxmlformats.org/officeDocument/2006/relationships/hyperlink" Target="https://www.sec.gov/Archives/edgar/data/1920294/000119312524143103/d309194dex1022.htm" TargetMode="External"/><Relationship Id="rId204" Type="http://schemas.openxmlformats.org/officeDocument/2006/relationships/hyperlink" Target="https://www.sec.gov/Archives/edgar/data/1920294/000119312524143103/d309194dex1023.htm" TargetMode="External"/><Relationship Id="rId205" Type="http://schemas.openxmlformats.org/officeDocument/2006/relationships/hyperlink" Target="https://www.sec.gov/Archives/edgar/data/1920294/000119312524143103/d309194dex1024.htm" TargetMode="External"/><Relationship Id="rId208" Type="http://schemas.openxmlformats.org/officeDocument/2006/relationships/hyperlink" Target="https://www.sec.gov/Archives/edgar/data/1844817/000119312524028592/d701134dex21.htm" TargetMode="External"/><Relationship Id="rId209" Type="http://schemas.openxmlformats.org/officeDocument/2006/relationships/hyperlink" Target="https://www.sec.gov/Archives/edgar/data/1920294/000095017024104513/rzlv-ex10_13.htm" TargetMode="External"/><Relationship Id="rId210" Type="http://schemas.openxmlformats.org/officeDocument/2006/relationships/hyperlink" Target="https://www.sec.gov/Archives/edgar/data/1920294/000095017024106474/rzlv-ex99_2.htm" TargetMode="External"/><Relationship Id="rId211" Type="http://schemas.openxmlformats.org/officeDocument/2006/relationships/hyperlink" Target="https://www.sec.gov/Archives/edgar/data/1920294/000095017024133740/rzlv-ex99_1.htm" TargetMode="External"/><Relationship Id="rId212" Type="http://schemas.openxmlformats.org/officeDocument/2006/relationships/hyperlink" Target="https://www.sec.gov/Archives/edgar/data/1920294/000095017024137626/rzlv-ex10_2.htm" TargetMode="External"/><Relationship Id="rId213" Type="http://schemas.openxmlformats.org/officeDocument/2006/relationships/hyperlink" Target="https://www.sec.gov/Archives/edgar/data/1920294/000095017024137626/rzlv-ex10_3.htm" TargetMode="External"/><Relationship Id="rId214" Type="http://schemas.openxmlformats.org/officeDocument/2006/relationships/hyperlink" Target="https://www.sec.gov/Archives/edgar/data/1920294/000095017024139714/rzlv-ex10_1.htm" TargetMode="External"/><Relationship Id="rId215" Type="http://schemas.openxmlformats.org/officeDocument/2006/relationships/hyperlink" Target="https://www.sec.gov/Archives/edgar/data/1920294/000095017025010226/rzlv-ex10_1.htm" TargetMode="External"/><Relationship Id="rId216" Type="http://schemas.openxmlformats.org/officeDocument/2006/relationships/hyperlink" Target="https://www.sec.gov/Archives/edgar/data/1920294/000095017025016341/rzlv-ex10_1.htm" TargetMode="External"/><Relationship Id="rId217" Type="http://schemas.openxmlformats.org/officeDocument/2006/relationships/hyperlink" Target="https://www.sec.gov/Archives/edgar/data/1920294/000095017025024898/rzlv-ex10_1.htm" TargetMode="External"/><Relationship Id="rId218" Type="http://schemas.openxmlformats.org/officeDocument/2006/relationships/hyperlink" Target="https://www.sec.gov/Archives/edgar/data/1920294/000095017025026125/rzlv-ex10_1.htm" TargetMode="External"/><Relationship Id="rId219" Type="http://schemas.openxmlformats.org/officeDocument/2006/relationships/hyperlink" Target="https://www.sec.gov/Archives/edgar/data/1920294/000095017025026125/rzlv-ex10_2.htm" TargetMode="External"/><Relationship Id="rId220" Type="http://schemas.openxmlformats.org/officeDocument/2006/relationships/hyperlink" Target="https://www.sec.gov/Archives/edgar/data/1920294/000095017025034867/rzlv-ex10_1.htm" TargetMode="External"/><Relationship Id="rId221" Type="http://schemas.openxmlformats.org/officeDocument/2006/relationships/hyperlink" Target="https://www.sec.gov/Archives/edgar/data/1920294/000095017025098790/rzlv-ex10_1.htm" TargetMode="External"/><Relationship Id="rId222" Type="http://schemas.openxmlformats.org/officeDocument/2006/relationships/hyperlink" Target="https://www.sec.gov/Archives/edgar/data/1920294/000095017025098790/rzlv-ex10_2.htm" TargetMode="External"/><Relationship Id="rId223" Type="http://schemas.openxmlformats.org/officeDocument/2006/relationships/hyperlink" Target="https://www.sec.gov/Archives/edgar/data/1920294/000095017025098790/rzlv-ex10_3.htm" TargetMode="External"/><Relationship Id="rId224" Type="http://schemas.openxmlformats.org/officeDocument/2006/relationships/hyperlink" Target="https://www.sec.gov/Archives/edgar/data/1920294/000119312525220703/rzlv-ex10_1.htm" TargetMode="External"/><Relationship Id="rId225" Type="http://schemas.openxmlformats.org/officeDocument/2006/relationships/hyperlink" Target="https://www.sec.gov/Archives/edgar/data/1920294/000119312525220703/rzlv-ex10_2.htm" TargetMode="External"/><Relationship Id="rId226" Type="http://schemas.openxmlformats.org/officeDocument/2006/relationships/hyperlink" Target="https://www.sec.gov/Archives/edgar/data/1920294/000119312525220703/rzlv-ex10_3.htm" TargetMode="External"/><Relationship Id="rId227" Type="http://schemas.openxmlformats.org/officeDocument/2006/relationships/hyperlink" Target="https://www.sec.gov/Archives/edgar/data/1920294/000119312525303269/rzlv-ex10_1.htm" TargetMode="External"/><Relationship Id="rId228" Type="http://schemas.openxmlformats.org/officeDocument/2006/relationships/hyperlink" Target="https://www.sec.gov/Archives/edgar/data/1920294/000119312525303269/rzlv-ex10_2.htm" TargetMode="External"/><Relationship Id="rId229" Type="http://schemas.openxmlformats.org/officeDocument/2006/relationships/hyperlink" Target="https://www.sec.gov/Archives/edgar/data/1920294/000119312525303269/rzlv-ex10_3.htm" TargetMode="External"/><Relationship Id="rId232" Type="http://schemas.openxmlformats.org/officeDocument/2006/relationships/hyperlink" Target="https://www.sec.gov/ix?doc=/Archives/edgar/data/1920294/000119312525225236/rzlv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2025-12-19T16:26:59Z</dcterms:created>
  <dcterms:modified xsi:type="dcterms:W3CDTF">2025-12-19T16:26:59Z</dcterms:modified>
</cp:coreProperties>
</file>