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Prospectus dated September 30, 2025)</w:t>
      </w:r>
    </w:p>
    <w:p>
      <w:pPr>
        <w:spacing w:after="0" w:line="20" w:lineRule="exact"/>
        <w:rPr>
          <w:sz w:val="24"/>
          <w:szCs w:val="24"/>
          <w:color w:val="auto"/>
        </w:rPr>
      </w:pPr>
      <w:r>
        <w:rPr>
          <w:sz w:val="24"/>
          <w:szCs w:val="24"/>
          <w:color w:val="auto"/>
        </w:rPr>
        <w:br w:type="column"/>
      </w:r>
    </w:p>
    <w:p>
      <w:pPr>
        <w:jc w:val="right"/>
        <w:ind w:right="3700"/>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ind w:right="3660"/>
        <w:spacing w:after="0"/>
        <w:rPr>
          <w:sz w:val="20"/>
          <w:szCs w:val="20"/>
          <w:color w:val="auto"/>
        </w:rPr>
      </w:pPr>
      <w:r>
        <w:rPr>
          <w:rFonts w:ascii="Times New Roman" w:cs="Times New Roman" w:eastAsia="Times New Roman" w:hAnsi="Times New Roman"/>
          <w:sz w:val="18"/>
          <w:szCs w:val="18"/>
          <w:b w:val="1"/>
          <w:bCs w:val="1"/>
          <w:color w:val="auto"/>
        </w:rPr>
        <w:t>Registration No. 333-290523</w:t>
      </w:r>
    </w:p>
    <w:p>
      <w:pPr>
        <w:spacing w:after="0" w:line="200" w:lineRule="exact"/>
        <w:rPr>
          <w:sz w:val="24"/>
          <w:szCs w:val="24"/>
          <w:color w:val="auto"/>
        </w:rPr>
      </w:pPr>
    </w:p>
    <w:p>
      <w:pPr>
        <w:sectPr>
          <w:pgSz w:w="11900" w:h="16838" w:orient="portrait"/>
          <w:cols w:equalWidth="0" w:num="2">
            <w:col w:w="4320" w:space="720"/>
            <w:col w:w="6200"/>
          </w:cols>
          <w:pgMar w:left="320" w:top="1089" w:right="339" w:bottom="1440" w:gutter="0" w:footer="0" w:header="0"/>
        </w:sect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Up to 7,499,994 Ordinary Shares </w:t>
      </w:r>
      <w:r>
        <w:rPr>
          <w:rFonts w:ascii="Times New Roman" w:cs="Times New Roman" w:eastAsia="Times New Roman" w:hAnsi="Times New Roman"/>
          <w:sz w:val="18"/>
          <w:szCs w:val="18"/>
          <w:b w:val="1"/>
          <w:bCs w:val="1"/>
          <w:i w:val="1"/>
          <w:iCs w:val="1"/>
          <w:color w:val="auto"/>
        </w:rPr>
        <w:t>(for issuance)</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Up to 164,925,654 Ordinary Shares </w:t>
      </w:r>
      <w:r>
        <w:rPr>
          <w:rFonts w:ascii="Times New Roman" w:cs="Times New Roman" w:eastAsia="Times New Roman" w:hAnsi="Times New Roman"/>
          <w:sz w:val="18"/>
          <w:szCs w:val="18"/>
          <w:b w:val="1"/>
          <w:bCs w:val="1"/>
          <w:i w:val="1"/>
          <w:iCs w:val="1"/>
          <w:color w:val="auto"/>
        </w:rPr>
        <w:t>(for resale)</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(this “Supplement No. 1”) updates and supplements the prospectus dated September 30, 2025 (as supplemented, the “Prospectus”), which forms a part of our Registration Statement on Form F-3 (Registration No. 333-290523). This Supplement No. 1 is being filed to supplement the information in the Prospectus related to the selling securityholders table in the Prospectus to reflect, among other things, the sale by DBLP Sea Cow Limited of 10,600,000 ordinary shares, par value £0.0001 (“Ordinary Shares”), as previously disclosed on the Schedule 13D/A filed on October 10, 2025.</w:t>
      </w:r>
    </w:p>
    <w:p>
      <w:pPr>
        <w:spacing w:after="0" w:line="183"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Prospectus relates to the previous registration for issuance by us of up to 7,499,994 Ordinary Shares issuable upon the exercise of public warrants to purchase Ordinary Shares at a price of $11.50 per share (“Public Warrants”).</w:t>
      </w:r>
    </w:p>
    <w:p>
      <w:pPr>
        <w:spacing w:after="0" w:line="162"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Prospectus also relates to previous registration for resale, from time to time, by the selling security holders named herein (the “Selling Holders”) of an aggregate of up to 164,925,654 Ordinary Shares issued or issuable to the Selling Holders, as described in the Prospectus.</w:t>
      </w:r>
    </w:p>
    <w:p>
      <w:pPr>
        <w:spacing w:after="0" w:line="162"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Supplement No. 1 updates and supplements the information in the Prospectus and is not complete without, and may not be delivered or utilized except in combination with, the Prospectus, including any amendments or supplements thereto. This Supplement No. 1 should be read in conjunction with the Prospectus and if there is any inconsistency between the information in the Prospectus and this Supplement No. 1, you should rely on the information in this Supplement No. 1.</w:t>
      </w:r>
    </w:p>
    <w:p>
      <w:pPr>
        <w:spacing w:after="0" w:line="180" w:lineRule="exact"/>
        <w:rPr>
          <w:sz w:val="24"/>
          <w:szCs w:val="24"/>
          <w:color w:val="auto"/>
        </w:rPr>
      </w:pPr>
    </w:p>
    <w:p>
      <w:pPr>
        <w:ind w:right="560"/>
        <w:spacing w:after="0" w:line="297" w:lineRule="auto"/>
        <w:rPr>
          <w:sz w:val="20"/>
          <w:szCs w:val="20"/>
          <w:color w:val="auto"/>
        </w:rPr>
      </w:pPr>
      <w:r>
        <w:rPr>
          <w:rFonts w:ascii="Times New Roman" w:cs="Times New Roman" w:eastAsia="Times New Roman" w:hAnsi="Times New Roman"/>
          <w:sz w:val="18"/>
          <w:szCs w:val="18"/>
          <w:color w:val="auto"/>
        </w:rPr>
        <w:t>The Ordinary Shares and the Public Warrants are traded on The Nasdaq Stock Market LLC (“Nasdaq”) under the symbols “RZLV” and “RZLVW,” respectively.</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8 of the Prospectus.</w:t>
      </w:r>
    </w:p>
    <w:p>
      <w:pPr>
        <w:spacing w:after="0" w:line="225" w:lineRule="exact"/>
        <w:rPr>
          <w:sz w:val="24"/>
          <w:szCs w:val="24"/>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to be issued under the Prospectus or this Supplement No. 1 or determined if this prospectus is accurate or adequate. Any representation to the contrary is a criminal offense.</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October [_],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prospectus relates to the resale by certain of the Selling Holders of up to 164,925,654 Ordinary Shares, consisting of (i) 95,534,552 Ordinary Shares; (ii ) 569,982 Ordinary Shares underlying the Private Warrants; (iii) 23,074,054 Ordinary Shares issued upon conversion of the Convertible Notes; (iv) 15,207,479 Ordinary Shares issued upon conversion of the Advance Subscriptions; (v) 695,033 Ordinary Shares issued upon the conversion of the Promissory Notes; (vi) 3,043,735 Ordinary Shares issuable upon conversion of the Cohen Note; (vii) 5,027,508 Ordinary Shares issuable upon conversion of the J.V.B. Note; (viii) 2,760,848 Ordinary Shares issued in connection with the Bluedot Acquisition; (ix) 3,986,531 Ordinary Shares issued in connection with the GroupBy Acquisition; (x) 5,857,143 Ordinary Shares issuable to WAB; (xi) 89,290 Ordinary Shares issuable to Roth Capital Partners, LLC as transaction-based compensation for the performance of advisory services rendered to the Company in connection with the Business Combination;</w:t>
      </w:r>
    </w:p>
    <w:p>
      <w:pPr>
        <w:spacing w:after="0" w:line="3" w:lineRule="exact"/>
        <w:rPr>
          <w:sz w:val="20"/>
          <w:szCs w:val="20"/>
          <w:color w:val="auto"/>
        </w:rPr>
      </w:pPr>
    </w:p>
    <w:p>
      <w:pPr>
        <w:ind w:right="180" w:firstLine="8"/>
        <w:spacing w:after="0" w:line="255" w:lineRule="auto"/>
        <w:tabs>
          <w:tab w:leader="none" w:pos="3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Ordinary Shares issued to Radio Group Holding GmbH and certain other holders in connection with the settlement of an agreement; (xiii) 800,000 Ordinary Shares issued to DBLP in connection with the DBLP Settlement Agreement; and (xiv) 7,979,499 Ordinary Shares issued in connection with the PIPE Financing.</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September 30, 2025 .</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United Kingdom, W1S 3DN.</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30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left w:val="single" w:sz="8" w:color="auto"/>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68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30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30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30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Daniel Wagner(3)</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4,698,505(11)</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4,698,504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Estate of John Wagner(4)</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819,958(11)</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819,958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Anthony Sharp(5)</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1,937,643</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1,937,643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Sir David Wright(6)</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495,343</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495,343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Perry(7)</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791,556</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791,556</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Douglas Lurio(8)</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357,647</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357,647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Herbert(9)</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199,971</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199,971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Peter Vesco(10)</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1,153,633</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1,153,633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DBLP Sea Cow Limited(11)</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42,523,621</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26,665,689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15,857,932</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Igor Lychagov(12)</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35,843,258</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35,843,258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Apeiron Investment Group Limited (13)</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25,097,545</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25,097,545</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ACM Alameda Special Purpose Investment</w:t>
            </w:r>
          </w:p>
        </w:tc>
        <w:tc>
          <w:tcPr>
            <w:tcW w:w="16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45,634</w:t>
            </w:r>
          </w:p>
        </w:tc>
        <w:tc>
          <w:tcPr>
            <w:tcW w:w="30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45,634</w:t>
            </w:r>
          </w:p>
        </w:tc>
        <w:tc>
          <w:tcPr>
            <w:tcW w:w="20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II LP(14)</w:t>
            </w:r>
          </w:p>
        </w:tc>
        <w:tc>
          <w:tcPr>
            <w:tcW w:w="168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318"/>
        </w:trPr>
        <w:tc>
          <w:tcPr>
            <w:tcW w:w="3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060"/>
        </w:trPr>
        <w:tc>
          <w:tcPr>
            <w:tcW w:w="37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49"/>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30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left w:val="single" w:sz="8" w:color="auto"/>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68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30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30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30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ACM Alamosa (Cayman) Holdco LP(15)</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51,889</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51,889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ACM ASOF VII (Cayman) Holdco LP(16)</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48,967</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48,967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Adam Krupczynski(17)</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111,913</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67,113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44,800</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Adam Wagner(18)</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906,250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6,250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900,000</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Antara Capital Total Return SPAC(19)</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265,483</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134,233</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Aperitus Limited(20)</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1,665,310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33,333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1,631,977</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Arthur Yao(21)</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1,311,816</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119,481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1,192,335</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ASJC Global LLC - Series 14 (22)</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1,036,863</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1,036,863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Atalaya Special Purpose Investment Fund II</w:t>
            </w:r>
          </w:p>
        </w:tc>
        <w:tc>
          <w:tcPr>
            <w:tcW w:w="16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35,177</w:t>
            </w:r>
          </w:p>
        </w:tc>
        <w:tc>
          <w:tcPr>
            <w:tcW w:w="30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35,177</w:t>
            </w:r>
          </w:p>
        </w:tc>
        <w:tc>
          <w:tcPr>
            <w:tcW w:w="20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LP(23)</w:t>
            </w:r>
          </w:p>
        </w:tc>
        <w:tc>
          <w:tcPr>
            <w:tcW w:w="168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Berenberg Capital Markets LLC(24)</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Bradley Wickens(25)</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25,764,806</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20,431,834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5,332,972</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1.65</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Brooks Newmark(26)</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17,395,676</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17,070,000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325,676</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Cecil Levy(27)</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30,553</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20,553</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Celso L. White(28)</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Cohen &amp; Company Financial Management</w:t>
            </w:r>
          </w:p>
        </w:tc>
        <w:tc>
          <w:tcPr>
            <w:tcW w:w="16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3,043,735</w:t>
            </w:r>
          </w:p>
        </w:tc>
        <w:tc>
          <w:tcPr>
            <w:tcW w:w="20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LLC(29)</w:t>
            </w:r>
          </w:p>
        </w:tc>
        <w:tc>
          <w:tcPr>
            <w:tcW w:w="168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Cohen Sponsor LLC - A14 RS(30)</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157,987</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157,987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Context Partners Master Fund LP(31)</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131,250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Corbin ERISA Opportunity Fund, Ltd. (32)</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24,583</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24,583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Julius Meller Management Services LTD(33)</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27,812</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27,812</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David Weinberger(34)</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201,300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300</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Derek Smith(35)</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33,334</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33,334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Dionysios Kolyris(36)</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65,209</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11,951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53,258</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DXG Deutsche Digital GmbH(37)</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7,333</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7,333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EF Hutton LLC(38)</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Ercan Kilic(39)</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18,175</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18,175</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FT SOF XIII (SPAC) Holdings, LLC(40)</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6,921</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6,921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Fujian Limatong XinXi Keji Youxian</w:t>
            </w:r>
          </w:p>
        </w:tc>
        <w:tc>
          <w:tcPr>
            <w:tcW w:w="16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325,411</w:t>
            </w:r>
          </w:p>
        </w:tc>
        <w:tc>
          <w:tcPr>
            <w:tcW w:w="30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325,411</w:t>
            </w:r>
          </w:p>
        </w:tc>
        <w:tc>
          <w:tcPr>
            <w:tcW w:w="20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Gongsi(41)</w:t>
            </w:r>
          </w:p>
        </w:tc>
        <w:tc>
          <w:tcPr>
            <w:tcW w:w="168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George Bellow(42)</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8,000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Jamie Beadle(43)</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10,286</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10,286</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J.V.B. Financial Group, LLC(44)</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5,027,508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Justin King(45)</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42,509</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35,321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7,188</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Julien Nurse(46)</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59,102</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59,102</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Kantor Investment Company LLC(47)</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79,785</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69,785</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Karen Kalaris(48)</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111,632</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46,353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65,279</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Israel(49)</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71,785</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31,785</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Maxim Group LLC(50)</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Meteora Capital Partners, L.P. (51)</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131,250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3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S-2</w:t>
            </w: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060"/>
        </w:trPr>
        <w:tc>
          <w:tcPr>
            <w:tcW w:w="37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49"/>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30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left w:val="single" w:sz="8" w:color="auto"/>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68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30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30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30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Mohammad Anwar Khan(52)</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Patel Family Investment LLC(53)</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206,398</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166,667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39,731</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Quality Kiosk(54)</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35,402</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35,402</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Radcliffe SPAC Master Fund, L.P. (55)</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175,566</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175,566</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JingQian Hou (56)</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2,321</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2,321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Roth Capital Partners, LLC(57)</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89,290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89,290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Rong Lin(58)</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25,603</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9,283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16,320</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Sam Lewis(59)</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137,832</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117,832</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Sandia Investment Management LP(60)</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53,503</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53,503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Sharat Williams(61)</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3,372</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3,372</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Susan Briggs(62)</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128,530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128,530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Techouts Solutions India Pvt ltd(63)</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17,078</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17,078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spacing w:after="0"/>
              <w:rPr>
                <w:sz w:val="18"/>
                <w:szCs w:val="18"/>
                <w:color w:val="auto"/>
              </w:rPr>
            </w:pP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Thomas Decker(64)</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Trustees of Risol Limited Pension(65)</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486,987</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46,353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440,634</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UBIRY GmbH(66)</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Vellar Opportunities Fund Master, Ltd.(67)</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33,000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Yi-Han Pao(68)</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Zedfesto Holding Ltd.(69)</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Zheng Jie(70)</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1,857</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1,857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Radio Group Holding GmbH(71)</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120,000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Stephan Schwenk(72)</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180,000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Tanist Group Limited(73)</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2,731,566</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1,966,111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765,455</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Western Alliance Bank(74)</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5,857,143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Will Warren(75)</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52,838</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52,838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Jerome Cheung-Bret(76)</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44,031</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44,031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Laura Gossage(77)</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168,587</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168,587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Roland Gossage(78)</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203,020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203,020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Susanne Bundy(79)</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708</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Amanda Young(80)</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14,506</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14,506</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Grange(81)</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14,319</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14,319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Kenneth A. Devlin(82)</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6,173</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6,173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Long(83)</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6,173</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6,173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Estate of Gerd Opderbeck(84)</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12,346</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12,346</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 Belcourt Consulting Group Inc.(85)</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18,519</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18,519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ITF KKLM Investments CO. Ltd.(86)</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8,025</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8,025</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2432332 Ontario Inc.(87)</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53,024</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53,024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Holger Opderbeck(88)</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24,691</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24,691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Austin Ventures X, L.P.(89)</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9,114</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9,114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Dejan Mircevski(90)</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10,058</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10,058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Dunlap(91)</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79,093</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79,093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Leonard Meloff(92)</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59,451</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59,451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Stibbe(93)</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205,803</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205,803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Srikant Nayak(94)</w:t>
            </w: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21,610</w:t>
            </w:r>
          </w:p>
        </w:tc>
        <w:tc>
          <w:tcPr>
            <w:tcW w:w="3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21,610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17"/>
        </w:trPr>
        <w:tc>
          <w:tcPr>
            <w:tcW w:w="3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S-3</w:t>
            </w: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060"/>
        </w:trPr>
        <w:tc>
          <w:tcPr>
            <w:tcW w:w="37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49"/>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9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980" w:type="dxa"/>
            <w:vAlign w:val="bottom"/>
            <w:tcBorders>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Alder(95)</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2,379</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2,379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Gorstidge Consulting Inc.(96)</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36,278</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36,278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Shashikant Nayak(97)</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10,824</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10,824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Deepa Shashikant(98)</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4,937</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4,937</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Jacquie Estey(99)</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44,733</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44,733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Jian Yang(100)</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43,404</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43,404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Kevin D’Souza(101)</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21,601</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21,601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Cole(102)</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16,468</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16,468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PeakSpan Capital Growth Partners I, L.P.(103)</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2,071,294</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2,071,294</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74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PeakSpan Capital Growth Partners l-A, L.P.</w:t>
            </w:r>
          </w:p>
        </w:tc>
        <w:tc>
          <w:tcPr>
            <w:tcW w:w="19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14,251</w:t>
            </w: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14,251</w:t>
            </w:r>
          </w:p>
        </w:tc>
        <w:tc>
          <w:tcPr>
            <w:tcW w:w="20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9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Ramona D’Souza(105)</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21,601</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21,601</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Randy Cornelisse(106)</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11,203</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11,203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Ravish Diwakar Kamath(107)</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15,788</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15,788</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Srinivasan Kesavan(108)</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10,769</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10,769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William J Halpenny(109)</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51,593</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51,593</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CHC Direct Investment Fund I, L.P.(110)</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597,375</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597,375</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Citadel CEMF Investments Ltd. (111)</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20,579,499</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7,979,499</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12,600,000</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185" w:lineRule="exact"/>
        <w:rPr>
          <w:sz w:val="20"/>
          <w:szCs w:val="20"/>
          <w:color w:val="auto"/>
        </w:rPr>
      </w:pPr>
    </w:p>
    <w:p>
      <w:pPr>
        <w:ind w:left="520" w:right="160" w:hanging="512"/>
        <w:spacing w:after="0" w:line="261" w:lineRule="auto"/>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Ordinary Shares to be beneficially owned after completion of this offering is calculated on the basis of 322,174,536 Ordinary Shares outstanding, which includes the issuance of all Ordinary Shares issuable upon the exercise of all currently outstanding Warrants, the sale of all securities offered hereby by that particular Selling Holder and does not assume the exercise, conversion or sale, as applicable, by any other Selling Holder.</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Ordinary Shares being offered pursuant to this prospectus.</w:t>
      </w:r>
    </w:p>
    <w:p>
      <w:pPr>
        <w:spacing w:after="0" w:line="117"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4,698,504 Ordinary Shares directly held by Mr. Daniel Wagner. Mr. Daniel Wagner is the CEO and a director of Rezolve.</w:t>
      </w:r>
    </w:p>
    <w:p>
      <w:pPr>
        <w:spacing w:after="0" w:line="53"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815,989 Ordinary Shares and (ii) 3,969 Ordinary Shares underlying the Private Warrants held by Mr. John Wagner's estate. Mr. John Wagner was a director of Rezolve.</w:t>
      </w:r>
    </w:p>
    <w:p>
      <w:pPr>
        <w:spacing w:after="0" w:line="53" w:lineRule="exact"/>
        <w:rPr>
          <w:rFonts w:ascii="Times New Roman" w:cs="Times New Roman" w:eastAsia="Times New Roman" w:hAnsi="Times New Roman"/>
          <w:sz w:val="18"/>
          <w:szCs w:val="18"/>
          <w:color w:val="auto"/>
        </w:rPr>
      </w:pPr>
    </w:p>
    <w:p>
      <w:pPr>
        <w:ind w:left="520" w:right="340" w:hanging="512"/>
        <w:spacing w:after="0" w:line="266" w:lineRule="auto"/>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1,879,352 Ordinary Shares; (ii) 42,441 Ordinary Shares issued upon the conversion of the Advance Subscription made by Mr. Sharp; and (iii) 15,850 Ordinary Shares underlying the Private Warrants held by Mr. Sharp. Mr. Sharp is a director of Rezolve.</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495,343 Ordinary Shares directly held by Sir David Wright. Sir David Wright is a director of Rezolve.</w:t>
      </w:r>
    </w:p>
    <w:p>
      <w:pPr>
        <w:spacing w:after="0" w:line="117" w:lineRule="exact"/>
        <w:rPr>
          <w:rFonts w:ascii="Times New Roman" w:cs="Times New Roman" w:eastAsia="Times New Roman" w:hAnsi="Times New Roman"/>
          <w:sz w:val="18"/>
          <w:szCs w:val="18"/>
          <w:color w:val="auto"/>
        </w:rPr>
      </w:pPr>
    </w:p>
    <w:p>
      <w:pPr>
        <w:ind w:left="520" w:right="40" w:hanging="512"/>
        <w:spacing w:after="0" w:line="261" w:lineRule="auto"/>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564,935 Ordinary Shares; (ii) 34,395 Ordinary Shares issued upon conversion of the Promissory Note held by Mr. Perry; (iii) 110,000 Ordinary Shares issued upon the conversion of the Advance Subscription made by Mr. Perry; (iv) 12,700 Ordinary Shares underlying the Private Warrants held by Mr. Perry; and (v) 69,526 Ordinary Shares issued upon conversion of the Convertible Note held by Mr. Perry. Mr. Perry is a director of Rezolve.</w:t>
      </w:r>
    </w:p>
    <w:p>
      <w:pPr>
        <w:spacing w:after="0" w:line="7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357,647 Ordinary Shares directly held by Mr. Lurio. Mr. Lurio served as President and a director of Armada, which became a wholly owned subsidiary of the Company in connection with the Business Combination, since Armada’s inception in November 2020. Mr. Lurio became a director of Rezolve following the Business Combination and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ind w:left="512"/>
        <w:spacing w:after="0"/>
        <w:rPr>
          <w:sz w:val="20"/>
          <w:szCs w:val="20"/>
          <w:color w:val="auto"/>
        </w:rPr>
      </w:pPr>
      <w:r>
        <w:rPr>
          <w:rFonts w:ascii="Times New Roman" w:cs="Times New Roman" w:eastAsia="Times New Roman" w:hAnsi="Times New Roman"/>
          <w:sz w:val="18"/>
          <w:szCs w:val="18"/>
          <w:color w:val="auto"/>
        </w:rPr>
        <w:t>served in such capacity until his resignation on August 20, 2024. Mr. Lurio’s business address is 1007 Canterbury Lane, Villanova, PA 19805.</w:t>
      </w:r>
    </w:p>
    <w:p>
      <w:pPr>
        <w:spacing w:after="0" w:line="117" w:lineRule="exact"/>
        <w:rPr>
          <w:sz w:val="20"/>
          <w:szCs w:val="20"/>
          <w:color w:val="auto"/>
        </w:rPr>
      </w:pPr>
    </w:p>
    <w:p>
      <w:pPr>
        <w:ind w:left="512" w:right="300" w:hanging="512"/>
        <w:spacing w:after="0" w:line="266" w:lineRule="auto"/>
        <w:tabs>
          <w:tab w:leader="none" w:pos="5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199,971 Ordinary Shares directly held by Mr. Herbert. Mr. Herbert was a director of Rezolve. Mr. Herbert served as Chief Executive Officer and Chairman of Armada, which became a wholly owned subsidiary of the Company in connection with the Business Combination, since Armada’s inception in November 2020. Mr. Herbert’s business address is PO Box 2339, Breckenridge, CO 80424.</w:t>
      </w:r>
    </w:p>
    <w:p>
      <w:pPr>
        <w:spacing w:after="0" w:line="67" w:lineRule="exact"/>
        <w:rPr>
          <w:rFonts w:ascii="Times New Roman" w:cs="Times New Roman" w:eastAsia="Times New Roman" w:hAnsi="Times New Roman"/>
          <w:sz w:val="18"/>
          <w:szCs w:val="18"/>
          <w:color w:val="auto"/>
        </w:rPr>
      </w:pPr>
    </w:p>
    <w:p>
      <w:pPr>
        <w:ind w:left="512" w:right="780" w:hanging="512"/>
        <w:spacing w:after="0" w:line="282" w:lineRule="auto"/>
        <w:tabs>
          <w:tab w:leader="none" w:pos="5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1,142,384 Ordinary Shares and (ii) 11,249 Ordinary Shares issued upon conversion of the Advance Subscription made by Mr. Vesco. Mr. Vesco is the Chief Commercial Officer and General Manager (EMEA) of Rezolve.</w:t>
      </w:r>
    </w:p>
    <w:p>
      <w:pPr>
        <w:spacing w:after="0" w:line="53" w:lineRule="exact"/>
        <w:rPr>
          <w:rFonts w:ascii="Times New Roman" w:cs="Times New Roman" w:eastAsia="Times New Roman" w:hAnsi="Times New Roman"/>
          <w:sz w:val="18"/>
          <w:szCs w:val="18"/>
          <w:color w:val="auto"/>
        </w:rPr>
      </w:pPr>
    </w:p>
    <w:p>
      <w:pPr>
        <w:ind w:left="512" w:right="40" w:hanging="512"/>
        <w:spacing w:after="0" w:line="254" w:lineRule="auto"/>
        <w:tabs>
          <w:tab w:leader="none" w:pos="5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20,645,952 Ordinary Shares; (ii) 4,150,000 Ordinary Shares issued upon the conversion of the Advanced Subscription made by DBLP, (iii) 250,000 Ordinary Shares underlying the Private Warrants held by DBLP, (iv) 819,737 shares DBLP received in connection with the Blue Dot Acquisition and (v) 800,000 shares issued pursuant to a settlement agreement. Shares beneficially held consist of 42,523,621 Ordinary Shares held by DBLP Sea Cow Ltd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DBLP is wholly legally owned by Daniel Wagner and is wholly beneficially owned by the Estate of John Wagner. Daniel Wagner is a director of DBLP and may be deemed to share voting and investment power over the shares held by DBLP. Daniel Wagner is also a director of Rezolve. The percentage of Ordinary Shares to be beneficially owned after completion of this offering is calculated on the basis of 15,857,932 Ordinary Shares held after the shares registered hereby are sold divided 322,174,536 Ordinary Shares outstanding.</w:t>
      </w:r>
    </w:p>
    <w:p>
      <w:pPr>
        <w:spacing w:after="0" w:line="83" w:lineRule="exact"/>
        <w:rPr>
          <w:rFonts w:ascii="Times New Roman" w:cs="Times New Roman" w:eastAsia="Times New Roman" w:hAnsi="Times New Roman"/>
          <w:sz w:val="18"/>
          <w:szCs w:val="18"/>
          <w:color w:val="auto"/>
        </w:rPr>
      </w:pPr>
    </w:p>
    <w:p>
      <w:pPr>
        <w:ind w:left="512" w:right="240" w:hanging="512"/>
        <w:spacing w:after="0" w:line="258" w:lineRule="auto"/>
        <w:tabs>
          <w:tab w:leader="none" w:pos="5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34,649,207 Ordinary Shares and (ii) 1,194,051 Ordinary Shares of the issued upon conversion of the Convertible Note held by Mr. Lychagov. Mr. Lychagov has sole voting and investment power over these securities. These securities are held directly by Mr. Lychagov, with no agreements or understandings with any other parties regarding the distribution of the securities. Mr. Lychagov resigned as a director of Rezolve on May 19, 2023, having served in such position since August 2019. Mr. Lychagov’s business address is c/o LakeShore International Management AG, Obergrundstrasse 44, 6003 Luzern, Switzerland.</w:t>
      </w:r>
    </w:p>
    <w:p>
      <w:pPr>
        <w:spacing w:after="0" w:line="75" w:lineRule="exact"/>
        <w:rPr>
          <w:rFonts w:ascii="Times New Roman" w:cs="Times New Roman" w:eastAsia="Times New Roman" w:hAnsi="Times New Roman"/>
          <w:sz w:val="18"/>
          <w:szCs w:val="18"/>
          <w:color w:val="auto"/>
        </w:rPr>
      </w:pPr>
    </w:p>
    <w:p>
      <w:pPr>
        <w:ind w:left="512" w:right="40" w:hanging="512"/>
        <w:spacing w:after="0" w:line="255" w:lineRule="auto"/>
        <w:tabs>
          <w:tab w:leader="none" w:pos="5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10,712,645 Ordinary Shares, (ii) 182,886 Ordinary Shares with respect to Ordinary Shares issuable upon potential conversion of the Promissory Note held by Apeiron, (iii) 333,333 Ordinary Shares with respect to the potential conversion of the Advance Subscription made by Apeiron, (iv) 62,500 Ordinary Shares underlying the Private Warrants held by Apeiron; and (v) 13,806,181 Ordinary Shares with respect to Ordinary Shares issued upon conversion of the Convertible Note held by Apeiron. Excludes 1,240,865 Ordinary Shares held by Apeiron on Brad Wickens' behalf. Christian Angermayer is the majority shareholder of Apeiron Investment Group Limited (“</w:t>
      </w:r>
      <w:r>
        <w:rPr>
          <w:rFonts w:ascii="Times New Roman" w:cs="Times New Roman" w:eastAsia="Times New Roman" w:hAnsi="Times New Roman"/>
          <w:sz w:val="18"/>
          <w:szCs w:val="18"/>
          <w:b w:val="1"/>
          <w:bCs w:val="1"/>
          <w:i w:val="1"/>
          <w:iCs w:val="1"/>
          <w:color w:val="auto"/>
        </w:rPr>
        <w:t>Apeiron</w:t>
      </w:r>
      <w:r>
        <w:rPr>
          <w:rFonts w:ascii="Times New Roman" w:cs="Times New Roman" w:eastAsia="Times New Roman" w:hAnsi="Times New Roman"/>
          <w:sz w:val="18"/>
          <w:szCs w:val="18"/>
          <w:color w:val="auto"/>
        </w:rPr>
        <w:t>”) and may be deemed to share beneficial ownership of the securities beneficially owned by Apeiron. The principal business address of Apeiron and Mr. Angermayer is 66 &amp; 67, Beatrice, Amery Street, Sliema SLM1707, Malta.</w:t>
      </w:r>
    </w:p>
    <w:p>
      <w:pPr>
        <w:spacing w:after="0" w:line="80" w:lineRule="exact"/>
        <w:rPr>
          <w:rFonts w:ascii="Times New Roman" w:cs="Times New Roman" w:eastAsia="Times New Roman" w:hAnsi="Times New Roman"/>
          <w:sz w:val="18"/>
          <w:szCs w:val="18"/>
          <w:color w:val="auto"/>
        </w:rPr>
      </w:pPr>
    </w:p>
    <w:p>
      <w:pPr>
        <w:ind w:left="512" w:right="260" w:hanging="512"/>
        <w:spacing w:after="0" w:line="293" w:lineRule="auto"/>
        <w:tabs>
          <w:tab w:leader="none" w:pos="51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registered hereby consist of 45,634 Ordinary Shares directly held by ACM Almeda Special Purpose Investment Fund II LP. The principal business address of ACM Almeda Special Purpose Investment Fund II LP is One Rockefeller Center, 32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7"/>
          <w:szCs w:val="17"/>
          <w:color w:val="auto"/>
        </w:rPr>
        <w:t xml:space="preserve"> Floor, New York, NY 10020.</w:t>
      </w:r>
    </w:p>
    <w:p>
      <w:pPr>
        <w:spacing w:after="0" w:line="1" w:lineRule="exact"/>
        <w:rPr>
          <w:rFonts w:ascii="Times New Roman" w:cs="Times New Roman" w:eastAsia="Times New Roman" w:hAnsi="Times New Roman"/>
          <w:sz w:val="17"/>
          <w:szCs w:val="17"/>
          <w:color w:val="auto"/>
        </w:rPr>
      </w:pPr>
    </w:p>
    <w:p>
      <w:pPr>
        <w:ind w:left="512" w:hanging="512"/>
        <w:spacing w:after="0" w:line="272" w:lineRule="auto"/>
        <w:tabs>
          <w:tab w:leader="none" w:pos="5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51,889 Ordinary Shares directly held by ACM Alamosa (Cayman) Holdco LP (“</w:t>
      </w:r>
      <w:r>
        <w:rPr>
          <w:rFonts w:ascii="Times New Roman" w:cs="Times New Roman" w:eastAsia="Times New Roman" w:hAnsi="Times New Roman"/>
          <w:sz w:val="18"/>
          <w:szCs w:val="18"/>
          <w:b w:val="1"/>
          <w:bCs w:val="1"/>
          <w:i w:val="1"/>
          <w:iCs w:val="1"/>
          <w:color w:val="auto"/>
        </w:rPr>
        <w:t>ACM Alamosa</w:t>
      </w:r>
      <w:r>
        <w:rPr>
          <w:rFonts w:ascii="Times New Roman" w:cs="Times New Roman" w:eastAsia="Times New Roman" w:hAnsi="Times New Roman"/>
          <w:sz w:val="18"/>
          <w:szCs w:val="18"/>
          <w:color w:val="auto"/>
        </w:rPr>
        <w:t>”). Mr. Ivan Zinn may be deemed to share beneficial ownership of the securities beneficially owned by ACM Alamosa. The principal business address of ACM Alamosa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New York, NY 10020.</w:t>
      </w:r>
    </w:p>
    <w:p>
      <w:pPr>
        <w:spacing w:after="0" w:line="1" w:lineRule="exact"/>
        <w:rPr>
          <w:rFonts w:ascii="Times New Roman" w:cs="Times New Roman" w:eastAsia="Times New Roman" w:hAnsi="Times New Roman"/>
          <w:sz w:val="18"/>
          <w:szCs w:val="18"/>
          <w:color w:val="auto"/>
        </w:rPr>
      </w:pPr>
    </w:p>
    <w:p>
      <w:pPr>
        <w:jc w:val="both"/>
        <w:ind w:left="512" w:right="20" w:hanging="512"/>
        <w:spacing w:after="0" w:line="273" w:lineRule="auto"/>
        <w:tabs>
          <w:tab w:leader="none" w:pos="5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48,967 Ordinary Shares directly held by ACM ASOF VII (Cayman) Holdco LP (“</w:t>
      </w:r>
      <w:r>
        <w:rPr>
          <w:rFonts w:ascii="Times New Roman" w:cs="Times New Roman" w:eastAsia="Times New Roman" w:hAnsi="Times New Roman"/>
          <w:sz w:val="18"/>
          <w:szCs w:val="18"/>
          <w:b w:val="1"/>
          <w:bCs w:val="1"/>
          <w:i w:val="1"/>
          <w:iCs w:val="1"/>
          <w:color w:val="auto"/>
        </w:rPr>
        <w:t>ACM ASOF</w:t>
      </w:r>
      <w:r>
        <w:rPr>
          <w:rFonts w:ascii="Times New Roman" w:cs="Times New Roman" w:eastAsia="Times New Roman" w:hAnsi="Times New Roman"/>
          <w:sz w:val="18"/>
          <w:szCs w:val="18"/>
          <w:color w:val="auto"/>
        </w:rPr>
        <w:t>”). Mr. Ivan Zinn may be deemed to share beneficial ownership of the securities beneficially owned by ACM ASOF. The principal business address of ACM ASOF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New York, NY 10020.</w:t>
      </w:r>
    </w:p>
    <w:p>
      <w:pPr>
        <w:spacing w:after="0" w:line="2" w:lineRule="exact"/>
        <w:rPr>
          <w:rFonts w:ascii="Times New Roman" w:cs="Times New Roman" w:eastAsia="Times New Roman" w:hAnsi="Times New Roman"/>
          <w:sz w:val="18"/>
          <w:szCs w:val="18"/>
          <w:color w:val="auto"/>
        </w:rPr>
      </w:pPr>
    </w:p>
    <w:p>
      <w:pPr>
        <w:ind w:left="512" w:right="40" w:hanging="512"/>
        <w:spacing w:after="0" w:line="266" w:lineRule="auto"/>
        <w:tabs>
          <w:tab w:leader="none" w:pos="5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67,113 Ordinary Shares directly held by Mr. Krupczynski. Mr. Krupczynski is a long-term employee of Rezolve and currently holds an active employment contract with the Company. The principal business address for Mr. Krupczynski is Przy Agorze 26/191, 01-930 Warsaw, Poland.</w:t>
      </w:r>
    </w:p>
    <w:p>
      <w:pPr>
        <w:spacing w:after="0" w:line="67" w:lineRule="exact"/>
        <w:rPr>
          <w:rFonts w:ascii="Times New Roman" w:cs="Times New Roman" w:eastAsia="Times New Roman" w:hAnsi="Times New Roman"/>
          <w:sz w:val="18"/>
          <w:szCs w:val="18"/>
          <w:color w:val="auto"/>
        </w:rPr>
      </w:pPr>
    </w:p>
    <w:p>
      <w:pPr>
        <w:ind w:left="512" w:right="360" w:hanging="512"/>
        <w:spacing w:after="0" w:line="282" w:lineRule="auto"/>
        <w:tabs>
          <w:tab w:leader="none" w:pos="5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6,250 Ordinary Shares underlying the Private Warrants held by Mr. Adam Wagner. Shares beneficially held consist of (i) 900,000 Ordinary Shares, and (ii) 6,250 Ordinary Shares underlying the Private Warrants held by Mr. Adam Wagner.</w:t>
      </w:r>
    </w:p>
    <w:p>
      <w:pPr>
        <w:spacing w:after="0" w:line="53" w:lineRule="exact"/>
        <w:rPr>
          <w:rFonts w:ascii="Times New Roman" w:cs="Times New Roman" w:eastAsia="Times New Roman" w:hAnsi="Times New Roman"/>
          <w:sz w:val="18"/>
          <w:szCs w:val="18"/>
          <w:color w:val="auto"/>
        </w:rPr>
      </w:pPr>
    </w:p>
    <w:p>
      <w:pPr>
        <w:ind w:left="512" w:right="120" w:hanging="512"/>
        <w:spacing w:after="0" w:line="258" w:lineRule="auto"/>
        <w:tabs>
          <w:tab w:leader="none" w:pos="5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131,250 Ordinary Shares directly held by Antara Capital Total Return. Shares beneficially held consist of 265,483 Ordinary Shares directly held by Antara Capital Total Return SPAC Master Fund L.P. (“</w:t>
      </w:r>
      <w:r>
        <w:rPr>
          <w:rFonts w:ascii="Times New Roman" w:cs="Times New Roman" w:eastAsia="Times New Roman" w:hAnsi="Times New Roman"/>
          <w:sz w:val="18"/>
          <w:szCs w:val="18"/>
          <w:b w:val="1"/>
          <w:bCs w:val="1"/>
          <w:i w:val="1"/>
          <w:iCs w:val="1"/>
          <w:color w:val="auto"/>
        </w:rPr>
        <w:t>Antara Capital Total Return</w:t>
      </w:r>
      <w:r>
        <w:rPr>
          <w:rFonts w:ascii="Times New Roman" w:cs="Times New Roman" w:eastAsia="Times New Roman" w:hAnsi="Times New Roman"/>
          <w:sz w:val="18"/>
          <w:szCs w:val="18"/>
          <w:color w:val="auto"/>
        </w:rPr>
        <w:t>”). Mr. Himanshu Gulati is the Managing Member of the general partner of Antara Capital Total Return and may be deemed to beneficially own the securities owned by Antara Capital Total Return. The principal business address of Antara Capital Total Return is 2005 Market Street, Suite 3120, Philadelphia, PA 19103.</w:t>
      </w:r>
    </w:p>
    <w:p>
      <w:pPr>
        <w:spacing w:after="0" w:line="7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93" w:right="359" w:bottom="1440" w:gutter="0" w:footer="0" w:header="0"/>
        </w:sectPr>
      </w:pPr>
    </w:p>
    <w:bookmarkStart w:id="6" w:name="page7"/>
    <w:bookmarkEnd w:id="6"/>
    <w:p>
      <w:pPr>
        <w:ind w:left="512" w:right="380" w:hanging="512"/>
        <w:spacing w:after="0" w:line="266"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33,333 Ordinary Shares issued upon the conversion of the Advance Subscription made by Aperitus Limited. Shares beneficially held consist of (i) 1,631,977 Ordinary Shares and (ii) 33,333 Ordinary Shares issued upon the conversion of the Advance Subscription made by Aperitus Limited.</w:t>
      </w:r>
    </w:p>
    <w:p>
      <w:pPr>
        <w:spacing w:after="0" w:line="67" w:lineRule="exact"/>
        <w:rPr>
          <w:rFonts w:ascii="Times New Roman" w:cs="Times New Roman" w:eastAsia="Times New Roman" w:hAnsi="Times New Roman"/>
          <w:sz w:val="18"/>
          <w:szCs w:val="18"/>
          <w:color w:val="auto"/>
        </w:rPr>
      </w:pPr>
    </w:p>
    <w:p>
      <w:pPr>
        <w:ind w:left="512" w:hanging="512"/>
        <w:spacing w:after="0" w:line="256"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50,780 Ordinary Shares issued upon conversion of the Promissory Note held by Mr. Yao; (ii) 49,951 Ordinary Shares issued upon conversion of the Advance Subscription made by Mr. Yao; and (iii) 18,750 Ordinary Shares underlying the Private Warrants held by Mr. Yao. Shares beneficially held consist of (i) 1,192,335 Ordinary Shares; (ii) 50,780 Ordinary Shares issued upon conversion of the Promissory Note held by Mr. Yao; (iii) 49,951 Ordinary Shares issued upon conversion of the Advance Subscription made by Mr. Yao; and (iv) 18,750 Ordinary Shares underlying the Private Warrants held by Mr. Yao. Mr. Yao is the Chief Executive Officer of Rezolve’s China office. The principal business address for Mr. Yao is No. 2 Zhuang, 268 Hao, Qinggong Lu, Fengxianqu, Shanghai, China.</w:t>
      </w:r>
    </w:p>
    <w:p>
      <w:pPr>
        <w:spacing w:after="0" w:line="79" w:lineRule="exact"/>
        <w:rPr>
          <w:rFonts w:ascii="Times New Roman" w:cs="Times New Roman" w:eastAsia="Times New Roman" w:hAnsi="Times New Roman"/>
          <w:sz w:val="18"/>
          <w:szCs w:val="18"/>
          <w:color w:val="auto"/>
        </w:rPr>
      </w:pPr>
    </w:p>
    <w:p>
      <w:pPr>
        <w:ind w:left="512" w:right="60" w:hanging="512"/>
        <w:spacing w:after="0" w:line="247"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herby consist of 1,036,863 Ordinary Shares directly held by ASJC Global LLC - Series 14 (“ASJC Global”). Mr. Andrew Davilman, in his capacity as the Chief Operating Officer, may be deemed to control the securities owned by ASJC Global. ASJC Global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ASJC Global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ASJC Global is 3 Columbus Circle, 24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10019.</w:t>
      </w:r>
    </w:p>
    <w:p>
      <w:pPr>
        <w:spacing w:after="0" w:line="87" w:lineRule="exact"/>
        <w:rPr>
          <w:rFonts w:ascii="Times New Roman" w:cs="Times New Roman" w:eastAsia="Times New Roman" w:hAnsi="Times New Roman"/>
          <w:sz w:val="18"/>
          <w:szCs w:val="18"/>
          <w:color w:val="auto"/>
        </w:rPr>
      </w:pPr>
    </w:p>
    <w:p>
      <w:pPr>
        <w:ind w:left="512" w:right="80" w:hanging="512"/>
        <w:spacing w:after="0" w:line="281"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35,177 Ordinary Shares directly held by Atalaya Special Purpose Investment Fund II LP. The principal business address of Atalaya Special Purpose Investment Fund II LP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New York, NY 10020.</w:t>
      </w:r>
    </w:p>
    <w:p>
      <w:pPr>
        <w:spacing w:after="0" w:line="1" w:lineRule="exact"/>
        <w:rPr>
          <w:rFonts w:ascii="Times New Roman" w:cs="Times New Roman" w:eastAsia="Times New Roman" w:hAnsi="Times New Roman"/>
          <w:sz w:val="18"/>
          <w:szCs w:val="18"/>
          <w:color w:val="auto"/>
        </w:rPr>
      </w:pPr>
    </w:p>
    <w:p>
      <w:pPr>
        <w:ind w:left="512" w:right="80" w:hanging="512"/>
        <w:spacing w:after="0" w:line="254"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the maximum number of Ordinary Shares that may be issued in relation to those Ordinary Shares the Company issued to Berenberg Capital Markets LLC (“</w:t>
      </w:r>
      <w:r>
        <w:rPr>
          <w:rFonts w:ascii="Times New Roman" w:cs="Times New Roman" w:eastAsia="Times New Roman" w:hAnsi="Times New Roman"/>
          <w:sz w:val="18"/>
          <w:szCs w:val="18"/>
          <w:b w:val="1"/>
          <w:bCs w:val="1"/>
          <w:i w:val="1"/>
          <w:iCs w:val="1"/>
          <w:color w:val="auto"/>
        </w:rPr>
        <w:t>Berenberg</w:t>
      </w:r>
      <w:r>
        <w:rPr>
          <w:rFonts w:ascii="Times New Roman" w:cs="Times New Roman" w:eastAsia="Times New Roman" w:hAnsi="Times New Roman"/>
          <w:sz w:val="18"/>
          <w:szCs w:val="18"/>
          <w:color w:val="auto"/>
        </w:rPr>
        <w:t>”), a registered broker-dealer, as transaction-based compensation for the performance of investment banking services rendered to the Company in connection with the recently completed Business Combination. The business address of Berenberg is 1251 Avenue of the Americas, 53rd Floor, New York, NY 10020. Berenberg's sole member is Berenberg Asset Management LLC (“</w:t>
      </w:r>
      <w:r>
        <w:rPr>
          <w:rFonts w:ascii="Times New Roman" w:cs="Times New Roman" w:eastAsia="Times New Roman" w:hAnsi="Times New Roman"/>
          <w:sz w:val="18"/>
          <w:szCs w:val="18"/>
          <w:b w:val="1"/>
          <w:bCs w:val="1"/>
          <w:i w:val="1"/>
          <w:iCs w:val="1"/>
          <w:color w:val="auto"/>
        </w:rPr>
        <w:t>BAM</w:t>
      </w:r>
      <w:r>
        <w:rPr>
          <w:rFonts w:ascii="Times New Roman" w:cs="Times New Roman" w:eastAsia="Times New Roman" w:hAnsi="Times New Roman"/>
          <w:sz w:val="18"/>
          <w:szCs w:val="18"/>
          <w:color w:val="auto"/>
        </w:rPr>
        <w:t>”). BAM’s sole member is Berenberg Americas LLC, which in turn is a wholly owned subsidiary of Berenberg Beteiligungsholding GmbH (“</w:t>
      </w:r>
      <w:r>
        <w:rPr>
          <w:rFonts w:ascii="Times New Roman" w:cs="Times New Roman" w:eastAsia="Times New Roman" w:hAnsi="Times New Roman"/>
          <w:sz w:val="18"/>
          <w:szCs w:val="18"/>
          <w:b w:val="1"/>
          <w:bCs w:val="1"/>
          <w:i w:val="1"/>
          <w:iCs w:val="1"/>
          <w:color w:val="auto"/>
        </w:rPr>
        <w:t>BBH</w:t>
      </w:r>
      <w:r>
        <w:rPr>
          <w:rFonts w:ascii="Times New Roman" w:cs="Times New Roman" w:eastAsia="Times New Roman" w:hAnsi="Times New Roman"/>
          <w:sz w:val="18"/>
          <w:szCs w:val="18"/>
          <w:color w:val="auto"/>
        </w:rPr>
        <w:t>”). BBH is the holding company for Joh. Berenberg, Gossler &amp; Co. KG, a German regulated bank. The business address of Joh. Berenberg, Gossler &amp; Co. KG is Neuer Jungfernstieg 20, 20354 Hamburg, Germany. No natural person holds more than 25% of the ownership interests in Joh. Berenberg, Gossler &amp; Co. KG or controls more than 25% of the voting rights thereof and can therefore be regarded as the beneficial owner of the Ordinary Shares held by the Selling Holder.</w:t>
      </w:r>
    </w:p>
    <w:p>
      <w:pPr>
        <w:spacing w:after="0" w:line="80" w:lineRule="exact"/>
        <w:rPr>
          <w:rFonts w:ascii="Times New Roman" w:cs="Times New Roman" w:eastAsia="Times New Roman" w:hAnsi="Times New Roman"/>
          <w:sz w:val="18"/>
          <w:szCs w:val="18"/>
          <w:color w:val="auto"/>
        </w:rPr>
      </w:pPr>
    </w:p>
    <w:p>
      <w:pPr>
        <w:ind w:left="512" w:right="60" w:hanging="512"/>
        <w:spacing w:after="0" w:line="254"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7,897,913 Ordinary Shares, (ii) 1,140,865 Ordinary Shares currently held by Apeiron on Mr. Wickens’s behalf, (iii) 156,250 Ordinary Shares issued upon conversion of the Promissory Note held by Mr. Wickens, (iv) 333,333 Ordinary Shares issued upon the conversion of the Advance Subscription made by Mr. Wickens, (v) 62,500 Ordinary Shares underlying the Private Warrants held by Mr. Wickens, and (vi) 10,840,973 Ordinary Shares issued upon conversion of the Convertible Note held by Mr. Wickens. Shares beneficially held consist of (i) 9,638,692 Ordinary Shares; (ii) 1,140,865 Ordinary Shares currently held by Apeiron on Mr. Wickens' behalf; (iii) 3,592,193 Ordinary Shares currently held by DBLP but subject to a call option currently exercisable by Mr. Wickens; (iv) 156,250 Ordinary Shares issued upon conversion of the Promissory Note held by Mr. Wickens; (v) 333,333 Ordinary Shares issued upon the conversion of the Advance Subscription made by Mr. Wickens, (vi) 62,500 Ordinary Shares underlying the Private Warrants held by Mr. Wickens; and (vii) 10,840,973 Ordinary Shares issued upon conversion of the Convertible Note held by Mr. Wickens.</w:t>
      </w:r>
    </w:p>
    <w:p>
      <w:pPr>
        <w:spacing w:after="0" w:line="80" w:lineRule="exact"/>
        <w:rPr>
          <w:rFonts w:ascii="Times New Roman" w:cs="Times New Roman" w:eastAsia="Times New Roman" w:hAnsi="Times New Roman"/>
          <w:sz w:val="18"/>
          <w:szCs w:val="18"/>
          <w:color w:val="auto"/>
        </w:rPr>
      </w:pPr>
    </w:p>
    <w:p>
      <w:pPr>
        <w:ind w:left="512" w:right="100" w:hanging="512"/>
        <w:spacing w:after="0" w:line="266"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7,870,000 Ordinary Shares and (ii) 9,200,000 Ordinary Shares issued upon the conversion of the Advance Subscription made by Mr. Newmark. Shares beneficially held consist of 17,395,676 Ordinary Shares directly held by Mr. Newmark, as reported on the Schedule 13G/A filed by Mr. Newmark on June 3, 2025.</w:t>
      </w:r>
    </w:p>
    <w:p>
      <w:pPr>
        <w:spacing w:after="0" w:line="67" w:lineRule="exact"/>
        <w:rPr>
          <w:rFonts w:ascii="Times New Roman" w:cs="Times New Roman" w:eastAsia="Times New Roman" w:hAnsi="Times New Roman"/>
          <w:sz w:val="18"/>
          <w:szCs w:val="18"/>
          <w:color w:val="auto"/>
        </w:rPr>
      </w:pPr>
    </w:p>
    <w:p>
      <w:pPr>
        <w:ind w:left="512" w:right="280" w:hanging="512"/>
        <w:spacing w:after="0" w:line="266"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 Ordinary Shares issued upon the conversion of the Advance Subscription made by Cecil Levy. Shares beneficially held consist of (i) 20,553 Ordinary Shares and (ii) 10,000 Ordinary Shares issued upon the conversion of the Advance Subscription made by Cecil Levy.</w:t>
      </w:r>
    </w:p>
    <w:p>
      <w:pPr>
        <w:spacing w:after="0" w:line="67" w:lineRule="exact"/>
        <w:rPr>
          <w:rFonts w:ascii="Times New Roman" w:cs="Times New Roman" w:eastAsia="Times New Roman" w:hAnsi="Times New Roman"/>
          <w:sz w:val="18"/>
          <w:szCs w:val="18"/>
          <w:color w:val="auto"/>
        </w:rPr>
      </w:pPr>
    </w:p>
    <w:p>
      <w:pPr>
        <w:jc w:val="both"/>
        <w:ind w:left="512" w:right="60" w:hanging="512"/>
        <w:spacing w:after="0" w:line="266"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125,000 Ordinary Shares directly held by Mr. White. Mr. White served as a director of Armada, which became a wholly owned subsidiary of the Company in connection with the Business Combination, since August 2021. Mr. White’s principal business address is 34 N. Calibogue Cay Road, Hilton Head Island, SC 29928.</w:t>
      </w:r>
    </w:p>
    <w:p>
      <w:pPr>
        <w:spacing w:after="0" w:line="67" w:lineRule="exact"/>
        <w:rPr>
          <w:rFonts w:ascii="Times New Roman" w:cs="Times New Roman" w:eastAsia="Times New Roman" w:hAnsi="Times New Roman"/>
          <w:sz w:val="18"/>
          <w:szCs w:val="18"/>
          <w:color w:val="auto"/>
        </w:rPr>
      </w:pPr>
    </w:p>
    <w:p>
      <w:pPr>
        <w:ind w:left="512" w:right="360" w:hanging="512"/>
        <w:spacing w:after="0" w:line="282" w:lineRule="auto"/>
        <w:tabs>
          <w:tab w:leader="none" w:pos="5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3,043,735 (Ordinary Shares, which is the maximum number of remaining Ordinary Shares issuable upon the conversion of the unsecured convertible loan (the “</w:t>
      </w:r>
      <w:r>
        <w:rPr>
          <w:rFonts w:ascii="Times New Roman" w:cs="Times New Roman" w:eastAsia="Times New Roman" w:hAnsi="Times New Roman"/>
          <w:sz w:val="18"/>
          <w:szCs w:val="18"/>
          <w:b w:val="1"/>
          <w:bCs w:val="1"/>
          <w:i w:val="1"/>
          <w:iCs w:val="1"/>
          <w:color w:val="auto"/>
        </w:rPr>
        <w:t>Cohen Note</w:t>
      </w:r>
      <w:r>
        <w:rPr>
          <w:rFonts w:ascii="Times New Roman" w:cs="Times New Roman" w:eastAsia="Times New Roman" w:hAnsi="Times New Roman"/>
          <w:sz w:val="18"/>
          <w:szCs w:val="18"/>
          <w:color w:val="auto"/>
        </w:rPr>
        <w:t>”) issued to Cohen &amp; Company Financial</w:t>
      </w:r>
    </w:p>
    <w:p>
      <w:pPr>
        <w:spacing w:after="0" w:line="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3" w:right="339" w:bottom="1440" w:gutter="0" w:footer="0" w:header="0"/>
        </w:sectPr>
      </w:pPr>
    </w:p>
    <w:bookmarkStart w:id="7" w:name="page8"/>
    <w:bookmarkEnd w:id="7"/>
    <w:p>
      <w:pPr>
        <w:ind w:left="520"/>
        <w:spacing w:after="0" w:line="253" w:lineRule="auto"/>
        <w:rPr>
          <w:sz w:val="20"/>
          <w:szCs w:val="20"/>
          <w:color w:val="auto"/>
        </w:rPr>
      </w:pPr>
      <w:r>
        <w:rPr>
          <w:rFonts w:ascii="Times New Roman" w:cs="Times New Roman" w:eastAsia="Times New Roman" w:hAnsi="Times New Roman"/>
          <w:sz w:val="18"/>
          <w:szCs w:val="18"/>
          <w:color w:val="auto"/>
        </w:rPr>
        <w:t>Management LLC (“</w:t>
      </w:r>
      <w:r>
        <w:rPr>
          <w:rFonts w:ascii="Times New Roman" w:cs="Times New Roman" w:eastAsia="Times New Roman" w:hAnsi="Times New Roman"/>
          <w:sz w:val="18"/>
          <w:szCs w:val="18"/>
          <w:b w:val="1"/>
          <w:bCs w:val="1"/>
          <w:i w:val="1"/>
          <w:iCs w:val="1"/>
          <w:color w:val="auto"/>
        </w:rPr>
        <w:t>Cohen</w:t>
      </w:r>
      <w:r>
        <w:rPr>
          <w:rFonts w:ascii="Times New Roman" w:cs="Times New Roman" w:eastAsia="Times New Roman" w:hAnsi="Times New Roman"/>
          <w:sz w:val="18"/>
          <w:szCs w:val="18"/>
          <w:color w:val="auto"/>
        </w:rPr>
        <w:t>”) on August 14, 2024. In accordance with Rule 13d-3(d) under the Exchange Act, we have excluded from the number of Ordinary Shares beneficially owned prior to the offering all of the Ordinary Shares that Cohen may receive under the Cohen Note, because the issuance of such Ordinary Shares is at our discretion and is subject to conditions contained in the Cohen Note, the satisfaction of which are entirely outside of Cohen’s control, including the registration statement that includes this prospectus becoming and remaining effective. Furthermore, pursuant to the terms of the Cohen Note, we cannot issue Ordinary Shares to Cohen, and we cannot convert the Cohen Note, to the extent that Cohen would beneficially own, after any such issuance or conversion, more than 9.9% of the then issued and outstanding Ordinary Shares. The Coehn Note was settled on February 10, 2025, by issuing ordinary shares, and no further amounts remain outstanding. Cohen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Cohen is 2929 Arch Street, Suite 1703, Philadelphia, PA.</w:t>
      </w:r>
    </w:p>
    <w:p>
      <w:pPr>
        <w:spacing w:after="0" w:line="83" w:lineRule="exact"/>
        <w:rPr>
          <w:sz w:val="20"/>
          <w:szCs w:val="20"/>
          <w:color w:val="auto"/>
        </w:rPr>
      </w:pPr>
    </w:p>
    <w:p>
      <w:pPr>
        <w:ind w:left="520" w:right="60" w:hanging="512"/>
        <w:spacing w:after="0" w:line="255"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494,203 Ordinary Shares directly held by Cohen Sponsor LLC – A14 RS. Cohen Sponsor LLC - A14 RS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Cohen Sponsor LLC - A14 RS is 2929 Arch Street, Suite 1703, Philadelphia, PA.</w:t>
      </w:r>
    </w:p>
    <w:p>
      <w:pPr>
        <w:spacing w:after="0" w:line="80"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131,250 Ordinary Shares directly held by Context Partners Master Fund, LP. The principal business address of Context Partners Master Fund, LP is 772 Girard Ave. Suite 300, La Jolla, CA 92037 .</w:t>
      </w:r>
    </w:p>
    <w:p>
      <w:pPr>
        <w:spacing w:after="0" w:line="49" w:lineRule="exact"/>
        <w:rPr>
          <w:rFonts w:ascii="Times New Roman" w:cs="Times New Roman" w:eastAsia="Times New Roman" w:hAnsi="Times New Roman"/>
          <w:sz w:val="18"/>
          <w:szCs w:val="18"/>
          <w:color w:val="auto"/>
        </w:rPr>
      </w:pPr>
    </w:p>
    <w:p>
      <w:pPr>
        <w:ind w:left="520" w:right="60" w:hanging="512"/>
        <w:spacing w:after="0" w:line="247"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24,583 Ordinary Shares directly held by Corbin Capital Partners, L.P. (“</w:t>
      </w:r>
      <w:r>
        <w:rPr>
          <w:rFonts w:ascii="Times New Roman" w:cs="Times New Roman" w:eastAsia="Times New Roman" w:hAnsi="Times New Roman"/>
          <w:sz w:val="18"/>
          <w:szCs w:val="18"/>
          <w:b w:val="1"/>
          <w:bCs w:val="1"/>
          <w:i w:val="1"/>
          <w:iCs w:val="1"/>
          <w:color w:val="auto"/>
        </w:rPr>
        <w:t>Corbin</w:t>
      </w:r>
      <w:r>
        <w:rPr>
          <w:rFonts w:ascii="Times New Roman" w:cs="Times New Roman" w:eastAsia="Times New Roman" w:hAnsi="Times New Roman"/>
          <w:sz w:val="18"/>
          <w:szCs w:val="18"/>
          <w:color w:val="auto"/>
        </w:rPr>
        <w:t>”). Corbin is the investment manager of Corbin ERISA Opportunity Fund, Ltd (“</w:t>
      </w:r>
      <w:r>
        <w:rPr>
          <w:rFonts w:ascii="Times New Roman" w:cs="Times New Roman" w:eastAsia="Times New Roman" w:hAnsi="Times New Roman"/>
          <w:sz w:val="18"/>
          <w:szCs w:val="18"/>
          <w:b w:val="1"/>
          <w:bCs w:val="1"/>
          <w:i w:val="1"/>
          <w:iCs w:val="1"/>
          <w:color w:val="auto"/>
        </w:rPr>
        <w:t>Corbin ERISA</w:t>
      </w:r>
      <w:r>
        <w:rPr>
          <w:rFonts w:ascii="Times New Roman" w:cs="Times New Roman" w:eastAsia="Times New Roman" w:hAnsi="Times New Roman"/>
          <w:sz w:val="18"/>
          <w:szCs w:val="18"/>
          <w:color w:val="auto"/>
        </w:rPr>
        <w:t>”). Craig Bergstrom, as the chief investment officer of Corbin, directs the voting and investment decisions with respect to the Ordinary Shares as listed herein. The foregoing statement and table shall not be construed as an admission that Mr. Bergstrom is, for purposes of Sections 13(d) or 13(g) of the Exchange Act, the beneficial owner of such securities and Mr. Bergstrom disclaims any such beneficial ownership. The principal business address of Corbin ERISA is 474 Madison Avenue,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Floor, New York, NY 10022.</w:t>
      </w:r>
    </w:p>
    <w:p>
      <w:pPr>
        <w:spacing w:after="0" w:line="85" w:lineRule="exact"/>
        <w:rPr>
          <w:rFonts w:ascii="Times New Roman" w:cs="Times New Roman" w:eastAsia="Times New Roman" w:hAnsi="Times New Roman"/>
          <w:sz w:val="18"/>
          <w:szCs w:val="18"/>
          <w:color w:val="auto"/>
        </w:rPr>
      </w:pPr>
    </w:p>
    <w:p>
      <w:pPr>
        <w:ind w:left="520" w:right="62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20,312 Ordinary Shares underlying the Promissory Note held by Mr. Meller; and (ii) the 7,500 Shares underlying the Private Warrants held by Mr. Meller.</w:t>
      </w:r>
    </w:p>
    <w:p>
      <w:pPr>
        <w:spacing w:after="0" w:line="53"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201,000 Ordinary Shares issued upon conversion of the Advance Subscription made by Mr. Weinberger. Shares beneficially held consist of (i) 300 Ordinary Shares and (ii) 201,000 Ordinary Shares issued upon conversion of the Advance Subscription made by Mr. Weinberger.</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33,334 Ordinary Shares issued upon the conversion of the Advance Subscription made by Mr. Smith.</w:t>
      </w:r>
    </w:p>
    <w:p>
      <w:pPr>
        <w:spacing w:after="0" w:line="117" w:lineRule="exact"/>
        <w:rPr>
          <w:rFonts w:ascii="Times New Roman" w:cs="Times New Roman" w:eastAsia="Times New Roman" w:hAnsi="Times New Roman"/>
          <w:sz w:val="18"/>
          <w:szCs w:val="18"/>
          <w:color w:val="auto"/>
        </w:rPr>
      </w:pPr>
    </w:p>
    <w:p>
      <w:pPr>
        <w:ind w:left="520" w:hanging="512"/>
        <w:spacing w:after="0" w:line="25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11,951 Ordinary Shares beneficially owned by Mr. Kolyris and is the number of Ordinary Shares issued upon the conversion of the Advance Subscription made by Nadenco P.C., a company Mr. Kolyris may be deemed to control. Shares beneficially held consist of 65,209 Ordinary Shares, of which 11,951 Ordinary Shares are beneficially owned by Mr. Kolyris and is the number of Ordinary Shares issued upon the conversion of the Advance Subscription made by Nadenco P.C., a company Mr. Kolyris may be deemed to control. Mr. Kolyris has provided services to Rezolve as a contractor since November 2018. The principal business address for Mr. Kolyris is Noyaroy 12, Maroysi, 15126, Athens, Greece.</w:t>
      </w:r>
    </w:p>
    <w:p>
      <w:pPr>
        <w:spacing w:after="0" w:line="79"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7,333 Ordinary Shares issued upon the conversion of the Advance Subscription made by DXG Deutsche Digital GmbH.</w:t>
      </w:r>
    </w:p>
    <w:p>
      <w:pPr>
        <w:spacing w:after="0" w:line="53" w:lineRule="exact"/>
        <w:rPr>
          <w:rFonts w:ascii="Times New Roman" w:cs="Times New Roman" w:eastAsia="Times New Roman" w:hAnsi="Times New Roman"/>
          <w:sz w:val="18"/>
          <w:szCs w:val="18"/>
          <w:color w:val="auto"/>
        </w:rPr>
      </w:pPr>
    </w:p>
    <w:p>
      <w:pPr>
        <w:ind w:left="520" w:hanging="512"/>
        <w:spacing w:after="0" w:line="25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the maximum number of Ordinary Shares that may be issued in relation to those Ordinary Shares the Company issued to EF Hutton, a registered broker-dealer, as transaction-based compensation for the performance of advisory services rendered to the Company in connection with the recently completed Business Combination. Mr. David Boral, CEO and Manager of EF Hutton LLC (“</w:t>
      </w:r>
      <w:r>
        <w:rPr>
          <w:rFonts w:ascii="Times New Roman" w:cs="Times New Roman" w:eastAsia="Times New Roman" w:hAnsi="Times New Roman"/>
          <w:sz w:val="18"/>
          <w:szCs w:val="18"/>
          <w:b w:val="1"/>
          <w:bCs w:val="1"/>
          <w:i w:val="1"/>
          <w:iCs w:val="1"/>
          <w:color w:val="auto"/>
        </w:rPr>
        <w:t>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Hutton</w:t>
      </w:r>
      <w:r>
        <w:rPr>
          <w:rFonts w:ascii="Times New Roman" w:cs="Times New Roman" w:eastAsia="Times New Roman" w:hAnsi="Times New Roman"/>
          <w:sz w:val="18"/>
          <w:szCs w:val="18"/>
          <w:color w:val="auto"/>
        </w:rPr>
        <w:t>”), may be deemed to beneficially own the securities owned by EF Hutton. Mr. Ben Reed, in his capacity as the Head of Wealth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Power of Attorney, may also be deemed to control the securities owned by EF Hutton and thereby may be deemed to beneficially own the securities owned by EF Hutton. Mr. Reed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ind w:left="512"/>
        <w:spacing w:after="0"/>
        <w:rPr>
          <w:sz w:val="20"/>
          <w:szCs w:val="20"/>
          <w:color w:val="auto"/>
        </w:rPr>
      </w:pPr>
      <w:r>
        <w:rPr>
          <w:rFonts w:ascii="Times New Roman" w:cs="Times New Roman" w:eastAsia="Times New Roman" w:hAnsi="Times New Roman"/>
          <w:sz w:val="17"/>
          <w:szCs w:val="17"/>
          <w:color w:val="auto"/>
        </w:rPr>
        <w:t>has sole investment power over these securities. The principal address of EF Hutton LLC is 590 Madison Avenue, 39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Floor New York, NY 10022.</w:t>
      </w:r>
    </w:p>
    <w:p>
      <w:pPr>
        <w:spacing w:after="0" w:line="80" w:lineRule="exact"/>
        <w:rPr>
          <w:sz w:val="20"/>
          <w:szCs w:val="20"/>
          <w:color w:val="auto"/>
        </w:rPr>
      </w:pPr>
    </w:p>
    <w:p>
      <w:pPr>
        <w:ind w:left="512" w:right="220" w:hanging="512"/>
        <w:spacing w:after="0" w:line="266" w:lineRule="auto"/>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18,175 Ordinary Shares issued upon conversion of the Advanced Subscription made by Mr. Kilic. Mr. Kilic is employed as Vice President Global Head of Payments and Director DACH &amp; TR at Rezolve. The principal business address for Mr. Kilic is Manstedtener Berg 19, 50259, Pulheim, Germany.</w:t>
      </w:r>
    </w:p>
    <w:p>
      <w:pPr>
        <w:spacing w:after="0" w:line="67" w:lineRule="exact"/>
        <w:rPr>
          <w:rFonts w:ascii="Times New Roman" w:cs="Times New Roman" w:eastAsia="Times New Roman" w:hAnsi="Times New Roman"/>
          <w:sz w:val="18"/>
          <w:szCs w:val="18"/>
          <w:color w:val="auto"/>
        </w:rPr>
      </w:pPr>
    </w:p>
    <w:p>
      <w:pPr>
        <w:ind w:left="512" w:right="120" w:hanging="512"/>
        <w:spacing w:after="0" w:line="281" w:lineRule="auto"/>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6,921 Ordinary Shares directly held by FT SOF XIII (SPAC) Holdings, LLC. The principal business address of FT SOF XIII (SPAC) Holdings, LLC is 500 Fifth Ave,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Floor, New York, NY 10110.</w:t>
      </w:r>
    </w:p>
    <w:p>
      <w:pPr>
        <w:spacing w:after="0" w:line="1" w:lineRule="exact"/>
        <w:rPr>
          <w:rFonts w:ascii="Times New Roman" w:cs="Times New Roman" w:eastAsia="Times New Roman" w:hAnsi="Times New Roman"/>
          <w:sz w:val="18"/>
          <w:szCs w:val="18"/>
          <w:color w:val="auto"/>
        </w:rPr>
      </w:pPr>
    </w:p>
    <w:p>
      <w:pPr>
        <w:ind w:left="512" w:right="60" w:hanging="512"/>
        <w:spacing w:after="0" w:line="266" w:lineRule="auto"/>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135,411 Ordinary Shares issued upon conversion of the Promissory Note held by FMS China; (ii) 50,000 Ordinary Shares underlying the Private Warrants held by FMS China; and (iii) 140,000 Ordinary Shares issued upon the conversion of the Advance Subscription made by Fujian Global Services Co., Ltd. (collectively, with FMS China “</w:t>
      </w:r>
      <w:r>
        <w:rPr>
          <w:rFonts w:ascii="Times New Roman" w:cs="Times New Roman" w:eastAsia="Times New Roman" w:hAnsi="Times New Roman"/>
          <w:sz w:val="18"/>
          <w:szCs w:val="18"/>
          <w:b w:val="1"/>
          <w:bCs w:val="1"/>
          <w:i w:val="1"/>
          <w:iCs w:val="1"/>
          <w:color w:val="auto"/>
        </w:rPr>
        <w:t>Fujian Limatong XinXi Keji Youxian Gongsi</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8,000 Ordinary Shares issued upon the conversion of the Advance Subscription made by Mr. Bellow.</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10,286 Ordinary Shares issued upon the conversion of the Advance Subscription made by Jamie Beadle.</w:t>
      </w:r>
    </w:p>
    <w:p>
      <w:pPr>
        <w:spacing w:after="0" w:line="117" w:lineRule="exact"/>
        <w:rPr>
          <w:rFonts w:ascii="Times New Roman" w:cs="Times New Roman" w:eastAsia="Times New Roman" w:hAnsi="Times New Roman"/>
          <w:sz w:val="18"/>
          <w:szCs w:val="18"/>
          <w:color w:val="auto"/>
        </w:rPr>
      </w:pPr>
    </w:p>
    <w:p>
      <w:pPr>
        <w:ind w:left="512" w:right="20" w:hanging="512"/>
        <w:spacing w:after="0" w:line="253" w:lineRule="auto"/>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up to 5,027,508 of Ordinary Shares that may be issued upon conversion of the convertible note issued to J.V.B. Financial Group, LLC (“</w:t>
      </w:r>
      <w:r>
        <w:rPr>
          <w:rFonts w:ascii="Times New Roman" w:cs="Times New Roman" w:eastAsia="Times New Roman" w:hAnsi="Times New Roman"/>
          <w:sz w:val="18"/>
          <w:szCs w:val="18"/>
          <w:b w:val="1"/>
          <w:bCs w:val="1"/>
          <w:i w:val="1"/>
          <w:iCs w:val="1"/>
          <w:color w:val="auto"/>
        </w:rPr>
        <w:t>JVB</w:t>
      </w:r>
      <w:r>
        <w:rPr>
          <w:rFonts w:ascii="Times New Roman" w:cs="Times New Roman" w:eastAsia="Times New Roman" w:hAnsi="Times New Roman"/>
          <w:sz w:val="18"/>
          <w:szCs w:val="18"/>
          <w:color w:val="auto"/>
        </w:rPr>
        <w:t>”), a registered broker-dealer, on August 14, 2024 (the “</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In accordance with Rule 13d-3(d) under the Exchange Act, we have excluded from the number of Ordinary Shares beneficially owned prior to the offering all of the Ordinary Shares that JVB may receive under the JVB Note, because the issuance of such Ordinary Shares is at our discretion and is subject to conditions contained in the JVB Note, the satisfaction of which are entirely outside of JVB’s control, including the registration statement that includes this prospectus becoming and remaining effective. Furthermore, pursuant to the terms of the JVB Note, we cannot issue Ordinary Shares to JVB, and we cannot convert the JVB Note, to the extent that JVB would beneficially own, after any such issuance or conversion, more than 9.9% of the then issued and outstanding Ordinary Shares. The Company issued the JVB Note and the shares of Ordinary Shares underlying the JVB Note as transaction-based compensation for the performance of investment banking services rendered to the Company in connection with the recently completed Business Combination. The business address of JVB is 2929 Arch Street Ste. 1703, Philadelphia, PA 19104.</w:t>
      </w:r>
    </w:p>
    <w:p>
      <w:pPr>
        <w:spacing w:after="0" w:line="86" w:lineRule="exact"/>
        <w:rPr>
          <w:rFonts w:ascii="Times New Roman" w:cs="Times New Roman" w:eastAsia="Times New Roman" w:hAnsi="Times New Roman"/>
          <w:sz w:val="18"/>
          <w:szCs w:val="18"/>
          <w:color w:val="auto"/>
        </w:rPr>
      </w:pPr>
    </w:p>
    <w:p>
      <w:pPr>
        <w:ind w:left="512" w:right="140" w:hanging="512"/>
        <w:spacing w:after="0" w:line="266" w:lineRule="auto"/>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25,796 Ordinary Shares underlying the Promissory Note held by Mr. King; and (ii) 9,525 Ordinary Share underlying the Private Warrants. Shares beneficially held consist of (i) 7,188 Ordinary Shares; (ii) 25,796 Ordinary Shares issued upon conversion of the Promissory Note held by Mr. King; and (iii) 9,525 Ordinary Shares underlying the Private Warrants held by Mr. King.</w:t>
      </w:r>
    </w:p>
    <w:p>
      <w:pPr>
        <w:spacing w:after="0" w:line="67" w:lineRule="exact"/>
        <w:rPr>
          <w:rFonts w:ascii="Times New Roman" w:cs="Times New Roman" w:eastAsia="Times New Roman" w:hAnsi="Times New Roman"/>
          <w:sz w:val="18"/>
          <w:szCs w:val="18"/>
          <w:color w:val="auto"/>
        </w:rPr>
      </w:pPr>
    </w:p>
    <w:p>
      <w:pPr>
        <w:ind w:left="512" w:hanging="512"/>
        <w:spacing w:after="0" w:line="266" w:lineRule="auto"/>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herby consist of (i) 21,497 Ordinary Shares issued upon conversion of the Promissory Note held by Mr. Nurse; (ii) 29,667 Ordinary Shares issued upon the conversion of the Advance Subscription made by Mr. Nurse; and (iii) 7,938 Ordinary Shares underlying the Private Warrants held by Julian Nurse.</w:t>
      </w:r>
    </w:p>
    <w:p>
      <w:pPr>
        <w:spacing w:after="0" w:line="67" w:lineRule="exact"/>
        <w:rPr>
          <w:rFonts w:ascii="Times New Roman" w:cs="Times New Roman" w:eastAsia="Times New Roman" w:hAnsi="Times New Roman"/>
          <w:sz w:val="18"/>
          <w:szCs w:val="18"/>
          <w:color w:val="auto"/>
        </w:rPr>
      </w:pPr>
    </w:p>
    <w:p>
      <w:pPr>
        <w:jc w:val="both"/>
        <w:ind w:left="512" w:right="280" w:hanging="512"/>
        <w:spacing w:after="0" w:line="266" w:lineRule="auto"/>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 Ordinary Shares issued upon the conversion of the Advance Subscription made by Kantor Investment Company LLC. Shares beneficially held consist of (i) 69,785 Ordinary Shares and (ii) 10,000 Ordinary Shares issued upon the conversion of the Advance Subscription made by Kantor Investment Company LLC.</w:t>
      </w:r>
    </w:p>
    <w:p>
      <w:pPr>
        <w:spacing w:after="0" w:line="67" w:lineRule="exact"/>
        <w:rPr>
          <w:rFonts w:ascii="Times New Roman" w:cs="Times New Roman" w:eastAsia="Times New Roman" w:hAnsi="Times New Roman"/>
          <w:sz w:val="18"/>
          <w:szCs w:val="18"/>
          <w:color w:val="auto"/>
        </w:rPr>
      </w:pPr>
    </w:p>
    <w:p>
      <w:pPr>
        <w:ind w:left="512" w:right="260" w:hanging="512"/>
        <w:spacing w:after="0" w:line="261" w:lineRule="auto"/>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33,853 Ordinary Shares underlying the Promissory Note held by Ms. Kalaris; and (ii) the 12,500 Ordinary Shares underlying the Private Warrants held by Ms. Kalaris. Shares beneficially held consist of (i) 65,279 Ordinary Shares; (ii) 33,853 Ordinary Shares issued upon the conversion of the Promissory Note held by Ms. Kalaris, and (iii) 12,500 Ordinary Shares underlying the Private Warrants held by Ms. Kalaris.</w:t>
      </w:r>
    </w:p>
    <w:p>
      <w:pPr>
        <w:spacing w:after="0" w:line="71" w:lineRule="exact"/>
        <w:rPr>
          <w:rFonts w:ascii="Times New Roman" w:cs="Times New Roman" w:eastAsia="Times New Roman" w:hAnsi="Times New Roman"/>
          <w:sz w:val="18"/>
          <w:szCs w:val="18"/>
          <w:color w:val="auto"/>
        </w:rPr>
      </w:pPr>
    </w:p>
    <w:p>
      <w:pPr>
        <w:jc w:val="both"/>
        <w:ind w:left="512" w:right="360" w:hanging="512"/>
        <w:spacing w:after="0" w:line="266" w:lineRule="auto"/>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40,000 Ordinary Shares issued upon the conversion of the Advance Subscription made by Mr. Israel. Shares beneficially held consist of (i) 31,785 Ordinary Shares and (ii) 40,000 Ordinary Shares issued upon the conversion of the Advance Subscription made by Mr. Israel.</w:t>
      </w:r>
    </w:p>
    <w:p>
      <w:pPr>
        <w:spacing w:after="0" w:line="67" w:lineRule="exact"/>
        <w:rPr>
          <w:rFonts w:ascii="Times New Roman" w:cs="Times New Roman" w:eastAsia="Times New Roman" w:hAnsi="Times New Roman"/>
          <w:sz w:val="18"/>
          <w:szCs w:val="18"/>
          <w:color w:val="auto"/>
        </w:rPr>
      </w:pPr>
    </w:p>
    <w:p>
      <w:pPr>
        <w:ind w:left="512" w:right="140" w:hanging="512"/>
        <w:spacing w:after="0" w:line="244" w:lineRule="auto"/>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the maximum number of Ordinary Shares that may be issued in relation to those Ordinary Shares the Company issued to Maxim Group LLC (“</w:t>
      </w:r>
      <w:r>
        <w:rPr>
          <w:rFonts w:ascii="Times New Roman" w:cs="Times New Roman" w:eastAsia="Times New Roman" w:hAnsi="Times New Roman"/>
          <w:sz w:val="18"/>
          <w:szCs w:val="18"/>
          <w:b w:val="1"/>
          <w:bCs w:val="1"/>
          <w:i w:val="1"/>
          <w:iCs w:val="1"/>
          <w:color w:val="auto"/>
        </w:rPr>
        <w:t>Maxim</w:t>
      </w:r>
      <w:r>
        <w:rPr>
          <w:rFonts w:ascii="Times New Roman" w:cs="Times New Roman" w:eastAsia="Times New Roman" w:hAnsi="Times New Roman"/>
          <w:sz w:val="18"/>
          <w:szCs w:val="18"/>
          <w:color w:val="auto"/>
        </w:rPr>
        <w:t>”), a registered broker-dealer, as transaction-based compensation for the performance of advisory services rendered to the Company in connection with the recently completed Business Combination. The business address of Maxim is 300 Park Ave.,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10022.</w:t>
      </w:r>
    </w:p>
    <w:p>
      <w:pPr>
        <w:spacing w:after="0" w:line="83" w:lineRule="exact"/>
        <w:rPr>
          <w:rFonts w:ascii="Times New Roman" w:cs="Times New Roman" w:eastAsia="Times New Roman" w:hAnsi="Times New Roman"/>
          <w:sz w:val="18"/>
          <w:szCs w:val="18"/>
          <w:color w:val="auto"/>
        </w:rPr>
      </w:pPr>
    </w:p>
    <w:p>
      <w:pPr>
        <w:ind w:left="512" w:right="180" w:hanging="512"/>
        <w:spacing w:after="0" w:line="268" w:lineRule="auto"/>
        <w:tabs>
          <w:tab w:leader="none" w:pos="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131,250 Ordinary Shares directly held by Meteora Capital Partners, L.P.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Vikas Mittal is the Managing Member of Meteora and in such capacity may be deemed to be the beneficial owner having shared voting power and shared investment power over the securities described in this footnote. Mr. Mittal expressly declares that he is</w:t>
      </w:r>
    </w:p>
    <w:p>
      <w:pPr>
        <w:spacing w:after="0" w:line="6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00" w:right="359" w:bottom="1440" w:gutter="0" w:footer="0" w:header="0"/>
        </w:sectPr>
      </w:pPr>
    </w:p>
    <w:bookmarkStart w:id="9" w:name="page10"/>
    <w:bookmarkEnd w:id="9"/>
    <w:p>
      <w:pPr>
        <w:ind w:left="512" w:right="60"/>
        <w:spacing w:after="0" w:line="282" w:lineRule="auto"/>
        <w:rPr>
          <w:sz w:val="20"/>
          <w:szCs w:val="20"/>
          <w:color w:val="auto"/>
        </w:rPr>
      </w:pPr>
      <w:r>
        <w:rPr>
          <w:rFonts w:ascii="Times New Roman" w:cs="Times New Roman" w:eastAsia="Times New Roman" w:hAnsi="Times New Roman"/>
          <w:sz w:val="18"/>
          <w:szCs w:val="18"/>
          <w:color w:val="auto"/>
        </w:rPr>
        <w:t>not the beneficial owner for the purposes of sections 13(d) or 13(g) of the Act. The business address of Meteora is 1200 N. Federal Hwy #200 Boca Raton, Florida 33432.</w:t>
      </w:r>
    </w:p>
    <w:p>
      <w:pPr>
        <w:spacing w:after="0" w:line="54" w:lineRule="exact"/>
        <w:rPr>
          <w:sz w:val="20"/>
          <w:szCs w:val="20"/>
          <w:color w:val="auto"/>
        </w:rPr>
      </w:pPr>
    </w:p>
    <w:p>
      <w:pPr>
        <w:ind w:left="512" w:right="100" w:hanging="512"/>
        <w:spacing w:after="0" w:line="266"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5,000 Ordinary Shares directly held by Mr. Khan. Mr. Khan served as a director of Armada, which became a wholly owned subsidiary of the Company in connection with the Business Combination, since August 2021. Mr. Khan’s principal business address is 2238 Bentley Ridge Drive, San Jose, CA 95138.</w:t>
      </w:r>
    </w:p>
    <w:p>
      <w:pPr>
        <w:spacing w:after="0" w:line="67" w:lineRule="exact"/>
        <w:rPr>
          <w:rFonts w:ascii="Times New Roman" w:cs="Times New Roman" w:eastAsia="Times New Roman" w:hAnsi="Times New Roman"/>
          <w:sz w:val="18"/>
          <w:szCs w:val="18"/>
          <w:color w:val="auto"/>
        </w:rPr>
      </w:pPr>
    </w:p>
    <w:p>
      <w:pPr>
        <w:ind w:left="512" w:right="100" w:hanging="512"/>
        <w:spacing w:after="0" w:line="266"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166,667 Ordinary Shares issued upon the conversion of the Advance Subscription made by Patel Family Investment LLC. Shares beneficially held consist of (i) 39,731 Ordinary Shares and (ii) 166,667 Ordinary Shares issued upon the conversion of the Advance Subscription made by Patel Family Investment LLC.</w:t>
      </w:r>
    </w:p>
    <w:p>
      <w:pPr>
        <w:spacing w:after="0" w:line="6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35,402 Ordinary Shares issued upon the conversion of the Advance Subscription made by Quality Kiosk.</w:t>
      </w:r>
    </w:p>
    <w:p>
      <w:pPr>
        <w:spacing w:after="0" w:line="113" w:lineRule="exact"/>
        <w:rPr>
          <w:rFonts w:ascii="Times New Roman" w:cs="Times New Roman" w:eastAsia="Times New Roman" w:hAnsi="Times New Roman"/>
          <w:sz w:val="18"/>
          <w:szCs w:val="18"/>
          <w:color w:val="auto"/>
        </w:rPr>
      </w:pPr>
    </w:p>
    <w:p>
      <w:pPr>
        <w:ind w:left="512" w:right="40" w:hanging="512"/>
        <w:spacing w:after="0" w:line="257"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175,566 Ordinary Shares directly held by Radcliffe SPAC Master Fund, L.P. (“</w:t>
      </w:r>
      <w:r>
        <w:rPr>
          <w:rFonts w:ascii="Times New Roman" w:cs="Times New Roman" w:eastAsia="Times New Roman" w:hAnsi="Times New Roman"/>
          <w:sz w:val="18"/>
          <w:szCs w:val="18"/>
          <w:b w:val="1"/>
          <w:bCs w:val="1"/>
          <w:i w:val="1"/>
          <w:iCs w:val="1"/>
          <w:color w:val="auto"/>
        </w:rPr>
        <w:t>Radcliffe Fund</w:t>
      </w:r>
      <w:r>
        <w:rPr>
          <w:rFonts w:ascii="Times New Roman" w:cs="Times New Roman" w:eastAsia="Times New Roman" w:hAnsi="Times New Roman"/>
          <w:sz w:val="18"/>
          <w:szCs w:val="18"/>
          <w:color w:val="auto"/>
        </w:rPr>
        <w:t>”). Pursuant to an investment management agreement, Radcliffe Capital Management, L.P. (“</w:t>
      </w:r>
      <w:r>
        <w:rPr>
          <w:rFonts w:ascii="Times New Roman" w:cs="Times New Roman" w:eastAsia="Times New Roman" w:hAnsi="Times New Roman"/>
          <w:sz w:val="18"/>
          <w:szCs w:val="18"/>
          <w:b w:val="1"/>
          <w:bCs w:val="1"/>
          <w:i w:val="1"/>
          <w:iCs w:val="1"/>
          <w:color w:val="auto"/>
        </w:rPr>
        <w:t>RCM</w:t>
      </w:r>
      <w:r>
        <w:rPr>
          <w:rFonts w:ascii="Times New Roman" w:cs="Times New Roman" w:eastAsia="Times New Roman" w:hAnsi="Times New Roman"/>
          <w:sz w:val="18"/>
          <w:szCs w:val="18"/>
          <w:color w:val="auto"/>
        </w:rPr>
        <w:t>”) serves as the investment manager of the Radcliffe Fund. RGC Management Company, LLC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 is the general partner of RCM. Steve Katznelson and Christopher Hinkel serve as managing members of Management. Each of the parties in this footnote disclaims any beneficial ownership of the reported shares other than to the extent of any pecuniary interest the party may have therein. The principal business address of Radcliffe Fund is c/o Radcliffe Capital Management, L.P., 50 Monument Road, Suite 300, Bala Cynwyd, PA 19004.</w:t>
      </w:r>
    </w:p>
    <w:p>
      <w:pPr>
        <w:spacing w:after="0" w:line="78" w:lineRule="exact"/>
        <w:rPr>
          <w:rFonts w:ascii="Times New Roman" w:cs="Times New Roman" w:eastAsia="Times New Roman" w:hAnsi="Times New Roman"/>
          <w:sz w:val="18"/>
          <w:szCs w:val="18"/>
          <w:color w:val="auto"/>
        </w:rPr>
      </w:pPr>
    </w:p>
    <w:p>
      <w:pPr>
        <w:ind w:left="512" w:right="340" w:hanging="512"/>
        <w:spacing w:after="0" w:line="282"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2,321 Ordinary Shares issued upon the conversion of the Advance Subscription made by JingQian Hou. The principal business address of JingQian Hou is 610, Haitian Ge, Haiwaihuayuan, Ligang Lu, Haizhuqu, Guangzhou, Zhongguo.</w:t>
      </w:r>
    </w:p>
    <w:p>
      <w:pPr>
        <w:spacing w:after="0" w:line="53" w:lineRule="exact"/>
        <w:rPr>
          <w:rFonts w:ascii="Times New Roman" w:cs="Times New Roman" w:eastAsia="Times New Roman" w:hAnsi="Times New Roman"/>
          <w:sz w:val="18"/>
          <w:szCs w:val="18"/>
          <w:color w:val="auto"/>
        </w:rPr>
      </w:pPr>
    </w:p>
    <w:p>
      <w:pPr>
        <w:ind w:left="512" w:right="80" w:hanging="512"/>
        <w:spacing w:after="0" w:line="261"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the maximum number of Ordinary Shares that may be issued in relation to those Ordinary Shares the Company issued to Roth Capital Partners, LLC (“</w:t>
      </w:r>
      <w:r>
        <w:rPr>
          <w:rFonts w:ascii="Times New Roman" w:cs="Times New Roman" w:eastAsia="Times New Roman" w:hAnsi="Times New Roman"/>
          <w:sz w:val="18"/>
          <w:szCs w:val="18"/>
          <w:b w:val="1"/>
          <w:bCs w:val="1"/>
          <w:i w:val="1"/>
          <w:iCs w:val="1"/>
          <w:color w:val="auto"/>
        </w:rPr>
        <w:t>Roth Capital</w:t>
      </w:r>
      <w:r>
        <w:rPr>
          <w:rFonts w:ascii="Times New Roman" w:cs="Times New Roman" w:eastAsia="Times New Roman" w:hAnsi="Times New Roman"/>
          <w:sz w:val="18"/>
          <w:szCs w:val="18"/>
          <w:color w:val="auto"/>
        </w:rPr>
        <w:t>”), a registered broker-dealer, as transaction-based compensation for the performance of advisory services rendered to the Company in connection with the recently completed Business Combination. The business address of Roth Capital is 888 San Clemente Drive, Suite 400, Newport Beach, CA 92660.</w:t>
      </w:r>
    </w:p>
    <w:p>
      <w:pPr>
        <w:spacing w:after="0" w:line="71" w:lineRule="exact"/>
        <w:rPr>
          <w:rFonts w:ascii="Times New Roman" w:cs="Times New Roman" w:eastAsia="Times New Roman" w:hAnsi="Times New Roman"/>
          <w:sz w:val="18"/>
          <w:szCs w:val="18"/>
          <w:color w:val="auto"/>
        </w:rPr>
      </w:pPr>
    </w:p>
    <w:p>
      <w:pPr>
        <w:ind w:left="512" w:right="20" w:hanging="512"/>
        <w:spacing w:after="0" w:line="266"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9,283 Ordinary Shares issued upon the conversion of the Advance Subscription made by Mr. Lin. Shares beneficially held consist of (i) 16,320 Ordinary Shares and (ii) 9,283 Ordinary Shares issued upon the conversion of the Advance Subscription made by Mr. Lin.</w:t>
      </w:r>
    </w:p>
    <w:p>
      <w:pPr>
        <w:spacing w:after="0" w:line="67" w:lineRule="exact"/>
        <w:rPr>
          <w:rFonts w:ascii="Times New Roman" w:cs="Times New Roman" w:eastAsia="Times New Roman" w:hAnsi="Times New Roman"/>
          <w:sz w:val="18"/>
          <w:szCs w:val="18"/>
          <w:color w:val="auto"/>
        </w:rPr>
      </w:pPr>
    </w:p>
    <w:p>
      <w:pPr>
        <w:jc w:val="both"/>
        <w:ind w:left="512" w:right="260" w:hanging="512"/>
        <w:spacing w:after="0" w:line="266"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20,000 Ordinary Shares issued upon the conversion of the Advance Subscription made by Sam Lewis. Shares beneficially held consist of (i) 117,832 Ordinary Shares and (ii) 20,000 Ordinary Shares issued upon the conversion of the Advance Subscription made by Sam Lewis.</w:t>
      </w:r>
    </w:p>
    <w:p>
      <w:pPr>
        <w:spacing w:after="0" w:line="67" w:lineRule="exact"/>
        <w:rPr>
          <w:rFonts w:ascii="Times New Roman" w:cs="Times New Roman" w:eastAsia="Times New Roman" w:hAnsi="Times New Roman"/>
          <w:sz w:val="18"/>
          <w:szCs w:val="18"/>
          <w:color w:val="auto"/>
        </w:rPr>
      </w:pPr>
    </w:p>
    <w:p>
      <w:pPr>
        <w:ind w:left="512" w:right="20" w:hanging="512"/>
        <w:spacing w:after="0" w:line="281" w:lineRule="auto"/>
        <w:tabs>
          <w:tab w:leader="none" w:pos="51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registered hereby consist of an aggregate of 53,503 Ordinary Shares allocated to investors managed by Sandia Investment Management LP (“</w:t>
      </w:r>
      <w:r>
        <w:rPr>
          <w:rFonts w:ascii="Times New Roman" w:cs="Times New Roman" w:eastAsia="Times New Roman" w:hAnsi="Times New Roman"/>
          <w:sz w:val="17"/>
          <w:szCs w:val="17"/>
          <w:b w:val="1"/>
          <w:bCs w:val="1"/>
          <w:i w:val="1"/>
          <w:iCs w:val="1"/>
          <w:color w:val="auto"/>
        </w:rPr>
        <w:t>Sandia</w:t>
      </w:r>
      <w:r>
        <w:rPr>
          <w:rFonts w:ascii="Times New Roman" w:cs="Times New Roman" w:eastAsia="Times New Roman" w:hAnsi="Times New Roman"/>
          <w:sz w:val="17"/>
          <w:szCs w:val="17"/>
          <w:color w:val="auto"/>
        </w:rPr>
        <w:t>”). Sandia Investment Management LLC is the general partner of Sandia. Tim Sichler serves as Founder &amp; CIO of the general partner of Sandia, and in such capacity may be deemed to be the beneficial owner having shared voting power and shared investment power over the securities described in this footnote. The business address of these entities and Mr. Sichler is 201 Washington Street, Suite 2600, Boston, MA 02108.</w:t>
      </w:r>
    </w:p>
    <w:p>
      <w:pPr>
        <w:spacing w:after="0" w:line="56" w:lineRule="exact"/>
        <w:rPr>
          <w:rFonts w:ascii="Times New Roman" w:cs="Times New Roman" w:eastAsia="Times New Roman" w:hAnsi="Times New Roman"/>
          <w:sz w:val="17"/>
          <w:szCs w:val="17"/>
          <w:color w:val="auto"/>
        </w:rPr>
      </w:pPr>
    </w:p>
    <w:p>
      <w:pPr>
        <w:ind w:left="512" w:hanging="512"/>
        <w:spacing w:after="0"/>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3,372 Ordinary Shares issued upon the conversion of the Advance Subscription made by Sharat Williams.</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128,530 Ordinary Shares issued upon conversion of the Convertible Note held by Ms. Briggs.</w:t>
      </w:r>
    </w:p>
    <w:p>
      <w:pPr>
        <w:spacing w:after="0" w:line="117" w:lineRule="exact"/>
        <w:rPr>
          <w:rFonts w:ascii="Times New Roman" w:cs="Times New Roman" w:eastAsia="Times New Roman" w:hAnsi="Times New Roman"/>
          <w:sz w:val="18"/>
          <w:szCs w:val="18"/>
          <w:color w:val="auto"/>
        </w:rPr>
      </w:pPr>
    </w:p>
    <w:p>
      <w:pPr>
        <w:ind w:left="512" w:right="240" w:hanging="512"/>
        <w:spacing w:after="0" w:line="282"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17,078 Ordinary Shares issued upon the conversion of the Advance Subscription made by Techouts Solutions India Pvt ltd.</w:t>
      </w:r>
    </w:p>
    <w:p>
      <w:pPr>
        <w:spacing w:after="0" w:line="53" w:lineRule="exact"/>
        <w:rPr>
          <w:rFonts w:ascii="Times New Roman" w:cs="Times New Roman" w:eastAsia="Times New Roman" w:hAnsi="Times New Roman"/>
          <w:sz w:val="18"/>
          <w:szCs w:val="18"/>
          <w:color w:val="auto"/>
        </w:rPr>
      </w:pPr>
    </w:p>
    <w:p>
      <w:pPr>
        <w:ind w:left="512" w:hanging="512"/>
        <w:spacing w:after="0" w:line="266"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125,000 Ordinary Shares directly held by Mr. Decker. Mr. Decker served as a director of Armada, which became a wholly owned subsidiary of the Company in connection with the Business Combination, since August 2021. The principal business office of Mr. Decker is 517 Old Gulph Road, Bryn Mawr, PA 19010.</w:t>
      </w:r>
    </w:p>
    <w:p>
      <w:pPr>
        <w:spacing w:after="0" w:line="67" w:lineRule="exact"/>
        <w:rPr>
          <w:rFonts w:ascii="Times New Roman" w:cs="Times New Roman" w:eastAsia="Times New Roman" w:hAnsi="Times New Roman"/>
          <w:sz w:val="18"/>
          <w:szCs w:val="18"/>
          <w:color w:val="auto"/>
        </w:rPr>
      </w:pPr>
    </w:p>
    <w:p>
      <w:pPr>
        <w:ind w:left="512" w:right="220" w:hanging="512"/>
        <w:spacing w:after="0" w:line="261"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33,853 Ordinary Shares underlying the Promissory Note held by Trustees of Risol Limited Pension and (ii) the 12,500 Ordinary Shares underlying the Private Warrants held by Trustees of Risol Limited Pension. Shares beneficially held consist of (i) 440,634 Ordinary Shares, (ii) 33,853 Ordinary Shares issued upon the conversion of the Promissory Note held by Trustees of Risol Limited Pension; and (iii) 12,500 Ordinary Shares underlying the Private Warrants held by Trustees of Risol Limited Pension.</w:t>
      </w:r>
    </w:p>
    <w:p>
      <w:pPr>
        <w:spacing w:after="0" w:line="71"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12,500 Ordinary Shares underlying the Private Warrants held by UBIRY GmbH.</w:t>
      </w:r>
    </w:p>
    <w:p>
      <w:pPr>
        <w:spacing w:after="0" w:line="11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93" w:right="359" w:bottom="1440" w:gutter="0" w:footer="0" w:header="0"/>
        </w:sectPr>
      </w:pPr>
    </w:p>
    <w:bookmarkStart w:id="10" w:name="page11"/>
    <w:bookmarkEnd w:id="10"/>
    <w:p>
      <w:pPr>
        <w:ind w:left="512" w:hanging="512"/>
        <w:spacing w:after="0" w:line="259"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33,000 Ordinary Shares directly held by Vellar Opportunities Fund Master, Ltd. (“</w:t>
      </w:r>
      <w:r>
        <w:rPr>
          <w:rFonts w:ascii="Times New Roman" w:cs="Times New Roman" w:eastAsia="Times New Roman" w:hAnsi="Times New Roman"/>
          <w:sz w:val="18"/>
          <w:szCs w:val="18"/>
          <w:b w:val="1"/>
          <w:bCs w:val="1"/>
          <w:i w:val="1"/>
          <w:iCs w:val="1"/>
          <w:color w:val="auto"/>
        </w:rPr>
        <w:t>Vellar</w:t>
      </w:r>
      <w:r>
        <w:rPr>
          <w:rFonts w:ascii="Times New Roman" w:cs="Times New Roman" w:eastAsia="Times New Roman" w:hAnsi="Times New Roman"/>
          <w:sz w:val="18"/>
          <w:szCs w:val="18"/>
          <w:color w:val="auto"/>
        </w:rPr>
        <w:t>”). Solomon J. Cohen, in his capacity as Director of Vellar, may be deemed to control the securities owned by Vellar. Vellar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Vellar is 3 Columbus Circle, 24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Floor, New York, NY 10019.</w:t>
      </w:r>
    </w:p>
    <w:p>
      <w:pPr>
        <w:spacing w:after="0" w:line="12" w:lineRule="exact"/>
        <w:rPr>
          <w:rFonts w:ascii="Times New Roman" w:cs="Times New Roman" w:eastAsia="Times New Roman" w:hAnsi="Times New Roman"/>
          <w:sz w:val="18"/>
          <w:szCs w:val="18"/>
          <w:color w:val="auto"/>
        </w:rPr>
      </w:pPr>
    </w:p>
    <w:p>
      <w:pPr>
        <w:ind w:left="512" w:right="40" w:hanging="512"/>
        <w:spacing w:after="0" w:line="266"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 Ordinary Shares held by Ms. Pao. Ms. Pao has been employed as a junior employee at the Taiwan branch of Rezolve since April 2022. The principal business address for Ms. Pao is 5F., No. 15, Ln. 128, Xinhu 1st Rd., Neihu District, Taipei City 114065, Taiwan (R.O.C.).</w:t>
      </w:r>
    </w:p>
    <w:p>
      <w:pPr>
        <w:spacing w:after="0" w:line="67"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100,000 Ordinary Shares issued upon the conversion of the Advance Subscription made by Zedfesto Holding Ltd.</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1,857 Ordinary Shares issued upon the conversion of the Advance Subscription made by Zheng Jie.</w:t>
      </w:r>
    </w:p>
    <w:p>
      <w:pPr>
        <w:spacing w:after="0" w:line="117" w:lineRule="exact"/>
        <w:rPr>
          <w:rFonts w:ascii="Times New Roman" w:cs="Times New Roman" w:eastAsia="Times New Roman" w:hAnsi="Times New Roman"/>
          <w:sz w:val="18"/>
          <w:szCs w:val="18"/>
          <w:color w:val="auto"/>
        </w:rPr>
      </w:pPr>
    </w:p>
    <w:p>
      <w:pPr>
        <w:ind w:left="512" w:right="700" w:hanging="512"/>
        <w:spacing w:after="0" w:line="282"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120,000 Ordinary Shares issued to Radio Group Holding GmbH in connection with the termination and settlement of an agreement.</w:t>
      </w:r>
    </w:p>
    <w:p>
      <w:pPr>
        <w:spacing w:after="0" w:line="53" w:lineRule="exact"/>
        <w:rPr>
          <w:rFonts w:ascii="Times New Roman" w:cs="Times New Roman" w:eastAsia="Times New Roman" w:hAnsi="Times New Roman"/>
          <w:sz w:val="18"/>
          <w:szCs w:val="18"/>
          <w:color w:val="auto"/>
        </w:rPr>
      </w:pPr>
    </w:p>
    <w:p>
      <w:pPr>
        <w:ind w:left="512" w:right="140" w:hanging="512"/>
        <w:spacing w:after="0" w:line="282"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up to 180,000 Ordinary Shares issued to Stephan Schwenk in connection with the termination and settlement of an agreement.</w:t>
      </w:r>
    </w:p>
    <w:p>
      <w:pPr>
        <w:spacing w:after="0" w:line="53" w:lineRule="exact"/>
        <w:rPr>
          <w:rFonts w:ascii="Times New Roman" w:cs="Times New Roman" w:eastAsia="Times New Roman" w:hAnsi="Times New Roman"/>
          <w:sz w:val="18"/>
          <w:szCs w:val="18"/>
          <w:color w:val="auto"/>
        </w:rPr>
      </w:pPr>
    </w:p>
    <w:p>
      <w:pPr>
        <w:ind w:left="512" w:right="100" w:hanging="512"/>
        <w:spacing w:after="0" w:line="266"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(i) 1,941,111 Ordinary Shares issued to Tanist Group Limited as consideration for the BlueDot Acquisition; and (ii) 25,000 Ordinary Shares issuable upon the conversion of Private Warrants. Shares beneficially held consist of (i) 765,455 Ordinary Shares directly held and (ii) up to 1,941,111 Ordinary Shares issued to Tanist Group Limited as consideration for the BlueDot Acquisition.</w:t>
      </w:r>
    </w:p>
    <w:p>
      <w:pPr>
        <w:spacing w:after="0" w:line="67" w:lineRule="exact"/>
        <w:rPr>
          <w:rFonts w:ascii="Times New Roman" w:cs="Times New Roman" w:eastAsia="Times New Roman" w:hAnsi="Times New Roman"/>
          <w:sz w:val="18"/>
          <w:szCs w:val="18"/>
          <w:color w:val="auto"/>
        </w:rPr>
      </w:pPr>
    </w:p>
    <w:p>
      <w:pPr>
        <w:ind w:left="512" w:right="640" w:hanging="512"/>
        <w:spacing w:after="0" w:line="282"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up to 5,857,143 Ordinary Shares issuable to WAB in connection with the WAB Subscription Letter. The business address of WAB is One East Washington Street, Suite 1400, Phoenix, Arizona 85004.</w:t>
      </w:r>
    </w:p>
    <w:p>
      <w:pPr>
        <w:spacing w:after="0" w:line="53" w:lineRule="exact"/>
        <w:rPr>
          <w:rFonts w:ascii="Times New Roman" w:cs="Times New Roman" w:eastAsia="Times New Roman" w:hAnsi="Times New Roman"/>
          <w:sz w:val="18"/>
          <w:szCs w:val="18"/>
          <w:color w:val="auto"/>
        </w:rPr>
      </w:pPr>
    </w:p>
    <w:p>
      <w:pPr>
        <w:ind w:left="512" w:right="320" w:hanging="512"/>
        <w:spacing w:after="0" w:line="282"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52,838 Ordinary Shares received by Mr. Warren as consideration for the GroupBy Acquisition. The business address of Mr. Warren is 6545 Helgesen Road, Sooke, BC V9Z OV7 Canada.</w:t>
      </w:r>
    </w:p>
    <w:p>
      <w:pPr>
        <w:spacing w:after="0" w:line="53" w:lineRule="exact"/>
        <w:rPr>
          <w:rFonts w:ascii="Times New Roman" w:cs="Times New Roman" w:eastAsia="Times New Roman" w:hAnsi="Times New Roman"/>
          <w:sz w:val="18"/>
          <w:szCs w:val="18"/>
          <w:color w:val="auto"/>
        </w:rPr>
      </w:pPr>
    </w:p>
    <w:p>
      <w:pPr>
        <w:ind w:left="512" w:right="600" w:hanging="512"/>
        <w:spacing w:after="0" w:line="282"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44,031 Ordinary Shares received by Mr. Cheung-Bret as consideration for the GroupBy Acquisition. The business address of Mr. Cheung-Bret is 219 Roslin Avenue, Toronto, ON M4N 1Z5 Canada.</w:t>
      </w:r>
    </w:p>
    <w:p>
      <w:pPr>
        <w:spacing w:after="0" w:line="53" w:lineRule="exact"/>
        <w:rPr>
          <w:rFonts w:ascii="Times New Roman" w:cs="Times New Roman" w:eastAsia="Times New Roman" w:hAnsi="Times New Roman"/>
          <w:sz w:val="18"/>
          <w:szCs w:val="18"/>
          <w:color w:val="auto"/>
        </w:rPr>
      </w:pPr>
    </w:p>
    <w:p>
      <w:pPr>
        <w:ind w:left="512" w:right="160" w:hanging="512"/>
        <w:spacing w:after="0" w:line="282"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168,587 Ordinary Shares received by Ms. Gossage as consideration for the GroupBy Acquisition. The business address of Ms. Gossage is 59 Wanita Road, Toronto, ON M1C 1V3 Canada.</w:t>
      </w:r>
    </w:p>
    <w:p>
      <w:pPr>
        <w:spacing w:after="0" w:line="53" w:lineRule="exact"/>
        <w:rPr>
          <w:rFonts w:ascii="Times New Roman" w:cs="Times New Roman" w:eastAsia="Times New Roman" w:hAnsi="Times New Roman"/>
          <w:sz w:val="18"/>
          <w:szCs w:val="18"/>
          <w:color w:val="auto"/>
        </w:rPr>
      </w:pPr>
    </w:p>
    <w:p>
      <w:pPr>
        <w:ind w:left="512" w:right="160" w:hanging="512"/>
        <w:spacing w:after="0" w:line="282"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203,020 Ordinary Shares received by Mr. Gossage as consideration for the GroupBy Acquisition. The business address of Mr. Gossage is 59 Wanita Road, Toronto, ON M1C 1V3 Canada.</w:t>
      </w:r>
    </w:p>
    <w:p>
      <w:pPr>
        <w:spacing w:after="0" w:line="53" w:lineRule="exact"/>
        <w:rPr>
          <w:rFonts w:ascii="Times New Roman" w:cs="Times New Roman" w:eastAsia="Times New Roman" w:hAnsi="Times New Roman"/>
          <w:sz w:val="18"/>
          <w:szCs w:val="18"/>
          <w:color w:val="auto"/>
        </w:rPr>
      </w:pPr>
    </w:p>
    <w:p>
      <w:pPr>
        <w:ind w:left="512" w:right="20" w:hanging="512"/>
        <w:spacing w:after="0" w:line="282"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708 Ordinary Shares received by Ms. Bundy as consideration for the GroupBy Acquisition. The business address of Ms. Bundy is 1200 Barton Creek Blvd. #54, Austin TX 78735 United States.</w:t>
      </w:r>
    </w:p>
    <w:p>
      <w:pPr>
        <w:spacing w:after="0" w:line="53" w:lineRule="exact"/>
        <w:rPr>
          <w:rFonts w:ascii="Times New Roman" w:cs="Times New Roman" w:eastAsia="Times New Roman" w:hAnsi="Times New Roman"/>
          <w:sz w:val="18"/>
          <w:szCs w:val="18"/>
          <w:color w:val="auto"/>
        </w:rPr>
      </w:pPr>
    </w:p>
    <w:p>
      <w:pPr>
        <w:ind w:left="512" w:right="360" w:hanging="512"/>
        <w:spacing w:after="0" w:line="282"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14,506 Ordinary Shares received by Ms. Young as consideration for the GroupBy Acquisition. The business address of Ms. Young is 39 Albany Ave, Toronto, ON M5R 3C2 Canada.</w:t>
      </w:r>
    </w:p>
    <w:p>
      <w:pPr>
        <w:spacing w:after="0" w:line="53" w:lineRule="exact"/>
        <w:rPr>
          <w:rFonts w:ascii="Times New Roman" w:cs="Times New Roman" w:eastAsia="Times New Roman" w:hAnsi="Times New Roman"/>
          <w:sz w:val="18"/>
          <w:szCs w:val="18"/>
          <w:color w:val="auto"/>
        </w:rPr>
      </w:pPr>
    </w:p>
    <w:p>
      <w:pPr>
        <w:ind w:left="512" w:right="340" w:hanging="512"/>
        <w:spacing w:after="0" w:line="282"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14,319 Ordinary Shares received by Mr. Grange as consideration for the GroupBy Acquisition. The business address of Mr. Grange is 14139 Creditview Road, Cheltenham, ON L7C 3G5 Canada.</w:t>
      </w:r>
    </w:p>
    <w:p>
      <w:pPr>
        <w:spacing w:after="0" w:line="53" w:lineRule="exact"/>
        <w:rPr>
          <w:rFonts w:ascii="Times New Roman" w:cs="Times New Roman" w:eastAsia="Times New Roman" w:hAnsi="Times New Roman"/>
          <w:sz w:val="18"/>
          <w:szCs w:val="18"/>
          <w:color w:val="auto"/>
        </w:rPr>
      </w:pPr>
    </w:p>
    <w:p>
      <w:pPr>
        <w:ind w:left="512" w:right="460" w:hanging="512"/>
        <w:spacing w:after="0" w:line="282"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6,173 Ordinary Shares received by Mr. Devlin as consideration for the GroupBy Acquisition. The business address of Mr. Devlin is 338 Kennedy Ave, Toronto, ON M6P 3C3 Canada.</w:t>
      </w:r>
    </w:p>
    <w:p>
      <w:pPr>
        <w:spacing w:after="0" w:line="53" w:lineRule="exact"/>
        <w:rPr>
          <w:rFonts w:ascii="Times New Roman" w:cs="Times New Roman" w:eastAsia="Times New Roman" w:hAnsi="Times New Roman"/>
          <w:sz w:val="18"/>
          <w:szCs w:val="18"/>
          <w:color w:val="auto"/>
        </w:rPr>
      </w:pPr>
    </w:p>
    <w:p>
      <w:pPr>
        <w:ind w:left="512" w:right="580" w:hanging="512"/>
        <w:spacing w:after="0" w:line="282"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6,173 Ordinary Shares received by Mr. Long as consideration for the GroupBy Acquisition. The business address of Mr. Long is 2912 West Broadway, Suite 146, Vancouver, BC V6K 0E9 Canada.</w:t>
      </w:r>
    </w:p>
    <w:p>
      <w:pPr>
        <w:spacing w:after="0" w:line="53" w:lineRule="exact"/>
        <w:rPr>
          <w:rFonts w:ascii="Times New Roman" w:cs="Times New Roman" w:eastAsia="Times New Roman" w:hAnsi="Times New Roman"/>
          <w:sz w:val="18"/>
          <w:szCs w:val="18"/>
          <w:color w:val="auto"/>
        </w:rPr>
      </w:pPr>
    </w:p>
    <w:p>
      <w:pPr>
        <w:ind w:left="512" w:right="880" w:hanging="512"/>
        <w:spacing w:after="0" w:line="282" w:lineRule="auto"/>
        <w:tabs>
          <w:tab w:leader="none" w:pos="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12,346 Ordinary Shares received by The Estate of Gerd Opderbeck as consideration for the GroupBy Acquisition. The business address of The Estate of Gerd Opderbeck is 16 Bridle Lane, Newtown Square, PA 19073 United States.</w:t>
      </w:r>
    </w:p>
    <w:p>
      <w:pPr>
        <w:spacing w:after="0" w:line="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89" w:right="339" w:bottom="1440" w:gutter="0" w:footer="0" w:header="0"/>
        </w:sectPr>
      </w:pPr>
    </w:p>
    <w:bookmarkStart w:id="11" w:name="page12"/>
    <w:bookmarkEnd w:id="11"/>
    <w:p>
      <w:pPr>
        <w:jc w:val="both"/>
        <w:ind w:left="512" w:right="480" w:hanging="512"/>
        <w:spacing w:after="0" w:line="312" w:lineRule="auto"/>
        <w:tabs>
          <w:tab w:leader="none" w:pos="51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registered hereby consist of 18,519 Ordinary Shares received by M. Belcourt Consulting Group Inc. as consideration for the GroupBy Acquisition. The business address of M. Belcourt Consulting Group Inc. is 087238, 7th Sideroad, Thornbury ON, Box 83 NOH 2PO Canada.</w:t>
      </w:r>
    </w:p>
    <w:p>
      <w:pPr>
        <w:spacing w:after="0" w:line="31" w:lineRule="exact"/>
        <w:rPr>
          <w:rFonts w:ascii="Times New Roman" w:cs="Times New Roman" w:eastAsia="Times New Roman" w:hAnsi="Times New Roman"/>
          <w:sz w:val="17"/>
          <w:szCs w:val="17"/>
          <w:color w:val="auto"/>
        </w:rPr>
      </w:pPr>
    </w:p>
    <w:p>
      <w:pPr>
        <w:ind w:left="512" w:right="680" w:hanging="512"/>
        <w:spacing w:after="0" w:line="282"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8,025 Ordinary Shares received by ITF KKLM Investments CO. Ltd. as consideration for the GroupBy Acquisition. The business address of ITF KKLM Investments CO. Ltd. is 36 Forest Hill Road, Toronto, Ontario M4V 2L3.</w:t>
      </w:r>
    </w:p>
    <w:p>
      <w:pPr>
        <w:spacing w:after="0" w:line="53" w:lineRule="exact"/>
        <w:rPr>
          <w:rFonts w:ascii="Times New Roman" w:cs="Times New Roman" w:eastAsia="Times New Roman" w:hAnsi="Times New Roman"/>
          <w:sz w:val="18"/>
          <w:szCs w:val="18"/>
          <w:color w:val="auto"/>
        </w:rPr>
      </w:pPr>
    </w:p>
    <w:p>
      <w:pPr>
        <w:ind w:left="512" w:right="220" w:hanging="512"/>
        <w:spacing w:after="0" w:line="282"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53,024 Ordinary Shares received by 2432332 Ontario Inc. as consideration for the GroupBy Acquisition. The business address of 2432332 Ontario Inc. is 348024 15 Sideroad, Mono, Ontario L9W 6S6, Canada.</w:t>
      </w:r>
    </w:p>
    <w:p>
      <w:pPr>
        <w:spacing w:after="0" w:line="53" w:lineRule="exact"/>
        <w:rPr>
          <w:rFonts w:ascii="Times New Roman" w:cs="Times New Roman" w:eastAsia="Times New Roman" w:hAnsi="Times New Roman"/>
          <w:sz w:val="18"/>
          <w:szCs w:val="18"/>
          <w:color w:val="auto"/>
        </w:rPr>
      </w:pPr>
    </w:p>
    <w:p>
      <w:pPr>
        <w:ind w:left="512" w:right="20" w:hanging="512"/>
        <w:spacing w:after="0" w:line="282"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24,691 Ordinary Shares received by Mr. Opderbeck as consideration for the GroupBy Acquisition. The business address of Mr. Opderbeck is 363 Good Hope Rd, Bluffton, SC 29909 United States.</w:t>
      </w:r>
    </w:p>
    <w:p>
      <w:pPr>
        <w:spacing w:after="0" w:line="53" w:lineRule="exact"/>
        <w:rPr>
          <w:rFonts w:ascii="Times New Roman" w:cs="Times New Roman" w:eastAsia="Times New Roman" w:hAnsi="Times New Roman"/>
          <w:sz w:val="18"/>
          <w:szCs w:val="18"/>
          <w:color w:val="auto"/>
        </w:rPr>
      </w:pPr>
    </w:p>
    <w:p>
      <w:pPr>
        <w:ind w:left="512" w:right="120" w:hanging="512"/>
        <w:spacing w:after="0" w:line="281"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9,114 Ordinary Shares received by Austin Ventures X, L.P. as consideration for the GroupBy Acquisition. The business address of Austin Ventures X, L.P. is 1700 West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Street, Austin, TX 78703.</w:t>
      </w:r>
    </w:p>
    <w:p>
      <w:pPr>
        <w:spacing w:after="0" w:line="1" w:lineRule="exact"/>
        <w:rPr>
          <w:rFonts w:ascii="Times New Roman" w:cs="Times New Roman" w:eastAsia="Times New Roman" w:hAnsi="Times New Roman"/>
          <w:sz w:val="18"/>
          <w:szCs w:val="18"/>
          <w:color w:val="auto"/>
        </w:rPr>
      </w:pPr>
    </w:p>
    <w:p>
      <w:pPr>
        <w:ind w:left="512" w:right="80" w:hanging="512"/>
        <w:spacing w:after="0" w:line="282"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10,058 Ordinary Shares received by Mr. Mircevski as consideration for the GroupBy Acquisition. The business address of Mr. Mircevski is 656 Blair Creek Drive, Kitchener, ON N2P 0E7 Canada.</w:t>
      </w:r>
    </w:p>
    <w:p>
      <w:pPr>
        <w:spacing w:after="0" w:line="53" w:lineRule="exact"/>
        <w:rPr>
          <w:rFonts w:ascii="Times New Roman" w:cs="Times New Roman" w:eastAsia="Times New Roman" w:hAnsi="Times New Roman"/>
          <w:sz w:val="18"/>
          <w:szCs w:val="18"/>
          <w:color w:val="auto"/>
        </w:rPr>
      </w:pPr>
    </w:p>
    <w:p>
      <w:pPr>
        <w:ind w:left="512" w:right="280" w:hanging="512"/>
        <w:spacing w:after="0" w:line="282"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79,093 Ordinary Shares received by Mr. Dunlap as consideration for the GroupBy Acquisition. The business address of Mr. Dunlap is 16630 Dufferin Street, King, ON L7B1K5 Canada.</w:t>
      </w:r>
    </w:p>
    <w:p>
      <w:pPr>
        <w:spacing w:after="0" w:line="53"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59,451 Ordinary Shares received by Mr. Meloff as consideration for the GroupBy Acquisition. The business address of Mr. Meloff is 10 Fairland Road, Toronto, ON M4G 2T8 Canada.</w:t>
      </w:r>
    </w:p>
    <w:p>
      <w:pPr>
        <w:spacing w:after="0" w:line="53" w:lineRule="exact"/>
        <w:rPr>
          <w:rFonts w:ascii="Times New Roman" w:cs="Times New Roman" w:eastAsia="Times New Roman" w:hAnsi="Times New Roman"/>
          <w:sz w:val="18"/>
          <w:szCs w:val="18"/>
          <w:color w:val="auto"/>
        </w:rPr>
      </w:pPr>
    </w:p>
    <w:p>
      <w:pPr>
        <w:ind w:left="512" w:right="260" w:hanging="512"/>
        <w:spacing w:after="0" w:line="282"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205,803 Ordinary Shares received by Mr. Stibbe as consideration for the GroupBy Acquisition. The business address of Mr. Stibbe is 36 Redwood Avenue, Toronto, ON M4L 2S6 Canada.</w:t>
      </w:r>
    </w:p>
    <w:p>
      <w:pPr>
        <w:spacing w:after="0" w:line="53" w:lineRule="exact"/>
        <w:rPr>
          <w:rFonts w:ascii="Times New Roman" w:cs="Times New Roman" w:eastAsia="Times New Roman" w:hAnsi="Times New Roman"/>
          <w:sz w:val="18"/>
          <w:szCs w:val="18"/>
          <w:color w:val="auto"/>
        </w:rPr>
      </w:pPr>
    </w:p>
    <w:p>
      <w:pPr>
        <w:ind w:left="512" w:right="420" w:hanging="512"/>
        <w:spacing w:after="0" w:line="282"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21,610 Ordinary Shares received by Ms. Srikant Nayak as consideration for the GroupBy Acquisition. The business address of Ms. Nayak is 53 Schooner Drive, Brampton, ON L7A 3H6 Canada.</w:t>
      </w:r>
    </w:p>
    <w:p>
      <w:pPr>
        <w:spacing w:after="0" w:line="53" w:lineRule="exact"/>
        <w:rPr>
          <w:rFonts w:ascii="Times New Roman" w:cs="Times New Roman" w:eastAsia="Times New Roman" w:hAnsi="Times New Roman"/>
          <w:sz w:val="18"/>
          <w:szCs w:val="18"/>
          <w:color w:val="auto"/>
        </w:rPr>
      </w:pPr>
    </w:p>
    <w:p>
      <w:pPr>
        <w:ind w:left="512" w:right="480" w:hanging="512"/>
        <w:spacing w:after="0" w:line="282"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2,379 Ordinary Shares received by Mr. Alder as consideration for the GroupBy Acquisition. The business address of Mr. Alder is 5708 Loyalist Street, Ottawa, ON K0A 2W0 Canada.</w:t>
      </w:r>
    </w:p>
    <w:p>
      <w:pPr>
        <w:spacing w:after="0" w:line="53" w:lineRule="exact"/>
        <w:rPr>
          <w:rFonts w:ascii="Times New Roman" w:cs="Times New Roman" w:eastAsia="Times New Roman" w:hAnsi="Times New Roman"/>
          <w:sz w:val="18"/>
          <w:szCs w:val="18"/>
          <w:color w:val="auto"/>
        </w:rPr>
      </w:pPr>
    </w:p>
    <w:p>
      <w:pPr>
        <w:jc w:val="both"/>
        <w:ind w:left="512" w:right="80" w:hanging="512"/>
        <w:spacing w:after="0" w:line="266"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Roland Gossage is the main owner and director of Gorstidge Consulting Inc. and is an employee of GroupBy. Shares registered hereby consist of 36,278 Ordinary Shares received by Gorstidge Consulting Inc. as consideration for the GroupBy Acquisition. The business address of Gorstidge Consulting Inc. is 59 Wanita Road, Toronto, ON M1c 1V3.</w:t>
      </w:r>
    </w:p>
    <w:p>
      <w:pPr>
        <w:spacing w:after="0" w:line="67" w:lineRule="exact"/>
        <w:rPr>
          <w:rFonts w:ascii="Times New Roman" w:cs="Times New Roman" w:eastAsia="Times New Roman" w:hAnsi="Times New Roman"/>
          <w:sz w:val="18"/>
          <w:szCs w:val="18"/>
          <w:color w:val="auto"/>
        </w:rPr>
      </w:pPr>
    </w:p>
    <w:p>
      <w:pPr>
        <w:ind w:left="512" w:right="160" w:hanging="512"/>
        <w:spacing w:after="0" w:line="282"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10,824 Ordinary Shares received by Mr. Shashikant Nayak as consideration for the GroupBy Acquisition. The business address of Mr. Nayak is 39 Fairhill Ave, Brampton, ON L7A 2E7 Canada.</w:t>
      </w:r>
    </w:p>
    <w:p>
      <w:pPr>
        <w:spacing w:after="0" w:line="53" w:lineRule="exact"/>
        <w:rPr>
          <w:rFonts w:ascii="Times New Roman" w:cs="Times New Roman" w:eastAsia="Times New Roman" w:hAnsi="Times New Roman"/>
          <w:sz w:val="18"/>
          <w:szCs w:val="18"/>
          <w:color w:val="auto"/>
        </w:rPr>
      </w:pPr>
    </w:p>
    <w:p>
      <w:pPr>
        <w:ind w:left="512" w:right="100" w:hanging="512"/>
        <w:spacing w:after="0" w:line="282"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4,937 Ordinary Shares received by Ms. Shashikant as consideration for the GroupBy Acquisition. The business address of Ms. Shashikant is 39 Fairhill Ave, Brampton, ON L7A 2E7 Canada.</w:t>
      </w:r>
    </w:p>
    <w:p>
      <w:pPr>
        <w:spacing w:after="0" w:line="53" w:lineRule="exact"/>
        <w:rPr>
          <w:rFonts w:ascii="Times New Roman" w:cs="Times New Roman" w:eastAsia="Times New Roman" w:hAnsi="Times New Roman"/>
          <w:sz w:val="18"/>
          <w:szCs w:val="18"/>
          <w:color w:val="auto"/>
        </w:rPr>
      </w:pPr>
    </w:p>
    <w:p>
      <w:pPr>
        <w:ind w:left="512" w:right="400" w:hanging="512"/>
        <w:spacing w:after="0" w:line="282"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44,733 Ordinary Shares received by Ms. Estey as consideration for the GroupBy Acquisition. The business address of Ms. Estey is 159 Rosedale Hts Dr, Toronto, ON M4T 1C7 Canada.</w:t>
      </w:r>
    </w:p>
    <w:p>
      <w:pPr>
        <w:spacing w:after="0" w:line="53" w:lineRule="exact"/>
        <w:rPr>
          <w:rFonts w:ascii="Times New Roman" w:cs="Times New Roman" w:eastAsia="Times New Roman" w:hAnsi="Times New Roman"/>
          <w:sz w:val="18"/>
          <w:szCs w:val="18"/>
          <w:color w:val="auto"/>
        </w:rPr>
      </w:pPr>
    </w:p>
    <w:p>
      <w:pPr>
        <w:ind w:left="512" w:right="420" w:hanging="512"/>
        <w:spacing w:after="0" w:line="282"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43,404 Ordinary Shares received by Mr. Yang as consideration for the GroupBy Acquisition. The business address of Mr. Yang is 60 Wilson Way, SPC 112, Milpitas, CA 95035 USA.</w:t>
      </w:r>
    </w:p>
    <w:p>
      <w:pPr>
        <w:spacing w:after="0" w:line="53" w:lineRule="exact"/>
        <w:rPr>
          <w:rFonts w:ascii="Times New Roman" w:cs="Times New Roman" w:eastAsia="Times New Roman" w:hAnsi="Times New Roman"/>
          <w:sz w:val="18"/>
          <w:szCs w:val="18"/>
          <w:color w:val="auto"/>
        </w:rPr>
      </w:pPr>
    </w:p>
    <w:p>
      <w:pPr>
        <w:ind w:left="512" w:right="180" w:hanging="512"/>
        <w:spacing w:after="0" w:line="282"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21,601 Ordinary Shares received by Mr. D’Souza as consideration for the GroupBy Acquisition. The business address of Mr. D’Souza is 18 Dalmeny Drive, Brampton, ON L6X 0X3 Canada.</w:t>
      </w:r>
    </w:p>
    <w:p>
      <w:pPr>
        <w:spacing w:after="0" w:line="53" w:lineRule="exact"/>
        <w:rPr>
          <w:rFonts w:ascii="Times New Roman" w:cs="Times New Roman" w:eastAsia="Times New Roman" w:hAnsi="Times New Roman"/>
          <w:sz w:val="18"/>
          <w:szCs w:val="18"/>
          <w:color w:val="auto"/>
        </w:rPr>
      </w:pPr>
    </w:p>
    <w:p>
      <w:pPr>
        <w:ind w:left="512" w:right="460" w:hanging="512"/>
        <w:spacing w:after="0" w:line="282"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16,468 Ordinary Shares received by Mr. Cole as consideration for the GroupBy Acquisition. The business address of Mr. Cole is 43 Norden Crescent, Toronto, ON M3B 1B7 Canada.</w:t>
      </w:r>
    </w:p>
    <w:p>
      <w:pPr>
        <w:spacing w:after="0" w:line="53" w:lineRule="exact"/>
        <w:rPr>
          <w:rFonts w:ascii="Times New Roman" w:cs="Times New Roman" w:eastAsia="Times New Roman" w:hAnsi="Times New Roman"/>
          <w:sz w:val="18"/>
          <w:szCs w:val="18"/>
          <w:color w:val="auto"/>
        </w:rPr>
      </w:pPr>
    </w:p>
    <w:p>
      <w:pPr>
        <w:ind w:left="512" w:hanging="512"/>
        <w:spacing w:after="0" w:line="244"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PeakSpan Capital, LLC is the general partner of PeakSpan Capital Growth Partners I, L.P., and Mr. Phil Dur is the majority owner of PeakSpan Capital, LLC. Shares registered hereby consist of 2,071,294 Ordinary Shares received by PeakSpan Capital Growth Partners I, L.P. as consideration for the GroupBy Acquisition. The business address of PeakSpan Capital Growth Partners I, L.P. is 192 Lexington Avenue,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10016.</w:t>
      </w:r>
    </w:p>
    <w:p>
      <w:pPr>
        <w:spacing w:after="0" w:line="87" w:lineRule="exact"/>
        <w:rPr>
          <w:rFonts w:ascii="Times New Roman" w:cs="Times New Roman" w:eastAsia="Times New Roman" w:hAnsi="Times New Roman"/>
          <w:sz w:val="18"/>
          <w:szCs w:val="18"/>
          <w:color w:val="auto"/>
        </w:rPr>
      </w:pPr>
    </w:p>
    <w:p>
      <w:pPr>
        <w:ind w:left="512" w:hanging="512"/>
        <w:spacing w:after="0" w:line="244"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PeakSpan Capital, LLC is the general partner of PeakSpan Capital Growth Partners l-A, L.P., and Mr. Phil Dur is the majority owner of PeakSpan Capital, LLC. Shares registered hereby consist of 14,251 Ordinary Shares received by PeakSpan Capital Growth Partners 1-A, L.P. as consideration for the GroupBy Acquisition. The business address of PeakSpan Capital Growth Partners l-A, L.P. is 192 Lexington Avenue,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10016.</w:t>
      </w:r>
    </w:p>
    <w:p>
      <w:pPr>
        <w:spacing w:after="0" w:line="8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093" w:right="399" w:bottom="1440" w:gutter="0" w:footer="0" w:header="0"/>
        </w:sectPr>
      </w:pPr>
    </w:p>
    <w:bookmarkStart w:id="12" w:name="page13"/>
    <w:bookmarkEnd w:id="12"/>
    <w:p>
      <w:pPr>
        <w:ind w:left="512" w:right="220" w:hanging="512"/>
        <w:spacing w:after="0" w:line="282" w:lineRule="auto"/>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21,601 Ordinary Shares received by Ms. D’Souza as consideration for the GroupBy Acquisition. The business address of Ms. D’Souza is 18 Dalmeny Drive, Brampton, ON L6X 0X3 Canada.</w:t>
      </w:r>
    </w:p>
    <w:p>
      <w:pPr>
        <w:spacing w:after="0" w:line="53" w:lineRule="exact"/>
        <w:rPr>
          <w:rFonts w:ascii="Times New Roman" w:cs="Times New Roman" w:eastAsia="Times New Roman" w:hAnsi="Times New Roman"/>
          <w:sz w:val="18"/>
          <w:szCs w:val="18"/>
          <w:color w:val="auto"/>
        </w:rPr>
      </w:pPr>
    </w:p>
    <w:p>
      <w:pPr>
        <w:ind w:left="512" w:right="100" w:hanging="512"/>
        <w:spacing w:after="0" w:line="282" w:lineRule="auto"/>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11,203 Ordinary Shares received by Mr. Cornelisse as consideration for the GroupBy Acquisition. The business address of Mr. Cornelisse is 42 Stockdale Road, Needham, MA 02492 United States.</w:t>
      </w:r>
    </w:p>
    <w:p>
      <w:pPr>
        <w:spacing w:after="0" w:line="53"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15,788 Ordinary Shares received by Mr. Kamath as consideration for the GroupBy Acquisition. The business address of Mr. Kamath is 797 Spinning Wheel Crescent, Mississauga, ON L5W 1W4 Canada.</w:t>
      </w:r>
    </w:p>
    <w:p>
      <w:pPr>
        <w:spacing w:after="0" w:line="53" w:lineRule="exact"/>
        <w:rPr>
          <w:rFonts w:ascii="Times New Roman" w:cs="Times New Roman" w:eastAsia="Times New Roman" w:hAnsi="Times New Roman"/>
          <w:sz w:val="18"/>
          <w:szCs w:val="18"/>
          <w:color w:val="auto"/>
        </w:rPr>
      </w:pPr>
    </w:p>
    <w:p>
      <w:pPr>
        <w:ind w:left="512" w:right="240" w:hanging="512"/>
        <w:spacing w:after="0" w:line="282" w:lineRule="auto"/>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10,769 Ordinary Shares received by Mr. Kesavan as consideration for the GroupBy Acquisition. The business address of Mr. Kesavan is 2240 Foxfield Rd, Oakville, ON L6M 4C5 Canada.</w:t>
      </w:r>
    </w:p>
    <w:p>
      <w:pPr>
        <w:spacing w:after="0" w:line="53" w:lineRule="exact"/>
        <w:rPr>
          <w:rFonts w:ascii="Times New Roman" w:cs="Times New Roman" w:eastAsia="Times New Roman" w:hAnsi="Times New Roman"/>
          <w:sz w:val="18"/>
          <w:szCs w:val="18"/>
          <w:color w:val="auto"/>
        </w:rPr>
      </w:pPr>
    </w:p>
    <w:p>
      <w:pPr>
        <w:ind w:left="512" w:right="160" w:hanging="512"/>
        <w:spacing w:after="0" w:line="282" w:lineRule="auto"/>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51,593 Ordinary Shares received by Mr. Halpenny as consideration for the GroupBy Acquisition. The business address of Mr. Halpenny is 3 Relmar Gardens, Toronto, ON M5P 1S1 Canada.</w:t>
      </w:r>
    </w:p>
    <w:p>
      <w:pPr>
        <w:spacing w:after="0" w:line="53" w:lineRule="exact"/>
        <w:rPr>
          <w:rFonts w:ascii="Times New Roman" w:cs="Times New Roman" w:eastAsia="Times New Roman" w:hAnsi="Times New Roman"/>
          <w:sz w:val="18"/>
          <w:szCs w:val="18"/>
          <w:color w:val="auto"/>
        </w:rPr>
      </w:pPr>
    </w:p>
    <w:p>
      <w:pPr>
        <w:ind w:left="512" w:right="280" w:hanging="512"/>
        <w:spacing w:after="0" w:line="266" w:lineRule="auto"/>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 Lawn Direct Investment Fund GP, LLC is the managing general partner of CHC Direct Investment Fund I, L.P. Shares registered hereby consist of 597,375 Ordinary Shares received by CHC Direct Investment Fund I, L.P. as consideration for the GroupBy Acquisition. The business address of CHC Direct Investment Fund I, L.P. is 3953 Maple Avenue, Suite 250, Dallas TX 75219.</w:t>
      </w:r>
    </w:p>
    <w:p>
      <w:pPr>
        <w:spacing w:after="0" w:line="67" w:lineRule="exact"/>
        <w:rPr>
          <w:rFonts w:ascii="Times New Roman" w:cs="Times New Roman" w:eastAsia="Times New Roman" w:hAnsi="Times New Roman"/>
          <w:sz w:val="18"/>
          <w:szCs w:val="18"/>
          <w:color w:val="auto"/>
        </w:rPr>
      </w:pPr>
    </w:p>
    <w:p>
      <w:pPr>
        <w:ind w:left="512" w:hanging="512"/>
        <w:spacing w:after="0" w:line="254" w:lineRule="auto"/>
        <w:tabs>
          <w:tab w:leader="none" w:pos="5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7,979,499 Ordinary Shares issued in connection with the July 24, 2025, PIPE Financing issued to Citadel CEMF Investments Ltd.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securities by Citadel CEMF Investments Ltd. This disclosure is not and shall not be construed as an admission that Mr. Griffin or any of the Citadel related entities listed above is the beneficial owner of any securities of the Company other than the securities actually owned by such person (if any). The address of Citadel CEMF Investments Ltd. is c/o Citadel Enterprise Americas LLC, 830 Brickell Plaza, Floor 15, Miami, FL 33131.</w:t>
      </w:r>
    </w:p>
    <w:p>
      <w:pPr>
        <w:spacing w:after="0" w:line="8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3" w:right="33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1927860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12"/>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decimal"/>
      <w:start w:val="20"/>
    </w:lvl>
  </w:abstractNum>
  <w:abstractNum w:abstractNumId="4">
    <w:nsid w:val="79E2A9E3"/>
    <w:multiLevelType w:val="hybridMultilevel"/>
    <w:lvl w:ilvl="0">
      <w:lvlJc w:val="left"/>
      <w:lvlText w:val="(%1)"/>
      <w:numFmt w:val="decimal"/>
      <w:start w:val="30"/>
    </w:lvl>
  </w:abstractNum>
  <w:abstractNum w:abstractNumId="5">
    <w:nsid w:val="7545E146"/>
    <w:multiLevelType w:val="hybridMultilevel"/>
    <w:lvl w:ilvl="0">
      <w:lvlJc w:val="left"/>
      <w:lvlText w:val="(%1)"/>
      <w:numFmt w:val="decimal"/>
      <w:start w:val="39"/>
    </w:lvl>
  </w:abstractNum>
  <w:abstractNum w:abstractNumId="6">
    <w:nsid w:val="515F007C"/>
    <w:multiLevelType w:val="hybridMultilevel"/>
    <w:lvl w:ilvl="0">
      <w:lvlJc w:val="left"/>
      <w:lvlText w:val="(%1)"/>
      <w:numFmt w:val="decimal"/>
      <w:start w:val="52"/>
    </w:lvl>
  </w:abstractNum>
  <w:abstractNum w:abstractNumId="7">
    <w:nsid w:val="5BD062C2"/>
    <w:multiLevelType w:val="hybridMultilevel"/>
    <w:lvl w:ilvl="0">
      <w:lvlJc w:val="left"/>
      <w:lvlText w:val="(%1)"/>
      <w:numFmt w:val="decimal"/>
      <w:start w:val="67"/>
    </w:lvl>
  </w:abstractNum>
  <w:abstractNum w:abstractNumId="8">
    <w:nsid w:val="12200854"/>
    <w:multiLevelType w:val="hybridMultilevel"/>
    <w:lvl w:ilvl="0">
      <w:lvlJc w:val="left"/>
      <w:lvlText w:val="(%1)"/>
      <w:numFmt w:val="decimal"/>
      <w:start w:val="85"/>
    </w:lvl>
  </w:abstractNum>
  <w:abstractNum w:abstractNumId="9">
    <w:nsid w:val="4DB127F8"/>
    <w:multiLevelType w:val="hybridMultilevel"/>
    <w:lvl w:ilvl="0">
      <w:lvlJc w:val="left"/>
      <w:lvlText w:val="(%1)"/>
      <w:numFmt w:val="decimal"/>
      <w:start w:val="10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2025-10-24T16:25:55Z</dcterms:created>
  <dcterms:modified xsi:type="dcterms:W3CDTF">2025-10-24T16:25:55Z</dcterms:modified>
</cp:coreProperties>
</file>