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287020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327660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For the month of September 2024</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287020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Limited</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3rd Floor, 80 New Bond Street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London, W1S 1SB</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296545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left="240" w:right="29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427990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1092835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Yorkville Second Amended and Restated Standby Equity Purchase Agreement and Promissory Note</w:t>
      </w:r>
    </w:p>
    <w:p>
      <w:pPr>
        <w:spacing w:after="0" w:line="22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September 6, 2024, Rezolve AI Limited (the “</w:t>
      </w:r>
      <w:r>
        <w:rPr>
          <w:rFonts w:ascii="Times New Roman" w:cs="Times New Roman" w:eastAsia="Times New Roman" w:hAnsi="Times New Roman"/>
          <w:sz w:val="18"/>
          <w:szCs w:val="18"/>
          <w:b w:val="1"/>
          <w:bCs w:val="1"/>
          <w:i w:val="1"/>
          <w:iCs w:val="1"/>
          <w:color w:val="auto"/>
        </w:rPr>
        <w:t>Company or Rezolve</w:t>
      </w:r>
      <w:r>
        <w:rPr>
          <w:rFonts w:ascii="Times New Roman" w:cs="Times New Roman" w:eastAsia="Times New Roman" w:hAnsi="Times New Roman"/>
          <w:sz w:val="18"/>
          <w:szCs w:val="18"/>
          <w:color w:val="auto"/>
        </w:rPr>
        <w:t>”) and YA II PN, LTD, a Cayman Islands exempt limited company (“</w:t>
      </w:r>
      <w:r>
        <w:rPr>
          <w:rFonts w:ascii="Times New Roman" w:cs="Times New Roman" w:eastAsia="Times New Roman" w:hAnsi="Times New Roman"/>
          <w:sz w:val="18"/>
          <w:szCs w:val="18"/>
          <w:b w:val="1"/>
          <w:bCs w:val="1"/>
          <w:i w:val="1"/>
          <w:iCs w:val="1"/>
          <w:color w:val="auto"/>
        </w:rPr>
        <w:t>YA</w:t>
      </w:r>
      <w:r>
        <w:rPr>
          <w:rFonts w:ascii="Times New Roman" w:cs="Times New Roman" w:eastAsia="Times New Roman" w:hAnsi="Times New Roman"/>
          <w:sz w:val="18"/>
          <w:szCs w:val="18"/>
          <w:color w:val="auto"/>
        </w:rPr>
        <w:t>”), amended and restated that certain standby equity purchase agreement, dated February 23, 2023 and amended and restated on February 2, 2024 (the “</w:t>
      </w:r>
      <w:r>
        <w:rPr>
          <w:rFonts w:ascii="Times New Roman" w:cs="Times New Roman" w:eastAsia="Times New Roman" w:hAnsi="Times New Roman"/>
          <w:sz w:val="18"/>
          <w:szCs w:val="18"/>
          <w:b w:val="1"/>
          <w:bCs w:val="1"/>
          <w:i w:val="1"/>
          <w:iCs w:val="1"/>
          <w:color w:val="auto"/>
        </w:rPr>
        <w:t>Second A&amp;R YA Agreement</w:t>
      </w:r>
      <w:r>
        <w:rPr>
          <w:rFonts w:ascii="Times New Roman" w:cs="Times New Roman" w:eastAsia="Times New Roman" w:hAnsi="Times New Roman"/>
          <w:sz w:val="18"/>
          <w:szCs w:val="18"/>
          <w:color w:val="auto"/>
        </w:rPr>
        <w: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Note (as defined below), the second tranche in an original principal amount of Two Million Five Hundred Thousand Dollars ($2,500,000) that was funded as part of the Note and the third tranche in an original principal amount of Two Million Five Hundred Thousand Dollars ($2,500,000) to be funded upon effectiveness of the F-1 Registration Statement filed with U.S. Securities and Exchange Commission on September 6, 2024. The Second A&amp;R YA Agreement superseded the original agreement.</w:t>
      </w:r>
    </w:p>
    <w:p>
      <w:pPr>
        <w:spacing w:after="0" w:line="19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Second A&amp;R YA Agreement does not purport to be complete and is qualified in its entirety by the full text of the Second A&amp;R YA Agreement, which is incorporated by reference herein and attached herewith as Exhibit 99.1</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Second A&amp;R YA Agreement, on September 9, 2024, Rezolve issued YA a promissory note in the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 (the “</w:t>
      </w:r>
      <w:r>
        <w:rPr>
          <w:rFonts w:ascii="Times New Roman" w:cs="Times New Roman" w:eastAsia="Times New Roman" w:hAnsi="Times New Roman"/>
          <w:sz w:val="18"/>
          <w:szCs w:val="18"/>
          <w:b w:val="1"/>
          <w:bCs w:val="1"/>
          <w:i w:val="1"/>
          <w:iCs w:val="1"/>
          <w:color w:val="auto"/>
        </w:rPr>
        <w:t>Note</w:t>
      </w:r>
      <w:r>
        <w:rPr>
          <w:rFonts w:ascii="Times New Roman" w:cs="Times New Roman" w:eastAsia="Times New Roman" w:hAnsi="Times New Roman"/>
          <w:sz w:val="18"/>
          <w:szCs w:val="18"/>
          <w:color w:val="auto"/>
        </w:rPr>
        <w:t>”), reflecting the first and second tranche of the prepaid advances. Upon the funding of the third tranche of the prepaid advance,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will issue YA a promissory note in the principal amount of $2,500,000 with the same terms as the Note. The Note bears interest at an annual rate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10% of the outstanding principal balance of the Note and matures on September 11, 2025. Under the Note, YA may elect to convert all or part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outstanding under the Note into ordinary shares of Rezolve at the Conversion Price (as defined in the Note), subject to certain limitations. Rezolve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right to redeem early a portion or all amounts outstanding under the Note upon 10 days written notice upon the occurrence of certain events.</w:t>
      </w:r>
    </w:p>
    <w:p>
      <w:pPr>
        <w:spacing w:after="0" w:line="207"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Note does not purport to be complete and is qualified in its entirety by the full text of the Note, which is incorporated by reference herein and attached herewith as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13335</wp:posOffset>
            </wp:positionV>
            <wp:extent cx="64890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18" w:lineRule="exact"/>
        <w:rPr>
          <w:sz w:val="20"/>
          <w:szCs w:val="20"/>
          <w:color w:val="auto"/>
        </w:rPr>
      </w:pPr>
    </w:p>
    <w:p>
      <w:pPr>
        <w:ind w:left="660" w:hanging="595"/>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Second Amended and Restated Standby Equity Purchase Agreement, dated as of September 6, 2024, by and between YA II PN, Ltd. and Rezolve AI Limited.</w:t>
      </w:r>
    </w:p>
    <w:p>
      <w:pPr>
        <w:ind w:left="60"/>
        <w:spacing w:after="0"/>
        <w:tabs>
          <w:tab w:leader="none" w:pos="6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FF"/>
        </w:rPr>
        <w:t>Promissory Note, dated as of September 9, 2024, by and among YA II PN, Ltd. and Rezolve AI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793115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920" w:top="1440" w:right="1119" w:bottom="1440" w:gutter="0" w:footer="0" w:header="0"/>
        </w:sectPr>
      </w:pPr>
    </w:p>
    <w:bookmarkStart w:id="3" w:name="page4"/>
    <w:bookmarkEnd w:id="3"/>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13, 2024</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6880" w:type="dxa"/>
            <w:vAlign w:val="bottom"/>
          </w:tcPr>
          <w:p>
            <w:pPr>
              <w:spacing w:after="0"/>
              <w:rPr>
                <w:sz w:val="20"/>
                <w:szCs w:val="20"/>
                <w:color w:val="auto"/>
              </w:rPr>
            </w:pPr>
          </w:p>
        </w:tc>
      </w:tr>
      <w:tr>
        <w:trPr>
          <w:trHeight w:val="25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6880" w:type="dxa"/>
            <w:vAlign w:val="bottom"/>
          </w:tcPr>
          <w:p>
            <w:pPr>
              <w:spacing w:after="0"/>
              <w:rPr>
                <w:sz w:val="21"/>
                <w:szCs w:val="21"/>
                <w:color w:val="auto"/>
              </w:rPr>
            </w:pPr>
          </w:p>
        </w:tc>
      </w:tr>
      <w:tr>
        <w:trPr>
          <w:trHeight w:val="24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6880" w:type="dxa"/>
            <w:vAlign w:val="bottom"/>
          </w:tcPr>
          <w:p>
            <w:pPr>
              <w:spacing w:after="0"/>
              <w:rPr>
                <w:sz w:val="21"/>
                <w:szCs w:val="21"/>
                <w:color w:val="auto"/>
              </w:rPr>
            </w:pPr>
          </w:p>
        </w:tc>
      </w:tr>
      <w:tr>
        <w:trPr>
          <w:trHeight w:val="1249"/>
        </w:trPr>
        <w:tc>
          <w:tcPr>
            <w:tcW w:w="82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AMENDED AND RESTATED STANDBY EQUITY PURCHASE AGREEMENT</w:t>
      </w:r>
    </w:p>
    <w:p>
      <w:pPr>
        <w:spacing w:after="0" w:line="206" w:lineRule="exact"/>
        <w:rPr>
          <w:sz w:val="20"/>
          <w:szCs w:val="20"/>
          <w:color w:val="auto"/>
        </w:rPr>
      </w:pPr>
    </w:p>
    <w:p>
      <w:pPr>
        <w:jc w:val="both"/>
        <w:ind w:firstLine="8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THIS SECOND AMENDED AND RESTATED STANDBY EQUITY PURCHASE AGREEMENT </w:t>
      </w:r>
      <w:r>
        <w:rPr>
          <w:rFonts w:ascii="Times New Roman" w:cs="Times New Roman" w:eastAsia="Times New Roman" w:hAnsi="Times New Roman"/>
          <w:sz w:val="22"/>
          <w:szCs w:val="22"/>
          <w:color w:val="auto"/>
        </w:rPr>
        <w:t>(this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dated as of September 6, 2024 is made by and between </w:t>
      </w:r>
      <w:r>
        <w:rPr>
          <w:rFonts w:ascii="Times New Roman" w:cs="Times New Roman" w:eastAsia="Times New Roman" w:hAnsi="Times New Roman"/>
          <w:sz w:val="22"/>
          <w:szCs w:val="22"/>
          <w:b w:val="1"/>
          <w:bCs w:val="1"/>
          <w:color w:val="auto"/>
        </w:rPr>
        <w:t>YA II PN, LTD.</w:t>
      </w:r>
      <w:r>
        <w:rPr>
          <w:rFonts w:ascii="Times New Roman" w:cs="Times New Roman" w:eastAsia="Times New Roman" w:hAnsi="Times New Roman"/>
          <w:sz w:val="22"/>
          <w:szCs w:val="22"/>
          <w:color w:val="auto"/>
        </w:rPr>
        <w:t>, a Cayman Islands exempted company (the “</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REZOLVE AI LIMITED,</w:t>
      </w:r>
      <w:r>
        <w:rPr>
          <w:rFonts w:ascii="Times New Roman" w:cs="Times New Roman" w:eastAsia="Times New Roman" w:hAnsi="Times New Roman"/>
          <w:sz w:val="22"/>
          <w:szCs w:val="22"/>
          <w:color w:val="auto"/>
        </w:rPr>
        <w:t xml:space="preserve"> a company incorporated in England and Wales with registered number 14573691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Investor and the Company may be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8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Investor, ARMADA ACQUISITION CORP. I, a Delaware corporation (“</w:t>
      </w:r>
      <w:r>
        <w:rPr>
          <w:rFonts w:ascii="Times New Roman" w:cs="Times New Roman" w:eastAsia="Times New Roman" w:hAnsi="Times New Roman"/>
          <w:sz w:val="22"/>
          <w:szCs w:val="22"/>
          <w:u w:val="single" w:color="auto"/>
          <w:color w:val="auto"/>
        </w:rPr>
        <w:t>Armada</w:t>
      </w:r>
      <w:r>
        <w:rPr>
          <w:rFonts w:ascii="Times New Roman" w:cs="Times New Roman" w:eastAsia="Times New Roman" w:hAnsi="Times New Roman"/>
          <w:sz w:val="22"/>
          <w:szCs w:val="22"/>
          <w:color w:val="auto"/>
        </w:rPr>
        <w:t>”), and REZOLVE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 company incorporated in England and Wales with registered number 09773823 (the “</w:t>
      </w:r>
      <w:r>
        <w:rPr>
          <w:rFonts w:ascii="Times New Roman" w:cs="Times New Roman" w:eastAsia="Times New Roman" w:hAnsi="Times New Roman"/>
          <w:sz w:val="22"/>
          <w:szCs w:val="22"/>
          <w:u w:val="single" w:color="auto"/>
          <w:color w:val="auto"/>
        </w:rPr>
        <w:t>Original Company</w:t>
      </w:r>
      <w:r>
        <w:rPr>
          <w:rFonts w:ascii="Times New Roman" w:cs="Times New Roman" w:eastAsia="Times New Roman" w:hAnsi="Times New Roman"/>
          <w:sz w:val="22"/>
          <w:szCs w:val="22"/>
          <w:color w:val="auto"/>
        </w:rPr>
        <w:t>”) entered into that certain Standby Equity Purchase Agreement on February 23, 2023 (the “</w:t>
      </w:r>
      <w:r>
        <w:rPr>
          <w:rFonts w:ascii="Times New Roman" w:cs="Times New Roman" w:eastAsia="Times New Roman" w:hAnsi="Times New Roman"/>
          <w:sz w:val="22"/>
          <w:szCs w:val="22"/>
          <w:u w:val="single" w:color="auto"/>
          <w:color w:val="auto"/>
        </w:rPr>
        <w:t>SEPA Agreement</w:t>
      </w:r>
      <w:r>
        <w:rPr>
          <w:rFonts w:ascii="Times New Roman" w:cs="Times New Roman" w:eastAsia="Times New Roman" w:hAnsi="Times New Roman"/>
          <w:sz w:val="22"/>
          <w:szCs w:val="22"/>
          <w:color w:val="auto"/>
        </w:rPr>
        <w:t>”), pursuant to which the Original Company, upon the closing of the Business Combination (as defined below) shall have the right to issue and sell to the Investor, from time to time as provided therein, and the Investor shall purchase from the Company, up to $250 million of ordinary shares of the Company (the “</w:t>
      </w:r>
      <w:r>
        <w:rPr>
          <w:rFonts w:ascii="Times New Roman" w:cs="Times New Roman" w:eastAsia="Times New Roman" w:hAnsi="Times New Roman"/>
          <w:sz w:val="22"/>
          <w:szCs w:val="22"/>
          <w:u w:val="single" w:color="auto"/>
          <w:color w:val="auto"/>
        </w:rPr>
        <w:t>Common Shares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849"/>
        <w:spacing w:after="0" w:line="23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February 2, 2024 the Investor, Armada, the Original Company and the Company entered into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and Restated Standby Equity Purchase Agreement (the “</w:t>
      </w:r>
      <w:r>
        <w:rPr>
          <w:rFonts w:ascii="Times New Roman" w:cs="Times New Roman" w:eastAsia="Times New Roman" w:hAnsi="Times New Roman"/>
          <w:sz w:val="22"/>
          <w:szCs w:val="22"/>
          <w:u w:val="single" w:color="auto"/>
          <w:color w:val="auto"/>
        </w:rPr>
        <w:t>AR SEPA Agreement</w:t>
      </w:r>
      <w:r>
        <w:rPr>
          <w:rFonts w:ascii="Times New Roman" w:cs="Times New Roman" w:eastAsia="Times New Roman" w:hAnsi="Times New Roman"/>
          <w:sz w:val="22"/>
          <w:szCs w:val="22"/>
          <w:color w:val="auto"/>
        </w:rPr>
        <w:t>”) pursuant to which, in addition to the commitment to purchase shares under the SEPA Agreement, the parties thereto incorporated a prepaid advance arrangement, whereby the Investor provided the Company (as successor-in-interest to the Original Company) with a prepaid advance in an original principal amount of Two Million Five Hundred Thousand Dollars ($2,500,000) upon execution of the AR SEPA Agreement;</w:t>
      </w:r>
    </w:p>
    <w:p>
      <w:pPr>
        <w:spacing w:after="0" w:line="175" w:lineRule="exact"/>
        <w:rPr>
          <w:sz w:val="20"/>
          <w:szCs w:val="20"/>
          <w:color w:val="auto"/>
        </w:rPr>
      </w:pPr>
    </w:p>
    <w:p>
      <w:pPr>
        <w:jc w:val="both"/>
        <w:ind w:firstLine="849"/>
        <w:spacing w:after="0" w:line="23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July 4, 2024, the Original Company, the Company and the shareholders of the Original Company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Company Shareholders</w:t>
      </w:r>
      <w:r>
        <w:rPr>
          <w:rFonts w:ascii="Times New Roman" w:cs="Times New Roman" w:eastAsia="Times New Roman" w:hAnsi="Times New Roman"/>
          <w:sz w:val="22"/>
          <w:szCs w:val="22"/>
          <w:color w:val="auto"/>
        </w:rPr>
        <w:t>") entered into a demerger support agreement pursuant to which, among other things, all of the business and assets of the Original Company except for certain shares in the following entities, namely Rezolve Information Technology (Shanghai) Co Ltd and its wholly owned subsidiary Nine Stone (Shanghai) Ltd and Rezolve Information Technology (Shanghai) Co Ltd Beijing Branch and certain other excluded assets were transferred to the Company in exchange for the issue of shares of the same classes in the Company for distribution amongst the Original Company Shareholders in proportion to their holdings of shares in the Original Company of each class (the "</w:t>
      </w:r>
      <w:r>
        <w:rPr>
          <w:rFonts w:ascii="Times New Roman" w:cs="Times New Roman" w:eastAsia="Times New Roman" w:hAnsi="Times New Roman"/>
          <w:sz w:val="22"/>
          <w:szCs w:val="22"/>
          <w:u w:val="single" w:color="auto"/>
          <w:color w:val="auto"/>
        </w:rPr>
        <w:t>Pre-Closing Demerger</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849"/>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upon the closing of the Pre-Closing Demerger on July 4, 2024, the Company unconditionally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irrevocably assumed all rights and obligations of the Original Company for the purposes of the AR SEPA Agreement (as amended and restated from time to time) and the obligations under prepaid advance in an original principal amount of Two Million Five Hundred Thousand Dollars ($2,500,000) provided upon execution of the AR SEPA Agreement;</w:t>
      </w:r>
    </w:p>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Common Shares are listed for trading on the Nasdaq Stock Market under the symbol “RZLV”;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ind w:firstLine="849"/>
        <w:spacing w:after="0" w:line="23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addition to the commitment to purchase shares and provide a prepaid advance in the original principal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of Two Million Five Hundred Thousand Dollars ($2,500,000) under the AR SEPA Agreement, the Parties now desire to incorporate an additional prepaid advance arrangement, whereby the Investor shall commit to provide the Company with prepaid advances in an aggregate original principal amount of an additional Seven Million Five Hundred Thousand Dollars ($7,500,000), which shall be funded to the Company in three tranches, with the first tranche in an original principal amount of Two Million Five Hundred Thousand Dollars ($2,500,000) funded upon execution of this Agreement, the second tranche in an original principal amount of Two Million Five Hundred Thousand Dollars ($2,500,000) funded upon filing of the initial Registration Statement to be filed pursuant to the Registration Rights Agreement (as defined below), and the third tranche in an original principal amount of Two Million Five Hundred Thousand Dollars ($2,500,000) to be funded upon the effectiveness of the initial Registration Statement;</w:t>
      </w:r>
    </w:p>
    <w:p>
      <w:pPr>
        <w:spacing w:after="0" w:line="179" w:lineRule="exact"/>
        <w:rPr>
          <w:sz w:val="20"/>
          <w:szCs w:val="20"/>
          <w:color w:val="auto"/>
        </w:rPr>
      </w:pPr>
    </w:p>
    <w:p>
      <w:pPr>
        <w:jc w:val="both"/>
        <w:ind w:firstLine="849"/>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offer and sale of the Common Shares issuable hereunder will be made in reliance upon Section 4(a)(2)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Securities Act of 1933, as amended, and the rules and regulations promulgated thereunder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or upon such other exemption from the registration requirements of the Securities Act as may be available with respect to any or all of the transactions to be made hereunder;</w:t>
      </w:r>
    </w:p>
    <w:p>
      <w:pPr>
        <w:spacing w:after="0" w:line="172" w:lineRule="exact"/>
        <w:rPr>
          <w:sz w:val="20"/>
          <w:szCs w:val="20"/>
          <w:color w:val="auto"/>
        </w:rPr>
      </w:pPr>
    </w:p>
    <w:p>
      <w:pPr>
        <w:jc w:val="both"/>
        <w:ind w:firstLine="849"/>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February 2, 2024, the Parties entered into a Registration Rights Agreement in the form attached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 pursuant to which the Company shall register the resale of the Registrable Securities (as defined in the Registration Rights Agreement), upon the terms and subject to the conditions set forth therein.</w:t>
      </w:r>
    </w:p>
    <w:p>
      <w:pPr>
        <w:spacing w:after="0" w:line="172" w:lineRule="exact"/>
        <w:rPr>
          <w:sz w:val="20"/>
          <w:szCs w:val="20"/>
          <w:color w:val="auto"/>
        </w:rPr>
      </w:pPr>
    </w:p>
    <w:p>
      <w:pPr>
        <w:jc w:val="both"/>
        <w:ind w:firstLine="849"/>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certain Subsidiaries of the Company entered into a Global Guaranty Agreement in the form attached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Global Guaranty Agreement</w:t>
      </w:r>
      <w:r>
        <w:rPr>
          <w:rFonts w:ascii="Times New Roman" w:cs="Times New Roman" w:eastAsia="Times New Roman" w:hAnsi="Times New Roman"/>
          <w:sz w:val="22"/>
          <w:szCs w:val="22"/>
          <w:color w:val="auto"/>
        </w:rPr>
        <w:t>”), pursuant to which the Subsidiaries party thereto shall guaranty all of the Company’s obligations under the Agreement, the Promissory Notes issued hereunder, and all other instruments, agreements or other items executed or delivered.</w:t>
      </w:r>
    </w:p>
    <w:p>
      <w:pPr>
        <w:spacing w:after="0" w:line="172" w:lineRule="exact"/>
        <w:rPr>
          <w:sz w:val="20"/>
          <w:szCs w:val="20"/>
          <w:color w:val="auto"/>
        </w:rPr>
      </w:pPr>
    </w:p>
    <w:p>
      <w:pPr>
        <w:jc w:val="both"/>
        <w:ind w:firstLine="8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Investor previously entered into an Intercreditor Agreement with Apeiron Investment Group Ltd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form attached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under which the Promissory Note (as defined below) shall have certain rights and obligations pursuant to the terms and subject to the conditions set forth therein.</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the Parties hereto agree as follows:</w:t>
      </w:r>
    </w:p>
    <w:p>
      <w:pPr>
        <w:spacing w:after="0" w:line="20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Article I.Certain Definitions</w:t>
      </w:r>
    </w:p>
    <w:p>
      <w:pPr>
        <w:spacing w:after="0" w:line="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Shares</w:t>
      </w:r>
      <w:r>
        <w:rPr>
          <w:rFonts w:ascii="Times New Roman" w:cs="Times New Roman" w:eastAsia="Times New Roman" w:hAnsi="Times New Roman"/>
          <w:sz w:val="22"/>
          <w:szCs w:val="22"/>
          <w:color w:val="auto"/>
        </w:rPr>
        <w:t>” shall have the meaning set forth in Section 3.01(e)(ii).</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Advance Amount</w:t>
      </w:r>
      <w:r>
        <w:rPr>
          <w:rFonts w:ascii="Times New Roman" w:cs="Times New Roman" w:eastAsia="Times New Roman" w:hAnsi="Times New Roman"/>
          <w:sz w:val="22"/>
          <w:szCs w:val="22"/>
          <w:color w:val="auto"/>
        </w:rPr>
        <w:t>” shall have the meaning set forth in Section 3.01(e)(i).</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Advance</w:t>
      </w:r>
      <w:r>
        <w:rPr>
          <w:rFonts w:ascii="Times New Roman" w:cs="Times New Roman" w:eastAsia="Times New Roman" w:hAnsi="Times New Roman"/>
          <w:sz w:val="21"/>
          <w:szCs w:val="21"/>
          <w:color w:val="auto"/>
        </w:rPr>
        <w:t>” shall mean any issuance and sale of Advance Shares by the Company to the Investor pursuant to Article III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 w:name="page7"/>
    <w:bookmarkEnd w:id="6"/>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Date</w:t>
      </w:r>
      <w:r>
        <w:rPr>
          <w:rFonts w:ascii="Times New Roman" w:cs="Times New Roman" w:eastAsia="Times New Roman" w:hAnsi="Times New Roman"/>
          <w:sz w:val="22"/>
          <w:szCs w:val="22"/>
          <w:color w:val="auto"/>
        </w:rPr>
        <w:t>” shall mean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Trading Day after expiration of the applicable Pricing Period for each Advance.</w:t>
      </w:r>
    </w:p>
    <w:p>
      <w:pPr>
        <w:spacing w:after="0" w:line="137" w:lineRule="exact"/>
        <w:rPr>
          <w:sz w:val="20"/>
          <w:szCs w:val="20"/>
          <w:color w:val="auto"/>
        </w:rPr>
      </w:pPr>
    </w:p>
    <w:p>
      <w:pPr>
        <w:jc w:val="both"/>
        <w:ind w:firstLine="84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Advance Notice</w:t>
      </w:r>
      <w:r>
        <w:rPr>
          <w:rFonts w:ascii="Times New Roman" w:cs="Times New Roman" w:eastAsia="Times New Roman" w:hAnsi="Times New Roman"/>
          <w:sz w:val="21"/>
          <w:szCs w:val="21"/>
          <w:color w:val="auto"/>
        </w:rPr>
        <w:t>” shall mean a written notice in the form of Exhibit A attached hereto to the Investor executed by an officer of the Company and setting forth a number of Advance Shares that the Company desires to issue and sell to the Investor.</w:t>
      </w:r>
    </w:p>
    <w:p>
      <w:pPr>
        <w:spacing w:after="0" w:line="135" w:lineRule="exact"/>
        <w:rPr>
          <w:sz w:val="20"/>
          <w:szCs w:val="20"/>
          <w:color w:val="auto"/>
        </w:rPr>
      </w:pPr>
    </w:p>
    <w:p>
      <w:pPr>
        <w:jc w:val="both"/>
        <w:ind w:right="20"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Notice Date</w:t>
      </w:r>
      <w:r>
        <w:rPr>
          <w:rFonts w:ascii="Times New Roman" w:cs="Times New Roman" w:eastAsia="Times New Roman" w:hAnsi="Times New Roman"/>
          <w:sz w:val="22"/>
          <w:szCs w:val="22"/>
          <w:color w:val="auto"/>
        </w:rPr>
        <w:t>” shall mean each date the Company is deemed to have delivered (in accordance with Section 3.01(b) of this Agreement) an Advance Notice to the Investor, subject to the terms of this Agreement.</w:t>
      </w:r>
    </w:p>
    <w:p>
      <w:pPr>
        <w:spacing w:after="0" w:line="158" w:lineRule="exact"/>
        <w:rPr>
          <w:sz w:val="20"/>
          <w:szCs w:val="20"/>
          <w:color w:val="auto"/>
        </w:rPr>
      </w:pPr>
    </w:p>
    <w:p>
      <w:pPr>
        <w:jc w:val="both"/>
        <w:ind w:right="20"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Shares</w:t>
      </w:r>
      <w:r>
        <w:rPr>
          <w:rFonts w:ascii="Times New Roman" w:cs="Times New Roman" w:eastAsia="Times New Roman" w:hAnsi="Times New Roman"/>
          <w:sz w:val="22"/>
          <w:szCs w:val="22"/>
          <w:color w:val="auto"/>
        </w:rPr>
        <w:t>” shall mean the Common Shares that the Company shall issue and sell to the Investor pursuant to the terms of this Agreement.</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have the meaning set forth in Section 4.07.</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have the meaning set forth in the preamble of this Agreement.</w:t>
      </w:r>
    </w:p>
    <w:p>
      <w:pPr>
        <w:spacing w:after="0" w:line="206" w:lineRule="exact"/>
        <w:rPr>
          <w:sz w:val="20"/>
          <w:szCs w:val="20"/>
          <w:color w:val="auto"/>
        </w:rPr>
      </w:pPr>
    </w:p>
    <w:p>
      <w:pPr>
        <w:jc w:val="both"/>
        <w:ind w:firstLine="8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 shall mean all applicable laws, statutes, rules, regulations, orders, executive orders, directives, policies, guidelines and codes having the force of law, whether local, national, or international, as amended from time to time, including without limitation (i) all applicable laws that relate to money laundering, terrorist financing, financial record keeping and reporting, (ii) all applicable laws that relate to anti-bribery, anti-corruption, books and records and internal controls, including the United States Foreign Corrupt Practices Act of 1977, and (iii) any Sanctions laws.</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Black Out Period</w:t>
      </w:r>
      <w:r>
        <w:rPr>
          <w:rFonts w:ascii="Times New Roman" w:cs="Times New Roman" w:eastAsia="Times New Roman" w:hAnsi="Times New Roman"/>
          <w:sz w:val="22"/>
          <w:szCs w:val="22"/>
          <w:color w:val="auto"/>
        </w:rPr>
        <w:t>” shall have the meaning set forth in Section 1.01.</w:t>
      </w:r>
    </w:p>
    <w:p>
      <w:pPr>
        <w:spacing w:after="0" w:line="206"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Combination</w:t>
      </w:r>
      <w:r>
        <w:rPr>
          <w:rFonts w:ascii="Times New Roman" w:cs="Times New Roman" w:eastAsia="Times New Roman" w:hAnsi="Times New Roman"/>
          <w:sz w:val="22"/>
          <w:szCs w:val="22"/>
          <w:color w:val="auto"/>
        </w:rPr>
        <w:t>” shall mean the transactions contemplated by the Business Combination Agreement, dated December 17, 2021, as amended on 10 November 2022 and further amended and restated on 16 June 2023 (the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Combination Agreement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BCA</w:t>
      </w:r>
      <w:r>
        <w:rPr>
          <w:rFonts w:ascii="Times New Roman" w:cs="Times New Roman" w:eastAsia="Times New Roman" w:hAnsi="Times New Roman"/>
          <w:sz w:val="22"/>
          <w:szCs w:val="22"/>
          <w:color w:val="auto"/>
        </w:rPr>
        <w:t>”)), by and among the Company, Armada, the Original Company, Rezolve Group Limited, a company incorporated in the Cayman Islands, and Rezolve Merger Sub, Inc. a Delaware corporation, as amended.</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have the meaning set forth in Section 2.02.</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Amount</w:t>
      </w:r>
      <w:r>
        <w:rPr>
          <w:rFonts w:ascii="Times New Roman" w:cs="Times New Roman" w:eastAsia="Times New Roman" w:hAnsi="Times New Roman"/>
          <w:sz w:val="22"/>
          <w:szCs w:val="22"/>
          <w:color w:val="auto"/>
        </w:rPr>
        <w:t>” shall mean $250,000,000 of Common Shares.</w:t>
      </w:r>
    </w:p>
    <w:p>
      <w:pPr>
        <w:spacing w:after="0" w:line="206"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Period</w:t>
      </w:r>
      <w:r>
        <w:rPr>
          <w:rFonts w:ascii="Times New Roman" w:cs="Times New Roman" w:eastAsia="Times New Roman" w:hAnsi="Times New Roman"/>
          <w:sz w:val="22"/>
          <w:szCs w:val="22"/>
          <w:color w:val="auto"/>
        </w:rPr>
        <w:t>” shall mean the period commencing on the Effective Date and expiring upon the date of termination of this Agreement in accordance with Section 11.01.</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Shares</w:t>
      </w:r>
      <w:r>
        <w:rPr>
          <w:rFonts w:ascii="Times New Roman" w:cs="Times New Roman" w:eastAsia="Times New Roman" w:hAnsi="Times New Roman"/>
          <w:sz w:val="22"/>
          <w:szCs w:val="22"/>
          <w:color w:val="auto"/>
        </w:rPr>
        <w:t>” shall have the meaning set forth in the recitals of this Agreement.</w:t>
      </w:r>
    </w:p>
    <w:p>
      <w:pPr>
        <w:spacing w:after="0" w:line="206" w:lineRule="exact"/>
        <w:rPr>
          <w:sz w:val="20"/>
          <w:szCs w:val="20"/>
          <w:color w:val="auto"/>
        </w:rPr>
      </w:pPr>
    </w:p>
    <w:p>
      <w:pPr>
        <w:jc w:val="both"/>
        <w:ind w:firstLine="849"/>
        <w:spacing w:after="0" w:line="244" w:lineRule="auto"/>
        <w:rPr>
          <w:sz w:val="20"/>
          <w:szCs w:val="20"/>
          <w:color w:val="auto"/>
        </w:rPr>
      </w:pPr>
      <w:r>
        <w:rPr>
          <w:rFonts w:ascii="Times New Roman" w:cs="Times New Roman" w:eastAsia="Times New Roman" w:hAnsi="Times New Roman"/>
          <w:sz w:val="22"/>
          <w:szCs w:val="22"/>
          <w:u w:val="single" w:color="auto"/>
          <w:color w:val="auto"/>
        </w:rPr>
        <w:t>Common Share Equivalents</w:t>
      </w:r>
      <w:r>
        <w:rPr>
          <w:rFonts w:ascii="Times New Roman" w:cs="Times New Roman" w:eastAsia="Times New Roman" w:hAnsi="Times New Roman"/>
          <w:sz w:val="22"/>
          <w:szCs w:val="22"/>
          <w:color w:val="auto"/>
        </w:rPr>
        <w:t>” shall mean any securities of the Company or its Subsidiaries which entitle the holder thereof to acquire at any time Common Shares, including, without limitation, any debt, preferred stock, rights, options, warrants or other instrument that is 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time convertible into or exercisable or exchangeable for, or otherwise entitles the holder thereof to receive, Common Shares.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have the meaning set forth in the preamble of this Agreement.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Indemnitees</w:t>
      </w:r>
      <w:r>
        <w:rPr>
          <w:rFonts w:ascii="Times New Roman" w:cs="Times New Roman" w:eastAsia="Times New Roman" w:hAnsi="Times New Roman"/>
          <w:sz w:val="22"/>
          <w:szCs w:val="22"/>
          <w:color w:val="auto"/>
        </w:rPr>
        <w:t>” shall have the meaning set forth in Section 7.02.</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Condition Satisfaction Date</w:t>
      </w:r>
      <w:r>
        <w:rPr>
          <w:rFonts w:ascii="Times New Roman" w:cs="Times New Roman" w:eastAsia="Times New Roman" w:hAnsi="Times New Roman"/>
          <w:sz w:val="22"/>
          <w:szCs w:val="22"/>
          <w:color w:val="auto"/>
        </w:rPr>
        <w:t>” shall have the meaning set forth in Section 1.01.</w:t>
      </w:r>
    </w:p>
    <w:p>
      <w:pPr>
        <w:spacing w:after="0" w:line="206"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Traded Amount</w:t>
      </w:r>
      <w:r>
        <w:rPr>
          <w:rFonts w:ascii="Times New Roman" w:cs="Times New Roman" w:eastAsia="Times New Roman" w:hAnsi="Times New Roman"/>
          <w:sz w:val="22"/>
          <w:szCs w:val="22"/>
          <w:color w:val="auto"/>
        </w:rPr>
        <w:t>” shall mean the daily trading volume of the Company’s Common Shares on the Principal Market during regular trading hours as reported by Bloomberg L.P.</w:t>
      </w:r>
    </w:p>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shall mean the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Trading Day following the date of closing of the Business Combination.</w:t>
      </w:r>
    </w:p>
    <w:p>
      <w:pPr>
        <w:spacing w:after="0" w:line="1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shall have the meaning set forth in Section 5.15.</w:t>
      </w:r>
    </w:p>
    <w:p>
      <w:pPr>
        <w:spacing w:after="0" w:line="206"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U.S. Securities Exchange Act of 1934, as amended, and the rules and regulations promulgated thereunder.</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Cap</w:t>
      </w:r>
      <w:r>
        <w:rPr>
          <w:rFonts w:ascii="Times New Roman" w:cs="Times New Roman" w:eastAsia="Times New Roman" w:hAnsi="Times New Roman"/>
          <w:sz w:val="22"/>
          <w:szCs w:val="22"/>
          <w:color w:val="auto"/>
        </w:rPr>
        <w:t>” shall have the meaning set forth in Section 3.01(d)(iii).</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Day</w:t>
      </w:r>
      <w:r>
        <w:rPr>
          <w:rFonts w:ascii="Times New Roman" w:cs="Times New Roman" w:eastAsia="Times New Roman" w:hAnsi="Times New Roman"/>
          <w:sz w:val="22"/>
          <w:szCs w:val="22"/>
          <w:color w:val="auto"/>
        </w:rPr>
        <w:t>” shall have the meaning set forth in Section 3.01(e)(i).</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Guaranty Agreement</w:t>
      </w:r>
      <w:r>
        <w:rPr>
          <w:rFonts w:ascii="Times New Roman" w:cs="Times New Roman" w:eastAsia="Times New Roman" w:hAnsi="Times New Roman"/>
          <w:sz w:val="22"/>
          <w:szCs w:val="22"/>
          <w:color w:val="auto"/>
        </w:rPr>
        <w:t>” shall have the meaning set forth in the preamble of this Agreement.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shall have the meaning set forth in Section 5.15.</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shall have the meaning set forth in Section 7.01.</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shall have the meaning set forth in the recitals of this Agreement.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shall have the meaning set forth in the preamble of this Agreement.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Indemnitees</w:t>
      </w:r>
      <w:r>
        <w:rPr>
          <w:rFonts w:ascii="Times New Roman" w:cs="Times New Roman" w:eastAsia="Times New Roman" w:hAnsi="Times New Roman"/>
          <w:sz w:val="22"/>
          <w:szCs w:val="22"/>
          <w:color w:val="auto"/>
        </w:rPr>
        <w:t>” shall have the meaning set forth in Section 7.01.</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Investor Notice</w:t>
      </w:r>
      <w:r>
        <w:rPr>
          <w:rFonts w:ascii="Times New Roman" w:cs="Times New Roman" w:eastAsia="Times New Roman" w:hAnsi="Times New Roman"/>
          <w:sz w:val="21"/>
          <w:szCs w:val="21"/>
          <w:color w:val="auto"/>
        </w:rPr>
        <w:t xml:space="preserve">” shall mean a written notice to the Company in the form set forth herein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attached hereto.</w:t>
      </w:r>
    </w:p>
    <w:p>
      <w:pPr>
        <w:spacing w:after="0" w:line="2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Listing</w:t>
      </w:r>
      <w:r>
        <w:rPr>
          <w:rFonts w:ascii="Times New Roman" w:cs="Times New Roman" w:eastAsia="Times New Roman" w:hAnsi="Times New Roman"/>
          <w:sz w:val="22"/>
          <w:szCs w:val="22"/>
          <w:color w:val="auto"/>
        </w:rPr>
        <w:t>” shall have the meaning set forth in Section 4.10.</w:t>
      </w:r>
    </w:p>
    <w:p>
      <w:pPr>
        <w:spacing w:after="0" w:line="206"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Price</w:t>
      </w:r>
      <w:r>
        <w:rPr>
          <w:rFonts w:ascii="Times New Roman" w:cs="Times New Roman" w:eastAsia="Times New Roman" w:hAnsi="Times New Roman"/>
          <w:sz w:val="22"/>
          <w:szCs w:val="22"/>
          <w:color w:val="auto"/>
        </w:rPr>
        <w:t>” shall mean the lowest of the daily VWAPs of the Common Shares during the relevant Pricing Period, other than the daily VWAP on any Excluded Days.</w:t>
      </w:r>
    </w:p>
    <w:p>
      <w:pPr>
        <w:spacing w:after="0" w:line="158" w:lineRule="exact"/>
        <w:rPr>
          <w:sz w:val="20"/>
          <w:szCs w:val="20"/>
          <w:color w:val="auto"/>
        </w:rPr>
      </w:pPr>
    </w:p>
    <w:p>
      <w:pPr>
        <w:jc w:val="both"/>
        <w:ind w:firstLine="8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shall mean any event, occurrence or condition that has had or would reasonably be expected to have (i) a material adverse effect on the legality, validity or enforceability of this Agreement or the transactions contemplated herein, (ii) a material adverse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 w:name="page9"/>
    <w:bookmarkEnd w:id="8"/>
    <w:p>
      <w:pPr>
        <w:jc w:val="both"/>
        <w:spacing w:after="0" w:line="244" w:lineRule="auto"/>
        <w:rPr>
          <w:sz w:val="20"/>
          <w:szCs w:val="20"/>
          <w:color w:val="auto"/>
        </w:rPr>
      </w:pPr>
      <w:r>
        <w:rPr>
          <w:rFonts w:ascii="Times New Roman" w:cs="Times New Roman" w:eastAsia="Times New Roman" w:hAnsi="Times New Roman"/>
          <w:sz w:val="22"/>
          <w:szCs w:val="22"/>
          <w:color w:val="auto"/>
        </w:rPr>
        <w:t>effect on the results of operations, assets, business or condition (financial or otherwise) of the Company and its Subsidiaries, taken as a whole, or (iii) a material adverse effect on the Company’s ability to perform in any material respect on a timely basis its obligations under this Agreement.</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Outside Event</w:t>
      </w:r>
      <w:r>
        <w:rPr>
          <w:rFonts w:ascii="Times New Roman" w:cs="Times New Roman" w:eastAsia="Times New Roman" w:hAnsi="Times New Roman"/>
          <w:sz w:val="22"/>
          <w:szCs w:val="22"/>
          <w:color w:val="auto"/>
        </w:rPr>
        <w:t>” shall have the meaning set forth in Section 8.08.</w:t>
      </w:r>
    </w:p>
    <w:p>
      <w:pPr>
        <w:spacing w:after="0" w:line="206" w:lineRule="exact"/>
        <w:rPr>
          <w:sz w:val="20"/>
          <w:szCs w:val="20"/>
          <w:color w:val="auto"/>
        </w:rPr>
      </w:pPr>
    </w:p>
    <w:p>
      <w:pPr>
        <w:jc w:val="both"/>
        <w:ind w:firstLine="8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Maximum Advance Amount</w:t>
      </w:r>
      <w:r>
        <w:rPr>
          <w:rFonts w:ascii="Times New Roman" w:cs="Times New Roman" w:eastAsia="Times New Roman" w:hAnsi="Times New Roman"/>
          <w:sz w:val="21"/>
          <w:szCs w:val="21"/>
          <w:color w:val="auto"/>
        </w:rPr>
        <w:t>” means (A) in respect of each Advance Notice delivered by the Company pursuant to Section 3.01(a) of this Agreement, the greater of (i) an amount equal to 100% of the average of the Daily Traded Amount of Common Shares on the Company’s Principal Market during the three consecutive Trading Days immediately preceding an Advance Notice, or (ii) 2,000,000 Common Shares (being such number of shares after any Pre-closing Reorganization) and (B) in respect of each Advance Notice deemed delivered by the Company pursuant to an Investor Notice, the amount selected by the Investor in such Investor Notice, which amount shall not exceed the limitations set forth in Section 3.01(d) of this Agreement.</w:t>
      </w:r>
    </w:p>
    <w:p>
      <w:pPr>
        <w:spacing w:after="0" w:line="171" w:lineRule="exact"/>
        <w:rPr>
          <w:sz w:val="20"/>
          <w:szCs w:val="20"/>
          <w:color w:val="auto"/>
        </w:rPr>
      </w:pPr>
    </w:p>
    <w:p>
      <w:pPr>
        <w:jc w:val="both"/>
        <w:ind w:right="20"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Acceptable Price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MAP</w:t>
      </w:r>
      <w:r>
        <w:rPr>
          <w:rFonts w:ascii="Times New Roman" w:cs="Times New Roman" w:eastAsia="Times New Roman" w:hAnsi="Times New Roman"/>
          <w:sz w:val="22"/>
          <w:szCs w:val="22"/>
          <w:color w:val="auto"/>
        </w:rPr>
        <w:t>” shall mean the minimum price notified by the Company to the Investor in each Advance Notice, if applicable.</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shall have the meaning set forth in Section 5.32.</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Company</w:t>
      </w:r>
      <w:r>
        <w:rPr>
          <w:rFonts w:ascii="Times New Roman" w:cs="Times New Roman" w:eastAsia="Times New Roman" w:hAnsi="Times New Roman"/>
          <w:sz w:val="22"/>
          <w:szCs w:val="22"/>
          <w:color w:val="auto"/>
        </w:rPr>
        <w:t>” shall have the meaning set forth in the preamble of this Agreement.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Issue Discount</w:t>
      </w:r>
      <w:r>
        <w:rPr>
          <w:rFonts w:ascii="Times New Roman" w:cs="Times New Roman" w:eastAsia="Times New Roman" w:hAnsi="Times New Roman"/>
          <w:sz w:val="22"/>
          <w:szCs w:val="22"/>
          <w:color w:val="auto"/>
        </w:rPr>
        <w:t>” shall have the meaning set forth in Section 2.02.</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Ownership Limitation</w:t>
      </w:r>
      <w:r>
        <w:rPr>
          <w:rFonts w:ascii="Times New Roman" w:cs="Times New Roman" w:eastAsia="Times New Roman" w:hAnsi="Times New Roman"/>
          <w:sz w:val="22"/>
          <w:szCs w:val="22"/>
          <w:color w:val="auto"/>
        </w:rPr>
        <w:t>” shall have the meaning set forth in Section 3.01(d)(i).</w:t>
      </w:r>
    </w:p>
    <w:p>
      <w:pPr>
        <w:spacing w:after="0" w:line="206"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 individual, a corporation, a partnership, a limited liability company, a trust or other entity or organization, including a government or political subdivision or an agency or instrumentality thereof.</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Demerger</w:t>
      </w:r>
      <w:r>
        <w:rPr>
          <w:rFonts w:ascii="Times New Roman" w:cs="Times New Roman" w:eastAsia="Times New Roman" w:hAnsi="Times New Roman"/>
          <w:sz w:val="22"/>
          <w:szCs w:val="22"/>
          <w:color w:val="auto"/>
        </w:rPr>
        <w:t>” shall have the meaning set forth in the preamble of this Agreement.</w:t>
      </w:r>
    </w:p>
    <w:p>
      <w:pPr>
        <w:spacing w:after="0" w:line="206"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Reorganization</w:t>
      </w:r>
      <w:r>
        <w:rPr>
          <w:rFonts w:ascii="Times New Roman" w:cs="Times New Roman" w:eastAsia="Times New Roman" w:hAnsi="Times New Roman"/>
          <w:sz w:val="22"/>
          <w:szCs w:val="22"/>
          <w:color w:val="auto"/>
        </w:rPr>
        <w:t>” means a reorganization of the share capital of the Company on or prior to closing of the BCA (including in connection with the Pre-Closing Demerger).</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of Distribution</w:t>
      </w:r>
      <w:r>
        <w:rPr>
          <w:rFonts w:ascii="Times New Roman" w:cs="Times New Roman" w:eastAsia="Times New Roman" w:hAnsi="Times New Roman"/>
          <w:sz w:val="22"/>
          <w:szCs w:val="22"/>
          <w:color w:val="auto"/>
        </w:rPr>
        <w:t>” shall mean the section of a Registration Statement disclosing the plan of distribution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Pricing Period</w:t>
      </w:r>
      <w:r>
        <w:rPr>
          <w:rFonts w:ascii="Times New Roman" w:cs="Times New Roman" w:eastAsia="Times New Roman" w:hAnsi="Times New Roman"/>
          <w:sz w:val="22"/>
          <w:szCs w:val="22"/>
          <w:color w:val="auto"/>
        </w:rPr>
        <w:t>” shall mean the three (3) consecutive Trading Days commencing on the Advance Notice Date.</w:t>
      </w:r>
    </w:p>
    <w:p>
      <w:pPr>
        <w:spacing w:after="0" w:line="206"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Market</w:t>
      </w:r>
      <w:r>
        <w:rPr>
          <w:rFonts w:ascii="Times New Roman" w:cs="Times New Roman" w:eastAsia="Times New Roman" w:hAnsi="Times New Roman"/>
          <w:sz w:val="22"/>
          <w:szCs w:val="22"/>
          <w:color w:val="auto"/>
        </w:rPr>
        <w:t>” shall mean the Nasdaq Stock Market; provided however, that in the event the Company’s Common Shares are ever listed or traded on the New York Stock Exchange, or the NYSE American, then the “Principal Market” shall mean such other market or exchange on which the Company’s Common Shares are then listed or traded to the extent such other market or exchange is the principal trading market or exchange for the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 w:name="page10"/>
    <w:bookmarkEnd w:id="9"/>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Promissory Note</w:t>
      </w:r>
      <w:r>
        <w:rPr>
          <w:rFonts w:ascii="Times New Roman" w:cs="Times New Roman" w:eastAsia="Times New Roman" w:hAnsi="Times New Roman"/>
          <w:sz w:val="22"/>
          <w:szCs w:val="22"/>
          <w:color w:val="auto"/>
        </w:rPr>
        <w:t>” shall have the meaning set forth in Section 2.01.</w:t>
      </w:r>
    </w:p>
    <w:p>
      <w:pPr>
        <w:spacing w:after="0" w:line="206"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Prospectus</w:t>
      </w:r>
      <w:r>
        <w:rPr>
          <w:rFonts w:ascii="Times New Roman" w:cs="Times New Roman" w:eastAsia="Times New Roman" w:hAnsi="Times New Roman"/>
          <w:sz w:val="22"/>
          <w:szCs w:val="22"/>
          <w:color w:val="auto"/>
        </w:rPr>
        <w:t>” shall mean any prospectus (including, without limitation, all amendments and supplements thereto) used by the Company in connection with a Registration Statement.</w:t>
      </w:r>
    </w:p>
    <w:p>
      <w:pPr>
        <w:spacing w:after="0" w:line="158" w:lineRule="exact"/>
        <w:rPr>
          <w:sz w:val="20"/>
          <w:szCs w:val="20"/>
          <w:color w:val="auto"/>
        </w:rPr>
      </w:pPr>
    </w:p>
    <w:p>
      <w:pPr>
        <w:jc w:val="both"/>
        <w:ind w:firstLine="8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Prospectus Supplement</w:t>
      </w:r>
      <w:r>
        <w:rPr>
          <w:rFonts w:ascii="Times New Roman" w:cs="Times New Roman" w:eastAsia="Times New Roman" w:hAnsi="Times New Roman"/>
          <w:sz w:val="22"/>
          <w:szCs w:val="22"/>
          <w:color w:val="auto"/>
        </w:rPr>
        <w:t>” shall mean any prospectus supplement to a Prospectus filed with the SEC pursuant to Rule 424(b) under the Securities Act, including, without limitation, any prospectus supplement to be filed in accordance with Section 7.01(d) hereof.</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shall mean the price per Advance Share obtained by multiplying the Market Price by 97%.</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 shall have the meaning set forth in the preamble of this Agreement.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shall have the meaning set forth in the Registration Rights Agreement.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Limitation</w:t>
      </w:r>
      <w:r>
        <w:rPr>
          <w:rFonts w:ascii="Times New Roman" w:cs="Times New Roman" w:eastAsia="Times New Roman" w:hAnsi="Times New Roman"/>
          <w:sz w:val="22"/>
          <w:szCs w:val="22"/>
          <w:color w:val="auto"/>
        </w:rPr>
        <w:t>” shall have the meaning set forth in Section 3.01(d)(ii).</w:t>
      </w:r>
    </w:p>
    <w:p>
      <w:pPr>
        <w:spacing w:after="0" w:line="206"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shall mean a registration statement on Form F-1, Form F-3 or such other form promulgated by the SEC for which the Company then qualifies and which counsel for the Company shall deem appropriate, and which form shall be available for the registration of the resale by the Investor of the Registrable Securities under the Securities Act, which registration statement provides for the resale from time to time of the Shares as provided herein.</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D</w:t>
      </w:r>
      <w:r>
        <w:rPr>
          <w:rFonts w:ascii="Times New Roman" w:cs="Times New Roman" w:eastAsia="Times New Roman" w:hAnsi="Times New Roman"/>
          <w:sz w:val="22"/>
          <w:szCs w:val="22"/>
          <w:color w:val="auto"/>
        </w:rPr>
        <w:t>” shall mean the provisions of Regulation D promulgated under the Securities Act.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shall have the meaning set forth in Section 5.32.</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Countries</w:t>
      </w:r>
      <w:r>
        <w:rPr>
          <w:rFonts w:ascii="Times New Roman" w:cs="Times New Roman" w:eastAsia="Times New Roman" w:hAnsi="Times New Roman"/>
          <w:sz w:val="22"/>
          <w:szCs w:val="22"/>
          <w:color w:val="auto"/>
        </w:rPr>
        <w:t>” shall have the meaning set forth in Section 5.32.</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shall mean the U.S. Securities and Exchange Commission.</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 Documents</w:t>
      </w:r>
      <w:r>
        <w:rPr>
          <w:rFonts w:ascii="Times New Roman" w:cs="Times New Roman" w:eastAsia="Times New Roman" w:hAnsi="Times New Roman"/>
          <w:sz w:val="22"/>
          <w:szCs w:val="22"/>
          <w:color w:val="auto"/>
        </w:rPr>
        <w:t>” shall have the meaning set forth in Section 5.06.</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shall have the meaning set forth in the recitals of this Agreement.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 Document</w:t>
      </w:r>
      <w:r>
        <w:rPr>
          <w:rFonts w:ascii="Times New Roman" w:cs="Times New Roman" w:eastAsia="Times New Roman" w:hAnsi="Times New Roman"/>
          <w:sz w:val="22"/>
          <w:szCs w:val="22"/>
          <w:color w:val="auto"/>
        </w:rPr>
        <w:t>” shall have the meaning set forth in Section 3.02(a).</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shall mean the Common Shares to be issued from time to time hereunder pursuant to an Advance.</w:t>
      </w:r>
    </w:p>
    <w:p>
      <w:pPr>
        <w:spacing w:after="0" w:line="206"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 w:name="page11"/>
    <w:bookmarkEnd w:id="10"/>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shall mean any day during which the Principal Market shall be open for business.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shall have the meaning set forth in Section 5.02.</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Trigger Event</w:t>
      </w:r>
      <w:r>
        <w:rPr>
          <w:rFonts w:ascii="Times New Roman" w:cs="Times New Roman" w:eastAsia="Times New Roman" w:hAnsi="Times New Roman"/>
          <w:sz w:val="22"/>
          <w:szCs w:val="22"/>
          <w:color w:val="auto"/>
        </w:rPr>
        <w:t>” shall have the meaning set forth in the Promissory Note.</w:t>
      </w:r>
    </w:p>
    <w:p>
      <w:pPr>
        <w:spacing w:after="0" w:line="206" w:lineRule="exact"/>
        <w:rPr>
          <w:sz w:val="20"/>
          <w:szCs w:val="20"/>
          <w:color w:val="auto"/>
        </w:rPr>
      </w:pPr>
    </w:p>
    <w:p>
      <w:pPr>
        <w:jc w:val="both"/>
        <w:ind w:firstLine="8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Variable Rate Transaction</w:t>
      </w:r>
      <w:r>
        <w:rPr>
          <w:rFonts w:ascii="Times New Roman" w:cs="Times New Roman" w:eastAsia="Times New Roman" w:hAnsi="Times New Roman"/>
          <w:sz w:val="22"/>
          <w:szCs w:val="22"/>
          <w:color w:val="auto"/>
        </w:rPr>
        <w:t>” shall mean a transaction in which the Company (i) issues or sells any Common Shares or Common Share Equivalents that are convertible into, exchangeable or exercisable for, or include the right to receive additional Common Shares either (A) at a conversion price, exercise price, exchange rate or other price that is based upon and/or varies with the trading prices of or quotations for the Common Shares at any time after the initial issuance of Common Shares or Common Share Equivalents,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Common Shares (including, without limitation, any “full ratchet,” “share ratchet,” “price ratchet,” or “weighted average” anti-dilution provisions, but not including any standard anti-dilution protection for any reorganization, recapitalization, non-cash dividend, stock split or other similar transaction), (ii) enters into, or effects a transaction under, any agreement, including but not limited to an “equity line of credit” or other continuous offering or similar offering of Common Shares or Common Share Equivalents, (iii) issues or sells any Common Shares or Common Share Equivalents (or any combination thereof) at an implied discount (taking into account all the securities issuable in such offering) to the market price of the Common Shares at the time of the offering in excess of 30% or (iv) enters into or effects any forward purchase agreement, equity pre-paid forward transaction or other similar offering of securities where the purchaser of securities of the Company receives an upfront or periodic payment of all, or a portion of, the value of the securities so purchased, and the Company receives proceeds from such purchaser based on a price or value that varies with the trading prices of the Common Shares.</w:t>
      </w:r>
    </w:p>
    <w:p>
      <w:pPr>
        <w:spacing w:after="0" w:line="190"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shall mean for any Trading Day, the daily volume weighted average price of the Common Shares for such Trading Day on the Principal Market during regular trading hours as reported by Bloomberg L.P.</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II.Pre-Paid Advances</w:t>
      </w:r>
    </w:p>
    <w:p>
      <w:pPr>
        <w:spacing w:after="0" w:line="2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u w:val="single" w:color="auto"/>
          <w:color w:val="auto"/>
        </w:rPr>
        <w:t>Section 2.01Initial Pre-Paid Advance</w:t>
      </w:r>
      <w:r>
        <w:rPr>
          <w:rFonts w:ascii="Times New Roman" w:cs="Times New Roman" w:eastAsia="Times New Roman" w:hAnsi="Times New Roman"/>
          <w:sz w:val="21"/>
          <w:szCs w:val="21"/>
          <w:color w:val="auto"/>
        </w:rPr>
        <w:t>. On February 2, 2024 the Investor advanced to the Original Company the principal amount of $2,500,000 (the “</w:t>
      </w:r>
      <w:r>
        <w:rPr>
          <w:rFonts w:ascii="Times New Roman" w:cs="Times New Roman" w:eastAsia="Times New Roman" w:hAnsi="Times New Roman"/>
          <w:sz w:val="21"/>
          <w:szCs w:val="21"/>
          <w:u w:val="single" w:color="auto"/>
          <w:color w:val="auto"/>
        </w:rPr>
        <w:t>Initial Pre-Paid Advance</w:t>
      </w:r>
      <w:r>
        <w:rPr>
          <w:rFonts w:ascii="Times New Roman" w:cs="Times New Roman" w:eastAsia="Times New Roman" w:hAnsi="Times New Roman"/>
          <w:sz w:val="21"/>
          <w:szCs w:val="21"/>
          <w:color w:val="auto"/>
        </w:rPr>
        <w:t>”), which is evidenced by a convertible promissory note executed and delivered by the Company (as successor-in-interest to the Original Company) to the Investor and bearing Note Number RZLV-1 (as amended from time to time, the “</w:t>
      </w:r>
      <w:r>
        <w:rPr>
          <w:rFonts w:ascii="Times New Roman" w:cs="Times New Roman" w:eastAsia="Times New Roman" w:hAnsi="Times New Roman"/>
          <w:sz w:val="21"/>
          <w:szCs w:val="21"/>
          <w:u w:val="single" w:color="auto"/>
          <w:color w:val="auto"/>
        </w:rPr>
        <w:t>Initial Promissory Note</w:t>
      </w:r>
      <w:r>
        <w:rPr>
          <w:rFonts w:ascii="Times New Roman" w:cs="Times New Roman" w:eastAsia="Times New Roman" w:hAnsi="Times New Roman"/>
          <w:sz w:val="21"/>
          <w:szCs w:val="21"/>
          <w:color w:val="auto"/>
        </w:rPr>
        <w:t>”), which Initial Promissory Note was amended pursuant to the Amendment to Convertible Promissory Note entered into on August 16, 2024, and unconditionally and irrevocably assumed by the Company upon the closing of the Pre-Closing Demerger on July 4, 2024. As of the date hereof the outstanding balance under the Initial Promissory Note is $2,649,315.07, which consists of $2,500,000 of principal and $149,315.07 of accrued and unpaid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 w:name="page12"/>
    <w:bookmarkEnd w:id="11"/>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2.02Subsequent Pre-Paid Advances</w:t>
      </w:r>
      <w:r>
        <w:rPr>
          <w:rFonts w:ascii="Times New Roman" w:cs="Times New Roman" w:eastAsia="Times New Roman" w:hAnsi="Times New Roman"/>
          <w:sz w:val="22"/>
          <w:szCs w:val="22"/>
          <w:color w:val="auto"/>
        </w:rPr>
        <w:t xml:space="preserve">. Subject to the satisfaction of the conditions set forth in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 xml:space="preserve"> attached hereto, the Investor shall advance to the Company the principal amount of up to $7,500,000 (the “</w:t>
      </w:r>
      <w:r>
        <w:rPr>
          <w:rFonts w:ascii="Times New Roman" w:cs="Times New Roman" w:eastAsia="Times New Roman" w:hAnsi="Times New Roman"/>
          <w:sz w:val="22"/>
          <w:szCs w:val="22"/>
          <w:u w:val="single" w:color="auto"/>
          <w:color w:val="auto"/>
        </w:rPr>
        <w:t>Subsequent Pre-Paid Advance</w:t>
      </w:r>
      <w:r>
        <w:rPr>
          <w:rFonts w:ascii="Times New Roman" w:cs="Times New Roman" w:eastAsia="Times New Roman" w:hAnsi="Times New Roman"/>
          <w:sz w:val="22"/>
          <w:szCs w:val="22"/>
          <w:color w:val="auto"/>
        </w:rPr>
        <w:t>” and collectively with the Initial Pre-Paid Advance, the “</w:t>
      </w:r>
      <w:r>
        <w:rPr>
          <w:rFonts w:ascii="Times New Roman" w:cs="Times New Roman" w:eastAsia="Times New Roman" w:hAnsi="Times New Roman"/>
          <w:sz w:val="22"/>
          <w:szCs w:val="22"/>
          <w:u w:val="single" w:color="auto"/>
          <w:color w:val="auto"/>
        </w:rPr>
        <w:t>Pre-Paid Advance</w:t>
      </w:r>
      <w:r>
        <w:rPr>
          <w:rFonts w:ascii="Times New Roman" w:cs="Times New Roman" w:eastAsia="Times New Roman" w:hAnsi="Times New Roman"/>
          <w:sz w:val="22"/>
          <w:szCs w:val="22"/>
          <w:color w:val="auto"/>
        </w:rPr>
        <w:t xml:space="preserve">”), which shall be evidenced by convertible promissory notes in the form attached hereto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Subsequent Promissory Note</w:t>
      </w:r>
      <w:r>
        <w:rPr>
          <w:rFonts w:ascii="Times New Roman" w:cs="Times New Roman" w:eastAsia="Times New Roman" w:hAnsi="Times New Roman"/>
          <w:sz w:val="22"/>
          <w:szCs w:val="22"/>
          <w:color w:val="auto"/>
        </w:rPr>
        <w:t>” and collectively with the Initial Promissory Note, the “</w:t>
      </w:r>
      <w:r>
        <w:rPr>
          <w:rFonts w:ascii="Times New Roman" w:cs="Times New Roman" w:eastAsia="Times New Roman" w:hAnsi="Times New Roman"/>
          <w:sz w:val="22"/>
          <w:szCs w:val="22"/>
          <w:u w:val="single" w:color="auto"/>
          <w:color w:val="auto"/>
        </w:rPr>
        <w:t>Promissory Notes</w:t>
      </w:r>
      <w:r>
        <w:rPr>
          <w:rFonts w:ascii="Times New Roman" w:cs="Times New Roman" w:eastAsia="Times New Roman" w:hAnsi="Times New Roman"/>
          <w:sz w:val="22"/>
          <w:szCs w:val="22"/>
          <w:color w:val="auto"/>
        </w:rPr>
        <w:t>”). The first tranche of the Subsequent Pre-Paid Advance shall be in a principal amount of $2,500,000 and advanced on the date of this Agreement (the “</w:t>
      </w:r>
      <w:r>
        <w:rPr>
          <w:rFonts w:ascii="Times New Roman" w:cs="Times New Roman" w:eastAsia="Times New Roman" w:hAnsi="Times New Roman"/>
          <w:sz w:val="22"/>
          <w:szCs w:val="22"/>
          <w:u w:val="single" w:color="auto"/>
          <w:color w:val="auto"/>
        </w:rPr>
        <w:t>First Closing</w:t>
      </w:r>
      <w:r>
        <w:rPr>
          <w:rFonts w:ascii="Times New Roman" w:cs="Times New Roman" w:eastAsia="Times New Roman" w:hAnsi="Times New Roman"/>
          <w:sz w:val="22"/>
          <w:szCs w:val="22"/>
          <w:color w:val="auto"/>
        </w:rPr>
        <w:t>”), the second tranche of the Subsequent Pre-Paid Advance shall be in a principal amount of $2,500,000 and advanced on the second Trading Day after the filing of the initial Registration Statement (the “</w:t>
      </w:r>
      <w:r>
        <w:rPr>
          <w:rFonts w:ascii="Times New Roman" w:cs="Times New Roman" w:eastAsia="Times New Roman" w:hAnsi="Times New Roman"/>
          <w:sz w:val="22"/>
          <w:szCs w:val="22"/>
          <w:u w:val="single" w:color="auto"/>
          <w:color w:val="auto"/>
        </w:rPr>
        <w:t>Second Closing</w:t>
      </w:r>
      <w:r>
        <w:rPr>
          <w:rFonts w:ascii="Times New Roman" w:cs="Times New Roman" w:eastAsia="Times New Roman" w:hAnsi="Times New Roman"/>
          <w:sz w:val="22"/>
          <w:szCs w:val="22"/>
          <w:color w:val="auto"/>
        </w:rPr>
        <w:t>”), and the third tranche of the Subsequent Pre-Paid Advance shall be in a principal amount of $2,500,000 and advanced on the second Trading Day after the initial Registration Statement becomes effective (the “</w:t>
      </w:r>
      <w:r>
        <w:rPr>
          <w:rFonts w:ascii="Times New Roman" w:cs="Times New Roman" w:eastAsia="Times New Roman" w:hAnsi="Times New Roman"/>
          <w:sz w:val="22"/>
          <w:szCs w:val="22"/>
          <w:u w:val="single" w:color="auto"/>
          <w:color w:val="auto"/>
        </w:rPr>
        <w:t>Third Closing</w:t>
      </w:r>
      <w:r>
        <w:rPr>
          <w:rFonts w:ascii="Times New Roman" w:cs="Times New Roman" w:eastAsia="Times New Roman" w:hAnsi="Times New Roman"/>
          <w:sz w:val="22"/>
          <w:szCs w:val="22"/>
          <w:color w:val="auto"/>
        </w:rPr>
        <w:t>”) (individually referred to as a “</w:t>
      </w:r>
      <w:r>
        <w:rPr>
          <w:rFonts w:ascii="Times New Roman" w:cs="Times New Roman" w:eastAsia="Times New Roman" w:hAnsi="Times New Roman"/>
          <w:sz w:val="22"/>
          <w:szCs w:val="22"/>
          <w:u w:val="single" w:color="auto"/>
          <w:color w:val="auto"/>
        </w:rPr>
        <w:t>Pre-Paid Advance Closing</w:t>
      </w:r>
      <w:r>
        <w:rPr>
          <w:rFonts w:ascii="Times New Roman" w:cs="Times New Roman" w:eastAsia="Times New Roman" w:hAnsi="Times New Roman"/>
          <w:sz w:val="22"/>
          <w:szCs w:val="22"/>
          <w:color w:val="auto"/>
        </w:rPr>
        <w:t>” and collectively referred to as the “</w:t>
      </w:r>
      <w:r>
        <w:rPr>
          <w:rFonts w:ascii="Times New Roman" w:cs="Times New Roman" w:eastAsia="Times New Roman" w:hAnsi="Times New Roman"/>
          <w:sz w:val="22"/>
          <w:szCs w:val="22"/>
          <w:u w:val="single" w:color="auto"/>
          <w:color w:val="auto"/>
        </w:rPr>
        <w:t>Pre-Paid Advance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Closings</w:t>
      </w:r>
      <w:r>
        <w:rPr>
          <w:rFonts w:ascii="Times New Roman" w:cs="Times New Roman" w:eastAsia="Times New Roman" w:hAnsi="Times New Roman"/>
          <w:sz w:val="22"/>
          <w:szCs w:val="22"/>
          <w:color w:val="auto"/>
        </w:rPr>
        <w:t>”).</w:t>
      </w:r>
    </w:p>
    <w:p>
      <w:pPr>
        <w:spacing w:after="0" w:line="2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2.03Pre-Paid Advance Closing</w:t>
      </w:r>
      <w:r>
        <w:rPr>
          <w:rFonts w:ascii="Times New Roman" w:cs="Times New Roman" w:eastAsia="Times New Roman" w:hAnsi="Times New Roman"/>
          <w:sz w:val="22"/>
          <w:szCs w:val="22"/>
          <w:color w:val="auto"/>
        </w:rPr>
        <w:t>. Each Pre-Paid Advance Closing shall occur remotely by conference call and electronic delivery of documentation. The First Closing shall take place at 10:00 a.m., New York time, on the date hereof, provided that the conditions set forth on Annex I have been satisfied (or such other date as is mutually agreed to by the Company and the Investor). The Second Closing shall take place at 10:00 a.m., New York time, on the second Trading Day after the filing of the initial Registration Statement, provided that the conditions set forth on Annex I have been satisfied (or such other date as is mutually agreed to by the Company and the Investor). The Third Closing shall take place at 10:00 a.m., New York time, on the second Trading Day after the effectiveness of the initial Registration Statement, provided that the conditions set forth on Annex I have been satisfied (or such other date as is mutually agreed to by the Company and the Investor). At each Pre-Paid Advance Closing, the Investor shall advance to the Company the principal amount of the applicable tranche of the Subsequent Pre-Paid Advance, less a discount in the amount equal to 5% of the principal amount of the applicable tranche of the Subsequent Pre-Paid Advance netted from the purchase price due and structured as an original issue discount (the “</w:t>
      </w:r>
      <w:r>
        <w:rPr>
          <w:rFonts w:ascii="Times New Roman" w:cs="Times New Roman" w:eastAsia="Times New Roman" w:hAnsi="Times New Roman"/>
          <w:sz w:val="22"/>
          <w:szCs w:val="22"/>
          <w:u w:val="single" w:color="auto"/>
          <w:color w:val="auto"/>
        </w:rPr>
        <w:t>Original Issue Discount</w:t>
      </w:r>
      <w:r>
        <w:rPr>
          <w:rFonts w:ascii="Times New Roman" w:cs="Times New Roman" w:eastAsia="Times New Roman" w:hAnsi="Times New Roman"/>
          <w:sz w:val="22"/>
          <w:szCs w:val="22"/>
          <w:color w:val="auto"/>
        </w:rPr>
        <w:t>”), in immediately available funds to an account designated by the Company in writing, and the Company shall deliver a Subsequent Promissory Note with a principal amount equal to the full amount of the applicable tranche of the Subsequent Pre-Paid Advance, duly executed on behalf of the Company. The Company acknowledges and agrees that the Original Issue Discount (i) shall not be funded but shall be deemed to be fully earned at each Pre-Paid Advance Closing, and (ii) shall not reduce the principal amount of each Subsequent Promissory Note.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- 8 -</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III.Advances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3.01Advances; Mechanics</w:t>
      </w:r>
      <w:r>
        <w:rPr>
          <w:rFonts w:ascii="Times New Roman" w:cs="Times New Roman" w:eastAsia="Times New Roman" w:hAnsi="Times New Roman"/>
          <w:sz w:val="22"/>
          <w:szCs w:val="22"/>
          <w:color w:val="auto"/>
        </w:rPr>
        <w:t>. Upon the terms and subject to the conditions of this Agreement, during the Commitment Period, (i) the Company, at its sole discretion, shall have the right, but not the obligation, to issue and sell to the Investor, and the Investor shall subscribe for and purchase from the Company, Advance Shares by the delivery to the Investor of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 w:name="page13"/>
    <w:bookmarkEnd w:id="12"/>
    <w:p>
      <w:pPr>
        <w:jc w:val="both"/>
        <w:spacing w:after="0" w:line="251" w:lineRule="auto"/>
        <w:rPr>
          <w:sz w:val="20"/>
          <w:szCs w:val="20"/>
          <w:color w:val="auto"/>
        </w:rPr>
      </w:pPr>
      <w:r>
        <w:rPr>
          <w:rFonts w:ascii="Times New Roman" w:cs="Times New Roman" w:eastAsia="Times New Roman" w:hAnsi="Times New Roman"/>
          <w:sz w:val="21"/>
          <w:szCs w:val="21"/>
          <w:color w:val="auto"/>
        </w:rPr>
        <w:t>Notices, provided (x) no balance is outstanding under the Promissory Note, or, (y) if there is a balance outstanding under a Promissory Note, a Trigger Event has occurred in accordance with Section 3.01(a)(iii) hereof, and (ii) for so long as there is a balance outstanding under a Promissory Note, the Investor, at its sole discretion shall have the right, but not the obligation, by the delivery to the Company of Investor Notices, to cause an Advance Notice to be deemed delivered to the Investor and the issuance and sale of Common Shares to the Investor pursuant to an Advance as set out in Section 3.01(b), on the following terms:</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(a)Advance Notice</w:t>
      </w:r>
      <w:r>
        <w:rPr>
          <w:rFonts w:ascii="Times New Roman" w:cs="Times New Roman" w:eastAsia="Times New Roman" w:hAnsi="Times New Roman"/>
          <w:sz w:val="22"/>
          <w:szCs w:val="22"/>
          <w:color w:val="auto"/>
        </w:rPr>
        <w:t>. At any time during the Commitment Period the Company may require the Investor to purchase Shares by delivering an Advance Notice to the Investor, subject to the satisfaction or waiver by the Investor of the conditions set forth in Annex II, and in accordance with the following provisions: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The Company shall, in its sole discretion, select the number of Advance Shares, not to exceed the Maximum Advance Amount, it desires to issue and sell to the Investor in each Advance Notice and the time it desires to deliver each Advance Notice.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There shall be no mandatory minimum Advances and no non-usages fee for not utilizing the Commitment Amount or any part thereof.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For so long as any amount remains outstanding under a Promissory Note, without the prior written consent of the Investor,</w:t>
      </w:r>
    </w:p>
    <w:p>
      <w:pPr>
        <w:spacing w:after="0" w:line="14" w:lineRule="exact"/>
        <w:rPr>
          <w:sz w:val="20"/>
          <w:szCs w:val="20"/>
          <w:color w:val="auto"/>
        </w:rPr>
      </w:pPr>
    </w:p>
    <w:p>
      <w:pPr>
        <w:jc w:val="both"/>
        <w:ind w:firstLine="8"/>
        <w:spacing w:after="0" w:line="232" w:lineRule="auto"/>
        <w:tabs>
          <w:tab w:leader="none" w:pos="38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only (other than with respect to a deemed Advance Notice pursuant to an Investor Notice) submit an Advance Notice if a Trigger Event has occurred and the obligation of the Company to make monthly prepayments under the Promissory Note has not ceased, and (B) the Investor shall pay the aggregate purchase price owed to the Company from such Advances (“</w:t>
      </w:r>
      <w:r>
        <w:rPr>
          <w:rFonts w:ascii="Times New Roman" w:cs="Times New Roman" w:eastAsia="Times New Roman" w:hAnsi="Times New Roman"/>
          <w:sz w:val="22"/>
          <w:szCs w:val="22"/>
          <w:u w:val="single" w:color="auto"/>
          <w:color w:val="auto"/>
        </w:rPr>
        <w:t>Advance Proceeds</w:t>
      </w:r>
      <w:r>
        <w:rPr>
          <w:rFonts w:ascii="Times New Roman" w:cs="Times New Roman" w:eastAsia="Times New Roman" w:hAnsi="Times New Roman"/>
          <w:sz w:val="22"/>
          <w:szCs w:val="22"/>
          <w:color w:val="auto"/>
        </w:rPr>
        <w:t>”) by offsetting the amount of the Advance Proceeds against an equal amount outstanding under the Promissory Note (first towards accrued and unpaid interest, and then towards outstanding principal and the corresponding payment premium (as set forth in the Promissory Note) in respect of such principal amount, if applicable).</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For so long as any amount remains outstanding under the Commitment Fee, without the prior written consent of the Investor, the Investor shall reduce by half any Advance Proceeds due to the Company by offsetting such amount against the current outstanding amount of the Commitment Fee.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u w:val="single" w:color="auto"/>
          <w:color w:val="auto"/>
        </w:rPr>
        <w:t>(b)Investor Notice</w:t>
      </w:r>
      <w:r>
        <w:rPr>
          <w:rFonts w:ascii="Times New Roman" w:cs="Times New Roman" w:eastAsia="Times New Roman" w:hAnsi="Times New Roman"/>
          <w:sz w:val="21"/>
          <w:szCs w:val="21"/>
          <w:color w:val="auto"/>
        </w:rPr>
        <w:t>. At any time during the Commitment Period, provided that there is an outstanding balance under a Promissory Note, the Investor may, by delivering an Investor Notice to the Company, cause an Advance Notice to be deemed delivered to the Investor and the issuance and sale of Shares to the Investor pursuant to an Advance, in accordance with the following provisions: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The Investor shall, in its sole discretion, select the amount of the Advance up to the Maximum Advance Amount, and the time it desires to deliver each Investor Notice;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22"/>
          <w:szCs w:val="22"/>
          <w:color w:val="auto"/>
        </w:rPr>
        <w:t>of the Advance selected shall not exceed the balance owed under all Promissory Notes outstanding on the date of delivery of the Investor Notice.</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The Purchase Price of the Shares in respect of any Advance Notice deemed delivered pursuant to an Investor Notice shall be equal to the Conversion Price (as defined in the Promissory Note) in effect on the date of delivery of the Investor Notice. The Investor shall pay the Purchase Price for the Shares to be issued pursuant to the Investor Notice by offsetting the amount of the Purchase Price to be paid by the Investor against an equal amount outstanding under a Promissory Note (first towards accrued and unpaid interest, if any, then towards principal).</w:t>
      </w:r>
    </w:p>
    <w:p>
      <w:pPr>
        <w:spacing w:after="0" w:line="2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Each Investor Notice shall set forth the amount of the Advance requested, the Purchase Price (which shall be equal to the Conversions Price) along with a report by Bloomberg, L.P. indicating the relevant VWAP used in calculating the Conversion Price, the number of Shares to be issued by the Company and purchased by the Investor, the aggregate amount of accrued and unpaid interest of the Promissory Note (if any) that shall be offset by the issuance of Shares, the aggregate amount of principal of the Promissory Note that shall be offset by the issuance of Shares, and the total amount of the Promissory Note that shall be outstanding following the closing of the Advance, and each Investor Notice shall serve as the Settlement Document in respect of such Advance.</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Upon the delivery of an Investor Notice, a corresponding Advance Notice shall simultaneously and automatically be deemed to have been delivered by the Company to the Investor requesting the amount of the Advance set forth in the Investor Notice, and any conditions precedent to such Advance Notice under the terms of this Agreement that have not been satisfied shall be deemed to have been waived by the Investor.</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u w:val="single" w:color="auto"/>
          <w:color w:val="auto"/>
        </w:rPr>
        <w:t>(c)Date of Delivery of Advance Notice</w:t>
      </w:r>
      <w:r>
        <w:rPr>
          <w:rFonts w:ascii="Times New Roman" w:cs="Times New Roman" w:eastAsia="Times New Roman" w:hAnsi="Times New Roman"/>
          <w:sz w:val="21"/>
          <w:szCs w:val="21"/>
          <w:color w:val="auto"/>
        </w:rPr>
        <w:t xml:space="preserve">. Advance Notices shall be delivered in accordance with the instructions set forth on the bottom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An Advance Notice shall be deemed delivered on (i) the day it is received by the Investor if such notice is received by email at or before 8:30 a.m. Eastern Time (or later if waived by the Investor in its sole discretion), or</w:t>
      </w:r>
    </w:p>
    <w:p>
      <w:pPr>
        <w:spacing w:after="0" w:line="1" w:lineRule="exact"/>
        <w:rPr>
          <w:sz w:val="20"/>
          <w:szCs w:val="20"/>
          <w:color w:val="auto"/>
        </w:rPr>
      </w:pPr>
    </w:p>
    <w:p>
      <w:pPr>
        <w:jc w:val="both"/>
        <w:ind w:firstLine="8"/>
        <w:spacing w:after="0" w:line="235" w:lineRule="auto"/>
        <w:tabs>
          <w:tab w:leader="none" w:pos="31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immediately succeeding day if it is received by email after 8:30 a.m. Eastern Time. An Advance Notice deemed delivered pursuant to an Investor Notice shall be deemed delivered on the same date upon which the Investor Notice is received by the Company.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u w:val="single" w:color="auto"/>
          <w:color w:val="auto"/>
        </w:rPr>
        <w:t>(d)Advance Limitations</w:t>
      </w:r>
      <w:r>
        <w:rPr>
          <w:rFonts w:ascii="Times New Roman" w:cs="Times New Roman" w:eastAsia="Times New Roman" w:hAnsi="Times New Roman"/>
          <w:sz w:val="22"/>
          <w:szCs w:val="22"/>
          <w:color w:val="auto"/>
        </w:rPr>
        <w:t>. Regardless of the number of Advance Shares requested by the Company in an Advance Notice, including an Advance Notice deemed delivered pursuant to an Investor Notice, the final number of Shares to be issued and sold pursuant to an Advance Notice shall be reduced (if at all) in accordance with each of the following limitations:</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(i)Ownership Limitation; Commitment Amount</w:t>
      </w:r>
      <w:r>
        <w:rPr>
          <w:rFonts w:ascii="Times New Roman" w:cs="Times New Roman" w:eastAsia="Times New Roman" w:hAnsi="Times New Roman"/>
          <w:sz w:val="22"/>
          <w:szCs w:val="22"/>
          <w:color w:val="auto"/>
        </w:rPr>
        <w:t>. Notwithstanding anything to the contrary contained in this Agreement, the Investor shall not be obligated to purchase or acquire, and shall not purchase or acquire, any Common Shares under this Agreement which, when aggregated with all other Common Shares beneficially owned by the Investor and its affiliates (as calculated pursuant to Section 13(d) of the Exchange Act and Rule 13d-3 promulgated thereunder), would result in the beneficial ownership by the Investor and its affiliates (on an aggregated basis)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 w:name="page15"/>
    <w:bookmarkEnd w:id="14"/>
    <w:p>
      <w:pPr>
        <w:jc w:val="both"/>
        <w:spacing w:after="0" w:line="234" w:lineRule="auto"/>
        <w:rPr>
          <w:sz w:val="20"/>
          <w:szCs w:val="20"/>
          <w:color w:val="auto"/>
        </w:rPr>
      </w:pPr>
      <w:r>
        <w:rPr>
          <w:rFonts w:ascii="Times New Roman" w:cs="Times New Roman" w:eastAsia="Times New Roman" w:hAnsi="Times New Roman"/>
          <w:sz w:val="22"/>
          <w:szCs w:val="22"/>
          <w:color w:val="auto"/>
        </w:rPr>
        <w:t>exceed 4.99% of the then outstanding voting power or number of Common Shares (the “</w:t>
      </w:r>
      <w:r>
        <w:rPr>
          <w:rFonts w:ascii="Times New Roman" w:cs="Times New Roman" w:eastAsia="Times New Roman" w:hAnsi="Times New Roman"/>
          <w:sz w:val="22"/>
          <w:szCs w:val="22"/>
          <w:u w:val="single" w:color="auto"/>
          <w:color w:val="auto"/>
        </w:rPr>
        <w:t>Ownership Limitation</w:t>
      </w:r>
      <w:r>
        <w:rPr>
          <w:rFonts w:ascii="Times New Roman" w:cs="Times New Roman" w:eastAsia="Times New Roman" w:hAnsi="Times New Roman"/>
          <w:sz w:val="22"/>
          <w:szCs w:val="22"/>
          <w:color w:val="auto"/>
        </w:rPr>
        <w:t>”). Upon the written request of the Investor, the Company shall promptly (but no later than the next business day on which the transfer agent for the Common Shares is open for business) confirm orally or in writing to the Investor the number of Common Shares then outstanding. In connection with each Advance Notice delivered by the Company, any portion of the Advance that would (i) cause the Investor to exceed the Ownership Limitation or (ii) cause the aggregate number of Shares issued and sold to the Investor hereunder to exceed the Commitment Amount shall automatically be withdrawn with no further action required by the Company, and such Advance Notice shall be deemed automatically modified to reduce the number of Advance Shares requested by an amount equal to such withdrawn portion; provided that in the event of any such automatic withdrawal and automatic modification, the Investor will promptly notify the Company of such event.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(ii)Registration Limitation</w:t>
      </w:r>
      <w:r>
        <w:rPr>
          <w:rFonts w:ascii="Times New Roman" w:cs="Times New Roman" w:eastAsia="Times New Roman" w:hAnsi="Times New Roman"/>
          <w:sz w:val="22"/>
          <w:szCs w:val="22"/>
          <w:color w:val="auto"/>
        </w:rPr>
        <w:t>. In no event shall an Advance exceed the amount registered under the Registration Statement then in effect (the “</w:t>
      </w:r>
      <w:r>
        <w:rPr>
          <w:rFonts w:ascii="Times New Roman" w:cs="Times New Roman" w:eastAsia="Times New Roman" w:hAnsi="Times New Roman"/>
          <w:sz w:val="22"/>
          <w:szCs w:val="22"/>
          <w:u w:val="single" w:color="auto"/>
          <w:color w:val="auto"/>
        </w:rPr>
        <w:t>Registration Limitation</w:t>
      </w:r>
      <w:r>
        <w:rPr>
          <w:rFonts w:ascii="Times New Roman" w:cs="Times New Roman" w:eastAsia="Times New Roman" w:hAnsi="Times New Roman"/>
          <w:sz w:val="22"/>
          <w:szCs w:val="22"/>
          <w:color w:val="auto"/>
        </w:rPr>
        <w:t>”). In connection with each Advance Notice, any portion of an Advance that would exceed the Registration Limitation shall automatically be withdrawn with no further action required by the Company and such Advance Notice shall be deemed automatically modified to reduce the aggregate amount of the requested Advance by an amount equal to such withdrawn portion in respect of each Advance Notice; provided that in the event of any such automatic withdrawal and automatic modification, Investor will promptly notify the Company of such event.</w:t>
      </w:r>
    </w:p>
    <w:p>
      <w:pPr>
        <w:spacing w:after="0" w:line="20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(iii)Exchange Cap</w:t>
      </w:r>
      <w:r>
        <w:rPr>
          <w:rFonts w:ascii="Times New Roman" w:cs="Times New Roman" w:eastAsia="Times New Roman" w:hAnsi="Times New Roman"/>
          <w:sz w:val="22"/>
          <w:szCs w:val="22"/>
          <w:color w:val="auto"/>
        </w:rPr>
        <w:t>. Notwithstanding anything to contrary herein, the Company shall not affect any sales under this Agreement and the Investor shall not have the obligation to purchase Common Shares under this Agreement to the extent (but only to the extent) that after giving effect to such purchase and sale the aggregate number of Common Shares issued under this Agreement would exceed 19.9% of the outstanding Common Shares as of the date of the closing of the Business Combination (the “</w:t>
      </w:r>
      <w:r>
        <w:rPr>
          <w:rFonts w:ascii="Times New Roman" w:cs="Times New Roman" w:eastAsia="Times New Roman" w:hAnsi="Times New Roman"/>
          <w:sz w:val="22"/>
          <w:szCs w:val="22"/>
          <w:u w:val="single" w:color="auto"/>
          <w:color w:val="auto"/>
        </w:rPr>
        <w:t>Exchange Cap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further that,</w:t>
      </w:r>
      <w:r>
        <w:rPr>
          <w:rFonts w:ascii="Times New Roman" w:cs="Times New Roman" w:eastAsia="Times New Roman" w:hAnsi="Times New Roman"/>
          <w:sz w:val="22"/>
          <w:szCs w:val="22"/>
          <w:color w:val="auto"/>
        </w:rPr>
        <w:t xml:space="preserve"> the Exchange Cap will not apply if (a) the Company’s stockholders have approved issuances in excess of the Exchange Cap in accordance with the rules of the Principal Market, (b) the Company is permitted to follow its home country practices instead of the stockholder approval requirements of Nasdaq Rule 5635, and has made such election to follow home country practice in accordance with the Nasdaq Rules, or (c) the average price of all applicable sales of Ordinary Shares hereunder (including any sales covered by an Advance Notice that has been delivered prior to the determination of whether this clause (c) applies) equals or exceeds the lower of </w:t>
      </w:r>
      <w:r>
        <w:rPr>
          <w:rFonts w:ascii="Times New Roman" w:cs="Times New Roman" w:eastAsia="Times New Roman" w:hAnsi="Times New Roman"/>
          <w:sz w:val="22"/>
          <w:szCs w:val="22"/>
          <w:color w:val="222222"/>
        </w:rPr>
        <w:t>(i) the Nasdaq Official Closing Price (as reflected 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22222"/>
        </w:rPr>
        <w:t>Nasdaq.com) immediately preceding the Effective Date; or (ii) the average Nasdaq Official Closing Price for the five Trading Days immediately preceding the Effective Date</w:t>
      </w:r>
      <w:r>
        <w:rPr>
          <w:rFonts w:ascii="Times New Roman" w:cs="Times New Roman" w:eastAsia="Times New Roman" w:hAnsi="Times New Roman"/>
          <w:sz w:val="22"/>
          <w:szCs w:val="22"/>
          <w:color w:val="000000"/>
        </w:rPr>
        <w:t>. In connection with each Advance Notice, any portion of an Advance that would</w:t>
      </w:r>
      <w:r>
        <w:rPr>
          <w:rFonts w:ascii="Times New Roman" w:cs="Times New Roman" w:eastAsia="Times New Roman" w:hAnsi="Times New Roman"/>
          <w:sz w:val="22"/>
          <w:szCs w:val="22"/>
          <w:color w:val="222222"/>
        </w:rPr>
        <w:t xml:space="preserve"> </w:t>
      </w:r>
      <w:r>
        <w:rPr>
          <w:rFonts w:ascii="Times New Roman" w:cs="Times New Roman" w:eastAsia="Times New Roman" w:hAnsi="Times New Roman"/>
          <w:sz w:val="22"/>
          <w:szCs w:val="22"/>
          <w:color w:val="000000"/>
        </w:rPr>
        <w:t>exceed the Exchange Cap shall automatically be withdrawn with no further action required by the Company and such Advance Notice shall be deemed automatically modified to reduce the aggregate amount of the requested Advance by an amount equal to such withdrawn portion in respect of each Advance Notice.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 Minimum Acceptable Price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With respect to each Advance Notice, the Company may notify the Investor of the MAP with respect to such Advance by indicating a MAP on such Advance Notice. If no MAP is specified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 w:name="page16"/>
    <w:bookmarkEnd w:id="15"/>
    <w:p>
      <w:pPr>
        <w:jc w:val="both"/>
        <w:spacing w:after="0" w:line="236" w:lineRule="auto"/>
        <w:rPr>
          <w:sz w:val="20"/>
          <w:szCs w:val="20"/>
          <w:color w:val="auto"/>
        </w:rPr>
      </w:pPr>
      <w:r>
        <w:rPr>
          <w:rFonts w:ascii="Times New Roman" w:cs="Times New Roman" w:eastAsia="Times New Roman" w:hAnsi="Times New Roman"/>
          <w:sz w:val="22"/>
          <w:szCs w:val="22"/>
          <w:color w:val="auto"/>
        </w:rPr>
        <w:t>an Advance Notice, then no MAP shall be in effect in connection with such Advance. Each Trading Day during a Pricing Period for which (A) with respect to each Advance Notice with a MAP, the VWAP of the Common Shares is below the MAP in effect with respect to such Advance Notice, or (B) there is no VWAP (each such day, an “</w:t>
      </w:r>
      <w:r>
        <w:rPr>
          <w:rFonts w:ascii="Times New Roman" w:cs="Times New Roman" w:eastAsia="Times New Roman" w:hAnsi="Times New Roman"/>
          <w:sz w:val="22"/>
          <w:szCs w:val="22"/>
          <w:u w:val="single" w:color="auto"/>
          <w:color w:val="auto"/>
        </w:rPr>
        <w:t>Excluded Day</w:t>
      </w:r>
      <w:r>
        <w:rPr>
          <w:rFonts w:ascii="Times New Roman" w:cs="Times New Roman" w:eastAsia="Times New Roman" w:hAnsi="Times New Roman"/>
          <w:sz w:val="22"/>
          <w:szCs w:val="22"/>
          <w:color w:val="auto"/>
        </w:rPr>
        <w:t>”), shall result in an automatic reduction to the number of Advance Shares set forth in such Advance Notice by one-third (the resulting amount of each Advance being the “</w:t>
      </w:r>
      <w:r>
        <w:rPr>
          <w:rFonts w:ascii="Times New Roman" w:cs="Times New Roman" w:eastAsia="Times New Roman" w:hAnsi="Times New Roman"/>
          <w:sz w:val="22"/>
          <w:szCs w:val="22"/>
          <w:u w:val="single" w:color="auto"/>
          <w:color w:val="auto"/>
        </w:rPr>
        <w:t>Adjusted Advance Amount</w:t>
      </w:r>
      <w:r>
        <w:rPr>
          <w:rFonts w:ascii="Times New Roman" w:cs="Times New Roman" w:eastAsia="Times New Roman" w:hAnsi="Times New Roman"/>
          <w:sz w:val="22"/>
          <w:szCs w:val="22"/>
          <w:color w:val="auto"/>
        </w:rPr>
        <w:t>”), and each Excluded Day shall be excluded from the Pricing Period for purposes of determining the Market Price.</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In the event that there is a MAP in effect with respect to an Advance Notice and there is an Excluded Day, the total Advance Shares in respect of each Advance (after reductions have been made to arrive at the Adjusted Advance Amount, if any) shall be automatically increased by such number of Common Shares (the “</w:t>
      </w:r>
      <w:r>
        <w:rPr>
          <w:rFonts w:ascii="Times New Roman" w:cs="Times New Roman" w:eastAsia="Times New Roman" w:hAnsi="Times New Roman"/>
          <w:sz w:val="21"/>
          <w:szCs w:val="21"/>
          <w:u w:val="single" w:color="auto"/>
          <w:color w:val="auto"/>
        </w:rPr>
        <w:t>Additional Shares</w:t>
      </w:r>
      <w:r>
        <w:rPr>
          <w:rFonts w:ascii="Times New Roman" w:cs="Times New Roman" w:eastAsia="Times New Roman" w:hAnsi="Times New Roman"/>
          <w:sz w:val="21"/>
          <w:szCs w:val="21"/>
          <w:color w:val="auto"/>
        </w:rPr>
        <w:t>”) equal to the number of Common Shares sold by the Investor on such Excluded Day, if any, and the price paid per share for each Additional Share shall be equal to the MAP in effect with respect to such Advance Notice multiplied by 97%, provided that this increase shall not cause the total Advance Shares to exceed the amount set forth in the original Advance Notice or any limitations set forth in Section 3.01(d).</w:t>
      </w:r>
    </w:p>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(f)Unconditional Contract</w:t>
      </w:r>
      <w:r>
        <w:rPr>
          <w:rFonts w:ascii="Times New Roman" w:cs="Times New Roman" w:eastAsia="Times New Roman" w:hAnsi="Times New Roman"/>
          <w:sz w:val="22"/>
          <w:szCs w:val="22"/>
          <w:color w:val="auto"/>
        </w:rPr>
        <w:t>. Notwithstanding any other provision in this Agreement, the Company and the Investor acknowledge and agree that upon the Investor’s receipt of a valid Advance Notice the parties shall be deemed to have entered into an unconditional contract binding on both parties for the purchase and sale of Advance Shares pursuant to such Advance Notice in accordance with the terms of this Agreement and (i) subject to Applicable Laws and (ii) subject to Section 7.18 (Selling Restrictions), the Investor may sell Common Shares during the Pricing Period that that Investor is unconditionally obligated to purchase under a pending Advance Notice but has not yet received from the Company or the transfer agent pursuant to this Agreement.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3.02Closings</w:t>
      </w:r>
      <w:r>
        <w:rPr>
          <w:rFonts w:ascii="Times New Roman" w:cs="Times New Roman" w:eastAsia="Times New Roman" w:hAnsi="Times New Roman"/>
          <w:sz w:val="22"/>
          <w:szCs w:val="22"/>
          <w:color w:val="auto"/>
        </w:rPr>
        <w:t>. The closing of each Advance and each sale and purchase of Advance Shares (whether pursuant to an Advance Notice delivered by the Company or in connection with an Advance Notice deemed delivered by the Company in connection with an Investor Notice, each, a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take place as soon as practicable on or after each applicable Advance Date in accordance with the procedures set forth below. The parties acknowledge that, other than in connection with an Investor Notice, the Purchase Price is not known at the time the Advance Notice is delivered (at which time the Investor is irrevocably bound) but shall be determined on each Closing based on the daily prices of the Common Shares that are the inputs to the determination of the Purchase Price as set forth further below. In connection with each Closing, the Company and the Investor shall fulfill each of its obligations as set forth below:</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On each Advance Date, the Investor shall deliver to the Company a written document, in the form attached hereto as Exhibit B (each a “</w:t>
      </w:r>
      <w:r>
        <w:rPr>
          <w:rFonts w:ascii="Times New Roman" w:cs="Times New Roman" w:eastAsia="Times New Roman" w:hAnsi="Times New Roman"/>
          <w:sz w:val="21"/>
          <w:szCs w:val="21"/>
          <w:u w:val="single" w:color="auto"/>
          <w:color w:val="auto"/>
        </w:rPr>
        <w:t>Settlement Document</w:t>
      </w:r>
      <w:r>
        <w:rPr>
          <w:rFonts w:ascii="Times New Roman" w:cs="Times New Roman" w:eastAsia="Times New Roman" w:hAnsi="Times New Roman"/>
          <w:sz w:val="21"/>
          <w:szCs w:val="21"/>
          <w:color w:val="auto"/>
        </w:rPr>
        <w:t>”), setting forth the final number of Shares to be issued to and purchased by the Investor (taking into account any adjustments pursuant to Section 3.01), the Market Price, the Purchase Price, the aggregate proceeds to be paid by the Investor to the Company, and a report by Bloomberg, L.P. indicating the VWAP for each of the Trading Days during the Pricing Period or period for determining the Conversion Price (or, if not reported on Bloomberg, L.P., another reporting service reasonably agreed to by the parties), in each case in accordance with the terms and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 w:name="page17"/>
    <w:bookmarkEnd w:id="16"/>
    <w:p>
      <w:pPr>
        <w:jc w:val="both"/>
        <w:spacing w:after="0" w:line="244" w:lineRule="auto"/>
        <w:rPr>
          <w:sz w:val="20"/>
          <w:szCs w:val="20"/>
          <w:color w:val="auto"/>
        </w:rPr>
      </w:pP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Promptly after receipt of the Settlement Document with respect to each Advance (and, in any event, not later than one Trading Day after such receipt), the Company will allot and will, or will cause its transfer agent to, electronically issue such number of Advance Shares to be purchased by the Investor (as set forth in the Settlement Document) by crediting the Investor’s account or its designee’s account at the Depository Trust Company through its Deposit Withdrawal at Custodian System or by such other means of delivery as may be mutually agreed upon by the parties hereto, and transmit notification to the Investor that such share transfer has been requested. Promptly upon receipt of such notification, the Investor shall pay to the Company the aggregate purchase price of the Shares (as set forth in the Settlement Document) either (i) in the case of an Advance Notice submitted other than after the occurrence of a Trigger Event, in cash in immediately available funds to an account designated by the Company in writing and transmit notification to the Company that such funds transfer has been requested, or (ii) in the case of an Investor Notice or an Advance Notice submitted after the occurrence of a Trigger Event, as an offset of amounts owed under the Promissory Note as described in Section 3.01(b)(iii). No fractional shares shall be issued, and any fractional amounts shall be rounded to the next higher whole number of shares. To facilitate the transfer of the Common Shares by the Investor, the Common Shares will not bear any restrictive legends so long as there is an effective Registration Statement covering the resale of such Common Shares (it being understood and agreed by the Investor that notwithstanding the lack of restrictive legends, the Investor may only sell such Common Shares pursuant to the Plan of Distribution set forth in the Prospectus included in the Registration Statement and otherwise in compliance with the requirements of the Securities Act (including any applicable prospectus delivery requirements) or pursuant to an available exemption).</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On or prior to the Advance Date, each of the Company and the Investor shall deliver to the other all documents, instruments and writings expressly required to be delivered by either of them pursuant to this Agreement in order to implement and effect the transactions contemplated herein.</w:t>
      </w:r>
    </w:p>
    <w:p>
      <w:pPr>
        <w:spacing w:after="0" w:line="20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Notwithstanding anything to the contrary in this Agreement, other than in respect of Advance Notices deemed to be given pursuant to Investor Notices, if on any day during the Pricing Period (i) the Company notifies Investor that a Material Outside Event has occurred, or (ii) the Company notifies the Investor of a Black Out Period, the parties agree that the pending Advance shall end and the final number of Advance Shares to be purchased by the Investor at the Closing for such Advance shall be equal to the number of Common Shares sold by the Investor during the applicable Pricing Period prior to the notification from the Company of a Material Outside Event or Black Out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3.03Hardship</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In the event the Investor sells Common Shares after receipt, or deemed receipt, of an Advance Notice and the Company fails to perform its obligations as mandated in this Agreement, the Company agrees that in addition to and in no way limiting the rights and obligations set forth in Article VII hereto and in addition to any other remedy to which the Investor is entitled at law or in equity, including, without limitation, specific performance, it will hold the Investor harmless against any loss, claim, damage, or expense (including reasonable legal fees and expenses), as incurred, arising out of or in connection with such default by the Company and acknowledges that irreparable damage may occur in the event of any such default. It is accordingly agreed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 w:name="page18"/>
    <w:bookmarkEnd w:id="17"/>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Investor shall be entitled to an injunction or injunctions to prevent such breaches of this Agreement and to specifically enforce (subject to Applicable Laws and other rules of the Principal Market), without the posting of a bond or other security, the terms and provisions of this Agreement.</w:t>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In the event the Company provides an Advance Notice and the Investor fails to perform its obligations as mandated in Section 3.02, the Investor agrees that in addition to and in no way limiting the rights and obligations set forth in Article VII hereto and in addition to any other remedy to which the Company is entitled at law or in equity, including, without limitation, specific performance, it will hold the Company harmless against any loss, claim, damage, or expense (including reasonable legal fees and expenses), as incurred, arising out of or in connection with such default by the Investor and acknowledges that irreparable damage may occur in the event of any such default. It is accordingly agreed that the Company shall be entitled to an injunction or injunctions to prevent such breaches of this Agreement and to specifically enforce (subject to the Securities Act and other rules of the Principal Market), without the posting of a bond or other security, the terms and provisions of this Agreement.</w:t>
      </w:r>
    </w:p>
    <w:p>
      <w:pPr>
        <w:spacing w:after="0" w:line="1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3.04Completion of Resale Pursuant to the Registration Statement</w:t>
      </w:r>
      <w:r>
        <w:rPr>
          <w:rFonts w:ascii="Times New Roman" w:cs="Times New Roman" w:eastAsia="Times New Roman" w:hAnsi="Times New Roman"/>
          <w:sz w:val="22"/>
          <w:szCs w:val="22"/>
          <w:color w:val="auto"/>
        </w:rPr>
        <w:t>. After the Investor has (x) purchased the full Commitment Amount and has completed the subsequent resale of the full Commitment Amount pursuant to the Registration Statement, and (y) the entirety of the Pre-Paid Advance has been paid back in full, the Investor will notify the Company that all subsequent resales are completed and the Company will be under no further obligation to maintain the effectiveness of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IV.Representations and Warranties of Investor</w:t>
      </w:r>
    </w:p>
    <w:p>
      <w:pPr>
        <w:spacing w:after="0" w:line="2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The Investor represents and warrants to the Company, as of the date hereof, as of each Advance Notice Date and each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Advance Date that:</w:t>
      </w:r>
    </w:p>
    <w:p>
      <w:pPr>
        <w:spacing w:after="0" w:line="18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4.01Organization and Authorization</w:t>
      </w:r>
      <w:r>
        <w:rPr>
          <w:rFonts w:ascii="Times New Roman" w:cs="Times New Roman" w:eastAsia="Times New Roman" w:hAnsi="Times New Roman"/>
          <w:sz w:val="22"/>
          <w:szCs w:val="22"/>
          <w:color w:val="auto"/>
        </w:rPr>
        <w:t>. The Investor is duly organized, validly existing and in good standing under the laws of the Cayman Islands and has the requisite corporate power and authority to enter into and perform its obligations under the Transaction Documents to which it is a party and this Agreement and to purchase or acquire Shares in accordance with the terms hereof. The decision to invest and the execution and delivery of the Transaction Documents to which it is a party and this Agreement by the Investor, the performance by the Investor of its obligations hereunder and the consummation by the Investor of the transactions contemplated hereby have been duly authorized and require no other proceedings on the part of the Investor. The undersigned has the right, power and authority to execute and deliver the Transaction Documents to which it is a party and this Agreement and all other instruments on behalf of the Investor or its shareholders. This Agreement and the Transaction Documents to which it is a party have been duly executed and delivered by the Investor and, assuming the execution and delivery hereof and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22"/>
          <w:szCs w:val="22"/>
          <w:color w:val="auto"/>
        </w:rPr>
        <w:t>thereof by the Original Company and/or the Company (as applicable), will constitute the legal, valid and binding obligations of the Investor, enforceable against the Investor in accordance with its terms.</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4.02Evaluation of Risks</w:t>
      </w:r>
      <w:r>
        <w:rPr>
          <w:rFonts w:ascii="Times New Roman" w:cs="Times New Roman" w:eastAsia="Times New Roman" w:hAnsi="Times New Roman"/>
          <w:sz w:val="22"/>
          <w:szCs w:val="22"/>
          <w:color w:val="auto"/>
        </w:rPr>
        <w:t>. The Investor has such knowledge and experience in financial, tax and business matters as to be capable of evaluating the merits and risks of, and bearing the economic risks entailed by, an investment in the Common Shares of the Company and of protecting its interests in connection with the transactions contemplated hereby. The Investor acknowledges and agrees that its investment in the Company involves a high degree of risk, and that the Investor may lose all or a part of its investment.</w:t>
      </w:r>
    </w:p>
    <w:p>
      <w:pPr>
        <w:spacing w:after="0" w:line="2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4.03No Legal, Investment or Tax Advice from the Company</w:t>
      </w:r>
      <w:r>
        <w:rPr>
          <w:rFonts w:ascii="Times New Roman" w:cs="Times New Roman" w:eastAsia="Times New Roman" w:hAnsi="Times New Roman"/>
          <w:sz w:val="22"/>
          <w:szCs w:val="22"/>
          <w:color w:val="auto"/>
        </w:rPr>
        <w:t>. The Investor acknowledges that it had the opportunity to review the Transaction Documents and this Agreement and the transactions contemplated by the Transaction Documents with its own legal counsel and investment and tax advisors. The Investor is relying solely on such counsel and advisors and not on any statements or representations of the Company or any of the Company’s representatives or agents for legal, tax, investment or other advice with respect to the Investor’s acquisition of Common Shares hereunder, the transactions contemplated by this Agreement or the laws of any jurisdiction, and the Investor acknowledges that the Investor may lose all or a part of its investment.</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4.04Investment Purpose</w:t>
      </w:r>
      <w:r>
        <w:rPr>
          <w:rFonts w:ascii="Times New Roman" w:cs="Times New Roman" w:eastAsia="Times New Roman" w:hAnsi="Times New Roman"/>
          <w:sz w:val="22"/>
          <w:szCs w:val="22"/>
          <w:color w:val="auto"/>
        </w:rPr>
        <w:t>. The Investor is acquiring the Common Shares and the Promissory Note for its own account, for investment purposes and not with a view towards, or for resale in connection with, the public sale or distribution thereof, except pursuant to sales registered under or exempt from the registration requirements of the Securities Act; provided, however, that by making the representations herein, the Investor does not agree, or make any representation or warranty, to hold any of the Shares for any minimum or other specific term and reserves the right to dispose of the Shares at any time in accordance with, or pursuant to, a Registration Statement filed pursuant to this Agreement or an applicable exemption under the Securities Act. The Investor does not presently have any agreement or understanding, directly or indirectly, with any Person to sell or distribute any of the Shares. The Investor acknowledges that it will be disclosed as an “underwriter” and a “selling stockholder” in each Registration Statement and in any prospectus contained therein to the extent required by applicable law and to the extent the prospectus is related to the resale of Registrable Securities.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4.05Accredited Investor</w:t>
      </w:r>
      <w:r>
        <w:rPr>
          <w:rFonts w:ascii="Times New Roman" w:cs="Times New Roman" w:eastAsia="Times New Roman" w:hAnsi="Times New Roman"/>
          <w:sz w:val="22"/>
          <w:szCs w:val="22"/>
          <w:color w:val="auto"/>
        </w:rPr>
        <w:t>. The Investor is an “</w:t>
      </w:r>
      <w:r>
        <w:rPr>
          <w:rFonts w:ascii="Times New Roman" w:cs="Times New Roman" w:eastAsia="Times New Roman" w:hAnsi="Times New Roman"/>
          <w:sz w:val="22"/>
          <w:szCs w:val="22"/>
          <w:u w:val="single" w:color="auto"/>
          <w:color w:val="auto"/>
        </w:rPr>
        <w:t>Accredited Investor</w:t>
      </w:r>
      <w:r>
        <w:rPr>
          <w:rFonts w:ascii="Times New Roman" w:cs="Times New Roman" w:eastAsia="Times New Roman" w:hAnsi="Times New Roman"/>
          <w:sz w:val="22"/>
          <w:szCs w:val="22"/>
          <w:color w:val="auto"/>
        </w:rPr>
        <w:t>” as that term is defined in Rule 501(a)(3) of Regulation D.</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4.06Information</w:t>
      </w:r>
      <w:r>
        <w:rPr>
          <w:rFonts w:ascii="Times New Roman" w:cs="Times New Roman" w:eastAsia="Times New Roman" w:hAnsi="Times New Roman"/>
          <w:sz w:val="22"/>
          <w:szCs w:val="22"/>
          <w:color w:val="auto"/>
        </w:rPr>
        <w:t>. The Investor and its advisors (and its counsel), if any, have been furnished with all materials relating to the business, finances and operations of the Company and information the Investor deemed material to making an informed investment decision. The Investor and its advisors (and its counsel), if any, have been afforded the opportunity to ask questions of the Company and its management and have received answers to such questions. Neither such inquiries nor any other due diligence investigations conducted by such Investor or its advisors (and its counsel), if any, or its representatives shall modify, amend or affect the Investor’s right to rely on the Company’s representations and warranties contained in this Agreement. The Investor acknowledges and agrees that the Company has not made to the Investor, and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 w:name="page20"/>
    <w:bookmarkEnd w:id="19"/>
    <w:p>
      <w:pPr>
        <w:jc w:val="both"/>
        <w:spacing w:after="0" w:line="239" w:lineRule="auto"/>
        <w:rPr>
          <w:sz w:val="20"/>
          <w:szCs w:val="20"/>
          <w:color w:val="auto"/>
        </w:rPr>
      </w:pPr>
      <w:r>
        <w:rPr>
          <w:rFonts w:ascii="Times New Roman" w:cs="Times New Roman" w:eastAsia="Times New Roman" w:hAnsi="Times New Roman"/>
          <w:sz w:val="22"/>
          <w:szCs w:val="22"/>
          <w:color w:val="auto"/>
        </w:rPr>
        <w:t>acknowledges and agrees it has not relied upon, any representations and warranties of the Company, its employees or any third party other than the representations and warranties of the Company contained in this Agreement. The Investor understands that its investment involves a high degree of risk. The Investor has sought such accounting, legal and tax advice, as it has considered necessary to make an informed investment decision with respect to the transactions contemplated hereby.</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4.07Not an Affiliate</w:t>
      </w:r>
      <w:r>
        <w:rPr>
          <w:rFonts w:ascii="Times New Roman" w:cs="Times New Roman" w:eastAsia="Times New Roman" w:hAnsi="Times New Roman"/>
          <w:sz w:val="22"/>
          <w:szCs w:val="22"/>
          <w:color w:val="auto"/>
        </w:rPr>
        <w:t>. The Investor is not an officer, director or a person that directly, or indirectly through one or more intermediaries, controls or is controlled by, or is under common control with the Company or any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the Company (as that term is defined in Rule 405 promulgated under the Securities Act).</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4.08General Solicitation</w:t>
      </w:r>
      <w:r>
        <w:rPr>
          <w:rFonts w:ascii="Times New Roman" w:cs="Times New Roman" w:eastAsia="Times New Roman" w:hAnsi="Times New Roman"/>
          <w:sz w:val="22"/>
          <w:szCs w:val="22"/>
          <w:color w:val="auto"/>
        </w:rPr>
        <w:t>. Neither the Investor, nor any of its affiliates, nor any person acting on its or their behalf, has engaged or will engage in any form of general solicitation or general advertising (within the meaning of Regulation D) in connection with any offer or sale of the Common Shares by the Investor.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V.Representations and Warranties of the Company</w:t>
      </w:r>
    </w:p>
    <w:p>
      <w:pPr>
        <w:spacing w:after="0" w:line="237" w:lineRule="exact"/>
        <w:rPr>
          <w:sz w:val="20"/>
          <w:szCs w:val="20"/>
          <w:color w:val="auto"/>
        </w:rPr>
      </w:pPr>
    </w:p>
    <w:p>
      <w:pPr>
        <w:jc w:val="both"/>
        <w:ind w:firstLine="849"/>
        <w:spacing w:after="0" w:line="236" w:lineRule="auto"/>
        <w:rPr>
          <w:sz w:val="20"/>
          <w:szCs w:val="20"/>
          <w:color w:val="auto"/>
        </w:rPr>
      </w:pPr>
      <w:r>
        <w:rPr>
          <w:rFonts w:ascii="Times New Roman" w:cs="Times New Roman" w:eastAsia="Times New Roman" w:hAnsi="Times New Roman"/>
          <w:sz w:val="22"/>
          <w:szCs w:val="22"/>
          <w:color w:val="auto"/>
        </w:rPr>
        <w:t xml:space="preserve">Except as set forth in the SEC Documents or the Business Combination Agreement, the Company represents and warrants to the Investor that, as of the date hereof, each Advance Notice Date and each Advance Date (other than representations and warranties which address matters only as of a certain date, which shall be true and correct as written as of such certain date), </w:t>
      </w:r>
      <w:r>
        <w:rPr>
          <w:rFonts w:ascii="Times New Roman" w:cs="Times New Roman" w:eastAsia="Times New Roman" w:hAnsi="Times New Roman"/>
          <w:sz w:val="22"/>
          <w:szCs w:val="22"/>
          <w:b w:val="1"/>
          <w:bCs w:val="1"/>
          <w:i w:val="1"/>
          <w:iCs w:val="1"/>
          <w:color w:val="auto"/>
        </w:rPr>
        <w:t>provided that</w:t>
      </w:r>
      <w:r>
        <w:rPr>
          <w:rFonts w:ascii="Times New Roman" w:cs="Times New Roman" w:eastAsia="Times New Roman" w:hAnsi="Times New Roman"/>
          <w:sz w:val="22"/>
          <w:szCs w:val="22"/>
          <w:color w:val="auto"/>
        </w:rPr>
        <w:t>, to the extent that any of the representations and warranties refer back to the position before completion of the Pre-Closing Demerger such representations and warrants shall refer to the Original Company and the group companies at that time consisting of the Original Company and its subsidiaries.</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5.01Organization and Qualification</w:t>
      </w:r>
      <w:r>
        <w:rPr>
          <w:rFonts w:ascii="Times New Roman" w:cs="Times New Roman" w:eastAsia="Times New Roman" w:hAnsi="Times New Roman"/>
          <w:sz w:val="22"/>
          <w:szCs w:val="22"/>
          <w:color w:val="auto"/>
        </w:rPr>
        <w:t>. Each of the Company and its Subsidiaries is an entity duly organized and validly existing under the laws of their respective jurisdiction of organization, and has the requisite power and authority to own its properties and to carry on its business as now being conducted. Each of the Company and its Subsidiaries is duly qualified to do business and is in good standing (to the extent applicable) in every jurisdiction in which the nature of the business conducted by it makes such qualification necessary, except to the extent that the failure to be so qualified or be in good standing would not have a Material Adverse Effect.</w:t>
      </w:r>
    </w:p>
    <w:p>
      <w:pPr>
        <w:spacing w:after="0" w:line="2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5.02Authorization, Enforcement, Compliance with Other Instruments.</w:t>
      </w:r>
      <w:r>
        <w:rPr>
          <w:rFonts w:ascii="Times New Roman" w:cs="Times New Roman" w:eastAsia="Times New Roman" w:hAnsi="Times New Roman"/>
          <w:sz w:val="22"/>
          <w:szCs w:val="22"/>
          <w:color w:val="auto"/>
        </w:rPr>
        <w:t xml:space="preserve"> The Company has the requisite corporate power and authority to enter into and perform its obligations under this Agreement and the other Transaction Documents and to issue the Shares in accordance with the terms hereof and thereof. The execution and delivery by the Company of this Agreement and the other Transaction Documents, and the consummation by the Company of the transactions contemplated hereby and thereby (including, without limitation, the issuance of the Common Shares) have been or (with respect to consummation) will be duly authorized by the Company’s board of directors and no further consent or authorization will be required by the Company, its board of directors or its shareholders. This Agreement and the other Transaction Documents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 w:name="page21"/>
    <w:bookmarkEnd w:id="20"/>
    <w:p>
      <w:pPr>
        <w:jc w:val="both"/>
        <w:spacing w:after="0" w:line="234" w:lineRule="auto"/>
        <w:rPr>
          <w:sz w:val="20"/>
          <w:szCs w:val="20"/>
          <w:color w:val="auto"/>
        </w:rPr>
      </w:pPr>
      <w:r>
        <w:rPr>
          <w:rFonts w:ascii="Times New Roman" w:cs="Times New Roman" w:eastAsia="Times New Roman" w:hAnsi="Times New Roman"/>
          <w:sz w:val="22"/>
          <w:szCs w:val="22"/>
          <w:color w:val="auto"/>
        </w:rPr>
        <w:t>which the Company is a party have been (or, when executed and delivered, will be) duly executed and delivered by the Company and, assuming the execution and delivery thereof and acceptance by the Investor, constitute (or, when duly executed and delivered, will be)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other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collectively, this Agreement, the Intercreditor Agreement, the Registration Rights Agreement, the Global Guaranty Agreement, any Promissory Note issued by the Company hereunder, and each of the other agreements and instruments entered into or delivered by any of the parties hereto in connection with the transactions contemplated hereby and thereby, as may be amended from time to time.</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5.03Authorization of the Shares</w:t>
      </w:r>
      <w:r>
        <w:rPr>
          <w:rFonts w:ascii="Times New Roman" w:cs="Times New Roman" w:eastAsia="Times New Roman" w:hAnsi="Times New Roman"/>
          <w:sz w:val="22"/>
          <w:szCs w:val="22"/>
          <w:color w:val="auto"/>
        </w:rPr>
        <w:t>. The Shares to be issued under this Agreement have been, or with respect to Shares to be purchased by the Investor pursuant to an Advance Notice, will be, when issued and delivered pursuant to the terms approved by the board of directors of the Company or a duly authorized committee thereof, or a duly authorized executive committee, against payment therefor as provided herein,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Shares, when issued, will conform to the description thereof set forth in or incorporated into the Prospectus. As of the date of the Pre-Paid Advance Closing, and at all times thereafter, the Company shall have reserved from its duly authorized capital stock not less than the number of Common Shares issuable upon conversion of a Promissory Note (assuming for purposes hereof that (x) such Promissory Note is convertible at a Conversion Price (as defined in the Promissory Note) equal to the Floor Price as of the date of determination, and (y) any such conversion shall not take into account any limitations on the conversion of the Promissory Note set forth therein).</w:t>
      </w:r>
    </w:p>
    <w:p>
      <w:pPr>
        <w:spacing w:after="0" w:line="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u w:val="single" w:color="auto"/>
          <w:color w:val="auto"/>
        </w:rPr>
        <w:t>Section 5.04No Conflict</w:t>
      </w:r>
      <w:r>
        <w:rPr>
          <w:rFonts w:ascii="Times New Roman" w:cs="Times New Roman" w:eastAsia="Times New Roman" w:hAnsi="Times New Roman"/>
          <w:sz w:val="22"/>
          <w:szCs w:val="22"/>
          <w:color w:val="auto"/>
        </w:rPr>
        <w:t>. The execution, delivery and performance of the Transaction Documents by the Company and the consummation by the Company of the transactions contemplated hereby and thereby (including, without limitation, the issuance of the Common Shares) will not (i) result in a violation of the articles of incorporation or other organizational documents of the Company or its Subsidiaries (with respect to consummation, as the same may be amended prior to the date on which any of the transactions contemplated hereby are consummated), (ii) conflict with, or constitute a default (or an event which with notice or lapse of time or both would become a default) under, or give to others any rights of termination, amendment, acceleration or cancellation of, any agreement, indenture or instrument to which the Company or its Subsidiaries is a party, or (iii) result in a violation of any law, rule, regulation, order, judgment or decree (including federal and state securities laws and regulations) applicable to the Company or its Subsidiaries or by which any property or asset of the Company or its Subsidiaries is bound or affected except, in the case of clause (ii) or (iii) above, to the extent that such violations would not reasonably be expected to have a Material Adverse Effect.</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The Company understands and acknowledges that the number of Common Shares issuable upon conversion of the Promissory Note will increase in certain circumstances.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 w:name="page22"/>
    <w:bookmarkEnd w:id="21"/>
    <w:p>
      <w:pPr>
        <w:jc w:val="both"/>
        <w:spacing w:after="0" w:line="239" w:lineRule="auto"/>
        <w:rPr>
          <w:sz w:val="20"/>
          <w:szCs w:val="20"/>
          <w:color w:val="auto"/>
        </w:rPr>
      </w:pPr>
      <w:r>
        <w:rPr>
          <w:rFonts w:ascii="Times New Roman" w:cs="Times New Roman" w:eastAsia="Times New Roman" w:hAnsi="Times New Roman"/>
          <w:sz w:val="22"/>
          <w:szCs w:val="22"/>
          <w:color w:val="auto"/>
        </w:rPr>
        <w:t>Company further acknowledges its obligation to issue the Common Shares upon conversion of a Promissory Note in accordance with the terms thereof or upon delivery of an Advance Notice (including upon receipt of an Investor Notice) is absolute and unconditional regardless of the dilutive effect that such issuance may have on the ownership interests of other stockholders of the Company.</w:t>
      </w:r>
    </w:p>
    <w:p>
      <w:pPr>
        <w:spacing w:after="0" w:line="20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5.06SEC Documents; Financial Statements</w:t>
      </w:r>
      <w:r>
        <w:rPr>
          <w:rFonts w:ascii="Times New Roman" w:cs="Times New Roman" w:eastAsia="Times New Roman" w:hAnsi="Times New Roman"/>
          <w:sz w:val="22"/>
          <w:szCs w:val="22"/>
          <w:color w:val="auto"/>
        </w:rPr>
        <w:t>. The Company has timely filed (giving effect to permissible extensions in accordance with Rule 12b-25 under the Exchange Act) all reports, schedules, forms, statements and other documents required to be filed by it with the SEC pursuant to the Exchange Act for the two years preceding the date of such representation (or such shorter period as the Company was required by law or regulation to file such material) (all of the foregoing filed within two years preceding the date of such representation or amended or filed after the date of such representation, and all exhibits included therein and financial statements and schedules thereto and documents incorporated by reference therein, and all registration statements filed by the Company under the Securities Act (including any Registration Statements filed hereunder), being hereinafter referred to as the “</w:t>
      </w:r>
      <w:r>
        <w:rPr>
          <w:rFonts w:ascii="Times New Roman" w:cs="Times New Roman" w:eastAsia="Times New Roman" w:hAnsi="Times New Roman"/>
          <w:sz w:val="22"/>
          <w:szCs w:val="22"/>
          <w:u w:val="single" w:color="auto"/>
          <w:color w:val="auto"/>
        </w:rPr>
        <w:t>SEC Documents</w:t>
      </w:r>
      <w:r>
        <w:rPr>
          <w:rFonts w:ascii="Times New Roman" w:cs="Times New Roman" w:eastAsia="Times New Roman" w:hAnsi="Times New Roman"/>
          <w:sz w:val="22"/>
          <w:szCs w:val="22"/>
          <w:color w:val="auto"/>
        </w:rPr>
        <w:t>”). The Company has delivered or made available to the Investor through the SEC’s website at http://www.sec.gov, true and complete copies of the SEC Documents. As of their respective dates (or, with respect to any filing that has been amended or superseded, the date of such amendment or superseding filing), the SEC Documents complied in all material respects with the requirements of the Exchange Act or the Securities Act, as applicable, and the rules and regulations of the SEC promulgated thereunder applicable to the SEC Documents, and did not contain any untrue statement of a material fact or omitted to state a material fact required to be stated therein or necessary in order to make the statements therein, in the light of the circumstances under which they were made, not misleading.</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u w:val="single" w:color="auto"/>
          <w:color w:val="auto"/>
        </w:rPr>
        <w:t>Section 5.07Financial Statements</w:t>
      </w:r>
      <w:r>
        <w:rPr>
          <w:rFonts w:ascii="Times New Roman" w:cs="Times New Roman" w:eastAsia="Times New Roman" w:hAnsi="Times New Roman"/>
          <w:sz w:val="21"/>
          <w:szCs w:val="21"/>
          <w:color w:val="auto"/>
        </w:rPr>
        <w:t>. The consolidated financial statements of the Company included or incorporated by reference in the SEC Documents,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for the periods specified and have been prepared in compliance with the requirements of the Securities Act and Exchange Act and in conformity with generally accepted accounting principles in the United States (“</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applied on a consistent basis (except for (i) such adjustments to accounting standards and practices as are noted therein, (ii) in the case of unaudited interim financial statements, to the extent such financial statements may not include footnotes required by GAAP or may be condensed or summary statements and (iii) such adjustments which are not material, either individually or in the aggregate) during the periods involved; the other financial and statistical data with respect to the Company and the Subsidiaries contained or incorporated by reference in the SEC Documents are accurately and fairly presented and prepared on a basis consistent with the financial statements and books and records of the Company; there are no financial statements (historical or pro forma) that are required to be included or incorporated by reference in the SEC Documents that are not included or incorporated by reference as required; the Company and the Subsidiaries will not have from Listing any material liabilities or obligations, direct or contingent (including any off-balance sheet obligations), not described in the SEC Documents (excluding the exhibits thereto) as at the date to which such SEC Documents are made up; and all disclosures contained or incorporated by reference in the SEC Documents regarding “non-GAAP financial measures” (as such term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 w:name="page23"/>
    <w:bookmarkEnd w:id="22"/>
    <w:p>
      <w:pPr>
        <w:jc w:val="both"/>
        <w:spacing w:after="0" w:line="235" w:lineRule="auto"/>
        <w:rPr>
          <w:sz w:val="20"/>
          <w:szCs w:val="20"/>
          <w:color w:val="auto"/>
        </w:rPr>
      </w:pPr>
      <w:r>
        <w:rPr>
          <w:rFonts w:ascii="Times New Roman" w:cs="Times New Roman" w:eastAsia="Times New Roman" w:hAnsi="Times New Roman"/>
          <w:sz w:val="22"/>
          <w:szCs w:val="22"/>
          <w:color w:val="auto"/>
        </w:rPr>
        <w:t>defined by the rules and regulations of the Commission) comply in all material respects with Regulation G of the Exchange Act and Item 10 of Regulation S-K under the Securities Act, to the extent applicable. The interactive data in eXtensible Business Reporting Language included or incorporated by reference in the SEC Documents fairly presents the information called for in all material respects and has been prepared in accordance with the SEC’s rules and guidelines applicable thereto. It is acknowledged that the Company is not listed as at the date of this Agreement.</w:t>
      </w:r>
    </w:p>
    <w:p>
      <w:pPr>
        <w:jc w:val="both"/>
        <w:spacing w:after="0" w:line="230" w:lineRule="auto"/>
        <w:rPr>
          <w:sz w:val="20"/>
          <w:szCs w:val="20"/>
          <w:color w:val="auto"/>
        </w:rPr>
      </w:pPr>
      <w:r>
        <w:rPr>
          <w:rFonts w:ascii="Times New Roman" w:cs="Times New Roman" w:eastAsia="Times New Roman" w:hAnsi="Times New Roman"/>
          <w:sz w:val="22"/>
          <w:szCs w:val="22"/>
          <w:u w:val="single" w:color="auto"/>
          <w:color w:val="auto"/>
        </w:rPr>
        <w:t>Section 5.08Registration Statement and Prospectus</w:t>
      </w:r>
      <w:r>
        <w:rPr>
          <w:rFonts w:ascii="Times New Roman" w:cs="Times New Roman" w:eastAsia="Times New Roman" w:hAnsi="Times New Roman"/>
          <w:sz w:val="22"/>
          <w:szCs w:val="22"/>
          <w:color w:val="auto"/>
        </w:rPr>
        <w:t>. Each Registration Statement and the offer and sale of Shares as contemplated hereby, if and when filed, meet the requirements of Rule 415 under the Securities Act and comply in all material respects with said Rule. Any statutes, regulations, contracts or other documents that are required to be described in a Registration Statement or a Prospectus, or to be filed as exhibits to a Registration Statement have been so described or filed. Copies of each Registration Statement, any Prospectus, and any such amendments or supplements thereto and all documents incorporated by reference therein that were filed with the Commission on or prior to the date of this Agreement have been delivered, or are publicly available through the SEC’s Electronic Data Gathering, Analysis, and Retrieval system (“</w:t>
      </w:r>
      <w:r>
        <w:rPr>
          <w:rFonts w:ascii="Times New Roman" w:cs="Times New Roman" w:eastAsia="Times New Roman" w:hAnsi="Times New Roman"/>
          <w:sz w:val="22"/>
          <w:szCs w:val="22"/>
          <w:u w:val="single" w:color="auto"/>
          <w:color w:val="auto"/>
        </w:rPr>
        <w:t>EDGAR</w:t>
      </w:r>
      <w:r>
        <w:rPr>
          <w:rFonts w:ascii="Times New Roman" w:cs="Times New Roman" w:eastAsia="Times New Roman" w:hAnsi="Times New Roman"/>
          <w:sz w:val="22"/>
          <w:szCs w:val="22"/>
          <w:color w:val="auto"/>
        </w:rPr>
        <w:t>"), to the Investor and its counsel. The Company has not distributed and, prior to the later to occur of each Advance Date and completion of the distribution of the Shares, will not distribute any offering material in connection with the offering or sale of the Shares other than a Registration Statement and the Prospectus. to which the Investor has consented.</w:t>
      </w:r>
    </w:p>
    <w:p>
      <w:pPr>
        <w:spacing w:after="0" w:line="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u w:val="single" w:color="auto"/>
          <w:color w:val="auto"/>
        </w:rPr>
        <w:t>Section 5.09No Misstatement or Omission</w:t>
      </w:r>
      <w:r>
        <w:rPr>
          <w:rFonts w:ascii="Times New Roman" w:cs="Times New Roman" w:eastAsia="Times New Roman" w:hAnsi="Times New Roman"/>
          <w:sz w:val="22"/>
          <w:szCs w:val="22"/>
          <w:color w:val="auto"/>
        </w:rPr>
        <w:t>. Each Registration Statement, when it became or becomes effective, and any Prospectus, on the date of such Prospectus or amendment or supplement, conformed and will conform in all material respects with the requirements of the Securities Act. At each Advance Date, the Registration Statement, and the Prospectus, as of such date, will conform in all material respects with the requirements of the Securities Act. Each Registration Statement, when it became or becomes effective, did not, and will not, contain an untrue statement of a material fact or omit to state a material fact required to be stated therein or necessary to make the statements therein not misleading. Each Prospectus did not, or will not, include an untrue statement of a material fact or omit to state a material fact necessary to make the statements therein, in light of the circumstances under which they were made, not misleading. The documents incorporated by reference in a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Investor specifically for use in the preparation thereof.</w:t>
      </w:r>
    </w:p>
    <w:p>
      <w:pPr>
        <w:spacing w:after="0" w:line="21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5.10Conformity with Securities Act and Exchange Act</w:t>
      </w:r>
      <w:r>
        <w:rPr>
          <w:rFonts w:ascii="Times New Roman" w:cs="Times New Roman" w:eastAsia="Times New Roman" w:hAnsi="Times New Roman"/>
          <w:sz w:val="22"/>
          <w:szCs w:val="22"/>
          <w:color w:val="auto"/>
        </w:rPr>
        <w:t>. Each Registration Statement, each Prospectus, or any amendment or supplement thereto, and the documents incorporated by reference in each Registration Statement, Prospectus or any amendment or supplement thereto, when such documents were or are filed with the SEC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 w:name="page24"/>
    <w:bookmarkEnd w:id="23"/>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5.11Equity Capitalization</w:t>
      </w:r>
      <w:r>
        <w:rPr>
          <w:rFonts w:ascii="Times New Roman" w:cs="Times New Roman" w:eastAsia="Times New Roman" w:hAnsi="Times New Roman"/>
          <w:sz w:val="22"/>
          <w:szCs w:val="22"/>
          <w:color w:val="auto"/>
        </w:rPr>
        <w:t xml:space="preserve">. The issued capital shares of the Original Company as of February 2, 2024, consisted of (i) 991,285,224 Ordinary Shares of a par value of £0.0001 each and (ii) 28,039,517 Series A Shares of a par value of £0.0001 each and 14,427,185 Deferred Shares of £0.0001 each. The issued capital shares of the Company as of the date hereof consists of (i) 172,182,769 Ordinary Shares of a par value of £0.0001 each. There are no securities or instruments issued by or to which the Company is a party containing anti-dilution or similar provisions that will be triggered by the issuance of the Shares. Since the closing of the Business Combination, the Ordinary Shares (the number and nominal value of which will be as adjusted as a consequence of the </w:t>
      </w:r>
      <w:r>
        <w:rPr>
          <w:rFonts w:ascii="Times New Roman" w:cs="Times New Roman" w:eastAsia="Times New Roman" w:hAnsi="Times New Roman"/>
          <w:sz w:val="22"/>
          <w:szCs w:val="22"/>
          <w:u w:val="single" w:color="auto"/>
          <w:color w:val="auto"/>
        </w:rPr>
        <w:t>Pre-Closing Reorganization</w:t>
      </w:r>
      <w:r>
        <w:rPr>
          <w:rFonts w:ascii="Times New Roman" w:cs="Times New Roman" w:eastAsia="Times New Roman" w:hAnsi="Times New Roman"/>
          <w:sz w:val="22"/>
          <w:szCs w:val="22"/>
          <w:color w:val="auto"/>
        </w:rPr>
        <w:t>) have been registered pursuant to Section 12(b) of the Exchange Act and will be listed on a Principal Market (“</w:t>
      </w:r>
      <w:r>
        <w:rPr>
          <w:rFonts w:ascii="Times New Roman" w:cs="Times New Roman" w:eastAsia="Times New Roman" w:hAnsi="Times New Roman"/>
          <w:sz w:val="22"/>
          <w:szCs w:val="22"/>
          <w:u w:val="single" w:color="auto"/>
          <w:color w:val="auto"/>
        </w:rPr>
        <w:t>Listing</w:t>
      </w:r>
      <w:r>
        <w:rPr>
          <w:rFonts w:ascii="Times New Roman" w:cs="Times New Roman" w:eastAsia="Times New Roman" w:hAnsi="Times New Roman"/>
          <w:sz w:val="22"/>
          <w:szCs w:val="22"/>
          <w:color w:val="auto"/>
        </w:rPr>
        <w:t>”). The Company has taken no action designed to, or likely to have the effect of, terminating the registration of the Ordinary Shares under the Exchange Act or delisting the Ordinary Shares from the Principal Market, nor has the Company received any notification that the Commission or the Principal Market is contemplating terminating such registration or listing. To the Original Company’s knowledge, it is in compliance with all applicable listing requirements of the Principal Market as of the date hereof.</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u w:val="single" w:color="auto"/>
          <w:color w:val="auto"/>
        </w:rPr>
        <w:t>Section 5.12Existing Securities; Obligations</w:t>
      </w:r>
      <w:r>
        <w:rPr>
          <w:rFonts w:ascii="Times New Roman" w:cs="Times New Roman" w:eastAsia="Times New Roman" w:hAnsi="Times New Roman"/>
          <w:sz w:val="21"/>
          <w:szCs w:val="21"/>
          <w:color w:val="auto"/>
        </w:rPr>
        <w:t>. Except as disclosed in the SEC Documents: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Securities Act (except pursuant to this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 dilution or similar provisions that will be triggered by the issuance of the Shares; and (F) neither the Company nor any Subsidiary has entered into any Variable Rate Transaction.</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5.13Intellectual Property Rights</w:t>
      </w:r>
      <w:r>
        <w:rPr>
          <w:rFonts w:ascii="Times New Roman" w:cs="Times New Roman" w:eastAsia="Times New Roman" w:hAnsi="Times New Roman"/>
          <w:sz w:val="22"/>
          <w:szCs w:val="22"/>
          <w:color w:val="auto"/>
        </w:rPr>
        <w:t>.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if any, necessary to conduct their respective businesses as now conducted, except as would not cause a Material Adverse Effect. The Company and its Subsidiaries have not received written notice of any infringement by the Company or its Subsidiaries of trademark, trade name rights, patents, patent rights, copyrights, inventions, licenses, service names, service marks, service mark registrations, or trade secrets, except as would not cause a Material Adverse Effect. To the knowledge of the Company, there is no claim,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 w:name="page25"/>
    <w:bookmarkEnd w:id="24"/>
    <w:p>
      <w:pPr>
        <w:jc w:val="both"/>
        <w:spacing w:after="0" w:line="239" w:lineRule="auto"/>
        <w:rPr>
          <w:sz w:val="20"/>
          <w:szCs w:val="20"/>
          <w:color w:val="auto"/>
        </w:rPr>
      </w:pPr>
      <w:r>
        <w:rPr>
          <w:rFonts w:ascii="Times New Roman" w:cs="Times New Roman" w:eastAsia="Times New Roman" w:hAnsi="Times New Roman"/>
          <w:sz w:val="22"/>
          <w:szCs w:val="22"/>
          <w:color w:val="auto"/>
        </w:rPr>
        <w:t>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and, except as would not cause a Material Adverse Effect, the Company is not aware of any facts or circumstances which might give rise to any of the foregoing.</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5.14Employee Relations</w:t>
      </w:r>
      <w:r>
        <w:rPr>
          <w:rFonts w:ascii="Times New Roman" w:cs="Times New Roman" w:eastAsia="Times New Roman" w:hAnsi="Times New Roman"/>
          <w:sz w:val="22"/>
          <w:szCs w:val="22"/>
          <w:color w:val="auto"/>
        </w:rPr>
        <w:t>. Neither the Company nor any of its Subsidiaries is involved in any labor dispute nor, to the knowledge of the Company or any of its Subsidiaries, is any such dispute threatened, in each case which is reasonably likely to cause a Material Adverse Effect.</w:t>
      </w:r>
    </w:p>
    <w:p>
      <w:pPr>
        <w:spacing w:after="0" w:line="20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5.15Environmental Laws</w:t>
      </w:r>
      <w:r>
        <w:rPr>
          <w:rFonts w:ascii="Times New Roman" w:cs="Times New Roman" w:eastAsia="Times New Roman" w:hAnsi="Times New Roman"/>
          <w:sz w:val="22"/>
          <w:szCs w:val="22"/>
          <w:color w:val="auto"/>
        </w:rPr>
        <w:t>. The Company and its Subsidiaries (i) have not received written notice alleging any failure to comply in all material respects with all Environmental Laws (as defined below), (ii) have received all permits, licenses or other approvals required of them under applicable Environmental Laws to conduct their respective businesses and (iii) have not received written notice alleging any failure to comply with all terms and conditions of any such permit, license or approval where, in each of the foregoing clauses (i), (ii) and (iii), the failure to so comply would be reasonably expected to have, individually or in the aggregate, a Material Adverse Effect. The term “</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applicable federal, state and local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5.16Title</w:t>
      </w:r>
      <w:r>
        <w:rPr>
          <w:rFonts w:ascii="Times New Roman" w:cs="Times New Roman" w:eastAsia="Times New Roman" w:hAnsi="Times New Roman"/>
          <w:sz w:val="22"/>
          <w:szCs w:val="22"/>
          <w:color w:val="auto"/>
        </w:rPr>
        <w:t>. Except as would not cause a Material Adverse Effect, the Company (or its Subsidiaries) has indefeasible fee simple or leasehold title to its properties and material assets owned by it, free and clear of any pledge, lien, security interest, encumbrance, claim or equitable interest other than such as are not material to the business of the Company and other than for the debentures in favor of Apeiron Investment Group Ltd dated respectively 16 December 2021 and 21 November 2022 and the debenture in favor of GLAS Trust Corporation Limited (as security agent) dated 23 May 2023. Any real property and facilities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5.17Insurance</w:t>
      </w:r>
      <w:r>
        <w:rPr>
          <w:rFonts w:ascii="Times New Roman" w:cs="Times New Roman" w:eastAsia="Times New Roman" w:hAnsi="Times New Roman"/>
          <w:sz w:val="22"/>
          <w:szCs w:val="22"/>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The Company has no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 w:name="page26"/>
    <w:bookmarkEnd w:id="25"/>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5.18Regulatory Permits</w:t>
      </w:r>
      <w:r>
        <w:rPr>
          <w:rFonts w:ascii="Times New Roman" w:cs="Times New Roman" w:eastAsia="Times New Roman" w:hAnsi="Times New Roman"/>
          <w:sz w:val="22"/>
          <w:szCs w:val="22"/>
          <w:color w:val="auto"/>
        </w:rPr>
        <w:t>. Except as would not cause a Material Adverse Effect, the Company and its Subsidiaries possess all material certificates, authorizations and permits issued by the appropriate federal, state or foreign regulatory authorities necessary to own their respective businesses, and neither the Company nor any such Subsidiary has received any written notice of proceedings relating to the revocation or modification of any such certificate, authorization or permits.</w:t>
      </w:r>
    </w:p>
    <w:p>
      <w:pPr>
        <w:spacing w:after="0" w:line="2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5.19Internal Accounting Controls</w:t>
      </w:r>
      <w:r>
        <w:rPr>
          <w:rFonts w:ascii="Times New Roman" w:cs="Times New Roman" w:eastAsia="Times New Roman" w:hAnsi="Times New Roman"/>
          <w:sz w:val="22"/>
          <w:szCs w:val="22"/>
          <w:color w:val="auto"/>
        </w:rPr>
        <w:t>.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management is not aware of any material weaknesses that are not disclosed in the SEC Documents as and when required.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u w:val="single" w:color="auto"/>
          <w:color w:val="auto"/>
        </w:rPr>
        <w:t>Section 5.20Absence of Litigation</w:t>
      </w:r>
      <w:r>
        <w:rPr>
          <w:rFonts w:ascii="Times New Roman" w:cs="Times New Roman" w:eastAsia="Times New Roman" w:hAnsi="Times New Roman"/>
          <w:sz w:val="21"/>
          <w:szCs w:val="21"/>
          <w:color w:val="auto"/>
        </w:rPr>
        <w:t>. There is no action, suit, proceeding, inquiry or investigation before or by any court, public board, government agency, self-regulatory organization or body pending against or affecting the Company, the Common Shares or any of the Company’s Subsidiaries, wherein an unfavorable decision, ruling or finding would have a Material Adverse Effect.</w:t>
      </w:r>
    </w:p>
    <w:p>
      <w:pPr>
        <w:spacing w:after="0" w:line="18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5.21Subsidiaries</w:t>
      </w:r>
      <w:r>
        <w:rPr>
          <w:rFonts w:ascii="Times New Roman" w:cs="Times New Roman" w:eastAsia="Times New Roman" w:hAnsi="Times New Roman"/>
          <w:sz w:val="22"/>
          <w:szCs w:val="22"/>
          <w:color w:val="auto"/>
        </w:rPr>
        <w:t>. As of the date hereof, the Company has no direct or indirect subsidiaries, except as disclosed in the SEC Documents.</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5.22Tax Status</w:t>
      </w:r>
      <w:r>
        <w:rPr>
          <w:rFonts w:ascii="Times New Roman" w:cs="Times New Roman" w:eastAsia="Times New Roman" w:hAnsi="Times New Roman"/>
          <w:sz w:val="22"/>
          <w:szCs w:val="22"/>
          <w:color w:val="auto"/>
        </w:rPr>
        <w:t>. Each of the Company and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 Company has not received written notification of any unpaid taxes in any material amount claimed to be due by the taxing authority of any jurisdiction, and the officers of the Company and its Subsidiaries know of no basis for any such claim where failure to pay would cause a Material Adverse Effect.</w:t>
      </w:r>
    </w:p>
    <w:p>
      <w:pPr>
        <w:spacing w:after="0" w:line="20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5.23Certain Transactions</w:t>
      </w:r>
      <w:r>
        <w:rPr>
          <w:rFonts w:ascii="Times New Roman" w:cs="Times New Roman" w:eastAsia="Times New Roman" w:hAnsi="Times New Roman"/>
          <w:sz w:val="22"/>
          <w:szCs w:val="22"/>
          <w:color w:val="auto"/>
        </w:rPr>
        <w:t>. Except as not required to be disclosed pursuant to Applicable Laws, none of the officers or directors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or otherwise requiring payments to or from or the issue of shares to any officer or director, or to the knowledge of the Company, any corporation, partnership, trust or other entity in which any officer or director has a substantial interest or is an officer, director, trustee or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5.24Rights of First Refusal</w:t>
      </w:r>
      <w:r>
        <w:rPr>
          <w:rFonts w:ascii="Times New Roman" w:cs="Times New Roman" w:eastAsia="Times New Roman" w:hAnsi="Times New Roman"/>
          <w:sz w:val="22"/>
          <w:szCs w:val="22"/>
          <w:color w:val="auto"/>
        </w:rPr>
        <w:t>. The Company is not obligated to offer the Promissory. Notes or the Common Shares offered hereunder on a right of first refusal basis to any third parties including, but not limited to, current or former shareholders of the Company, underwriters, brokers, agents or other third parties.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5.25Dilution</w:t>
      </w:r>
      <w:r>
        <w:rPr>
          <w:rFonts w:ascii="Times New Roman" w:cs="Times New Roman" w:eastAsia="Times New Roman" w:hAnsi="Times New Roman"/>
          <w:sz w:val="22"/>
          <w:szCs w:val="22"/>
          <w:color w:val="auto"/>
        </w:rPr>
        <w:t>. The Company is aware and acknowledges that issuance of Common Shares hereunder could cause dilution to existing shareholders and could significantly increase the outstanding number of Common Shares.</w:t>
      </w:r>
    </w:p>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5.26Acknowledgment Regarding Investor’s Purchase of Shares</w:t>
      </w:r>
      <w:r>
        <w:rPr>
          <w:rFonts w:ascii="Times New Roman" w:cs="Times New Roman" w:eastAsia="Times New Roman" w:hAnsi="Times New Roman"/>
          <w:sz w:val="22"/>
          <w:szCs w:val="22"/>
          <w:color w:val="auto"/>
        </w:rPr>
        <w:t>. The Company acknowledges and agrees that the Investor is acting solely in the capacity of an arm’s length investor with respect to this Agreement and the transactions contemplated hereunder. The Company further acknowledges that the Investor is not acting as a financial advisor or fiduciary of the Company (or in any similar capacity) with respect to this Agreement and the transactions contemplated hereunder and any advice given by the Investor or any of its representatives or agents in connection with this Agreement and the transactions contemplated hereunder is merely incidental to the Investor’s purchase of the Shares hereunder or the Promissory Note. The Company is aware and acknowledges that it shall not be able to request Advances under this Agreement if the Registration Statement is not effective or if any issuances of Common Shares pursuant to any Advances would violate any rules of the Principal Market. The Company acknowledged and agrees that it is capable of evaluating and understanding, and understands and accepts, the terms, risks and conditions of the transactions contemplated by this Agreement.</w:t>
      </w:r>
    </w:p>
    <w:p>
      <w:pPr>
        <w:spacing w:after="0" w:line="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u w:val="single" w:color="auto"/>
          <w:color w:val="auto"/>
        </w:rPr>
        <w:t>Section 5.27Finder’s Fees</w:t>
      </w:r>
      <w:r>
        <w:rPr>
          <w:rFonts w:ascii="Times New Roman" w:cs="Times New Roman" w:eastAsia="Times New Roman" w:hAnsi="Times New Roman"/>
          <w:sz w:val="22"/>
          <w:szCs w:val="22"/>
          <w:color w:val="auto"/>
        </w:rPr>
        <w:t>. Neither the Company nor any of the Subsidiaries has incurred any liability for any finder’s fees, brokerage commissions or similar payments in connection with the transactions herein contemplated.</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5.28Relationship of the Parties</w:t>
      </w:r>
      <w:r>
        <w:rPr>
          <w:rFonts w:ascii="Times New Roman" w:cs="Times New Roman" w:eastAsia="Times New Roman" w:hAnsi="Times New Roman"/>
          <w:sz w:val="22"/>
          <w:szCs w:val="22"/>
          <w:color w:val="auto"/>
        </w:rPr>
        <w:t>. Neither the Company, nor any of its subsidiaries, affiliates, nor any person acting on its or their behalf is a client or customer of the Investor or any of its affiliates and neither the Investor nor any of its affiliates has provided, or will provide, any services to the Company or any of its affiliates, its subsidiaries, or any person acting on its or their behalf. The Investor’s relationship to Company is solely as investor as provided for in the Transaction Documents.</w:t>
      </w:r>
    </w:p>
    <w:p>
      <w:pPr>
        <w:spacing w:after="0" w:line="20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5.29Operations</w:t>
      </w:r>
      <w:r>
        <w:rPr>
          <w:rFonts w:ascii="Times New Roman" w:cs="Times New Roman" w:eastAsia="Times New Roman" w:hAnsi="Times New Roman"/>
          <w:sz w:val="22"/>
          <w:szCs w:val="22"/>
          <w:color w:val="auto"/>
        </w:rPr>
        <w:t>. The operations of the Company and its Subsidiaries are and have been conducted at all times in compliance with the Applicable Law and neither the Company nor the Subsidiaries, nor any director, officer, or employee of the Company or any Subsidiary nor, to the Company’s knowledge, any agent, affiliate or other person acting on behalf of the Company or any Subsidiary has, not complied with Applicable Law; and no action, suit or proceeding by or before any governmental authority involving the Company or any of its Subsidiaries with respect to Applicable Laws is pending or, to the knowledge of the Company, threatened.</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5.30Forward-Looking Statements</w:t>
      </w:r>
      <w:r>
        <w:rPr>
          <w:rFonts w:ascii="Times New Roman" w:cs="Times New Roman" w:eastAsia="Times New Roman" w:hAnsi="Times New Roman"/>
          <w:sz w:val="22"/>
          <w:szCs w:val="22"/>
          <w:color w:val="auto"/>
        </w:rPr>
        <w:t>. No forward-looking statement (within the meaning of Section 27A of the Securities Act and Section 21E of the Exchange Act) contained in the Registration Statement or a Prospectus has been made or reaffirmed without a reasonable basis or has been disclosed other than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5.31Compliance with Laws</w:t>
      </w:r>
      <w:r>
        <w:rPr>
          <w:rFonts w:ascii="Times New Roman" w:cs="Times New Roman" w:eastAsia="Times New Roman" w:hAnsi="Times New Roman"/>
          <w:sz w:val="22"/>
          <w:szCs w:val="22"/>
          <w:color w:val="auto"/>
        </w:rPr>
        <w:t>. The Company and each of its Subsidiaries are in compliance with Applicable Laws; the Company has not received a notice of non-compliance, nor knows of, nor has reasonable grounds to know of, any facts that any director, officer, or employee of the Company or any Subsidiary nor, to the Company’s knowledge, any agent, affiliate or other person acting on behalf of the Company or any Subsidiary has, which amount to non-compliance with Applicable Laws, in each case that would have a Material Adverse Effect.</w:t>
      </w:r>
    </w:p>
    <w:p>
      <w:pPr>
        <w:spacing w:after="0" w:line="20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5.32Sanctions Matters</w:t>
      </w:r>
      <w:r>
        <w:rPr>
          <w:rFonts w:ascii="Times New Roman" w:cs="Times New Roman" w:eastAsia="Times New Roman" w:hAnsi="Times New Roman"/>
          <w:sz w:val="22"/>
          <w:szCs w:val="22"/>
          <w:color w:val="auto"/>
        </w:rPr>
        <w:t>. Neither the Company nor any of its Subsidiaries or, to the knowledge of the Company, any director, officer or controlled affiliate of the Company or any director or officer of any Subsidiary, is a Person that is, or is owned or controlled by a Person that is (i) the subject of any sanctions administered or enforced by the U.S. Department of Treasury’s Office of Foreign Asset Control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the United Nations Security Council, the European Union, His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or (ii) located, organized or resident in a country or territory that is the subject of Sanctions that broadly prohibit dealings with that country or territory (including, without limitation, the Crimea region, the Donetsk People’s Republic and Luhansk People’s Republic in Ukraine, Cuba, Iran, North Korea, Russia, Sudan and Syria (the “</w:t>
      </w:r>
      <w:r>
        <w:rPr>
          <w:rFonts w:ascii="Times New Roman" w:cs="Times New Roman" w:eastAsia="Times New Roman" w:hAnsi="Times New Roman"/>
          <w:sz w:val="22"/>
          <w:szCs w:val="22"/>
          <w:u w:val="single" w:color="auto"/>
          <w:color w:val="auto"/>
        </w:rPr>
        <w:t>Sanctioned Countries</w:t>
      </w:r>
      <w:r>
        <w:rPr>
          <w:rFonts w:ascii="Times New Roman" w:cs="Times New Roman" w:eastAsia="Times New Roman" w:hAnsi="Times New Roman"/>
          <w:sz w:val="22"/>
          <w:szCs w:val="22"/>
          <w:color w:val="auto"/>
        </w:rPr>
        <w:t>”) (but other than China). Neither the Company nor any of its Subsidiaries will, directly or indirectly, use the proceeds from the sale of Advance Shares or any Pre-Paid Advance, or lend, contribute or otherwise make available such proceeds to any subsidiary, joint venture partner or other Person (a) for the purpose of funding or facilitating any activities or business of or with any Person or in any country or territory that, at the time of such funding or facilitation, is the subject of Sanctions or is a Sanctioned Country, to the extent of the sanctions program applicable to such country, or (b) in any other manner that will result in a violation of Sanctions or Applicable Laws by any Person (including any Person participating in the transactions contemplated by this Agreement, whether as underwriter, advisor, investor or otherwise). For the past five years, neither the Company nor any of its Subsidiaries has engaged in, and is now not engaged in, any dealings or transactions with any Person, or in any country or territory, that at the time of the dealing or transaction is or was the subject of Sanctions or was a Sanctioned Country, to the extent of the sanctions program applicable to such country. Neither the Company nor any of its Subsidiaries nor any director, officer or controlled affiliate of the Company or any of its Subsidiaries, has ever had funds blocked by a United States bank or financial institution, temporarily or otherwise, as a result of OFAC concerns.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VI.RESERVED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 Indemnification</w:t>
      </w:r>
    </w:p>
    <w:p>
      <w:pPr>
        <w:spacing w:after="0" w:line="2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The Investor and the Company represent to the other the following with respect to itself:</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7.01Indemnification by the Company</w:t>
      </w:r>
      <w:r>
        <w:rPr>
          <w:rFonts w:ascii="Times New Roman" w:cs="Times New Roman" w:eastAsia="Times New Roman" w:hAnsi="Times New Roman"/>
          <w:sz w:val="22"/>
          <w:szCs w:val="22"/>
          <w:color w:val="auto"/>
        </w:rPr>
        <w:t>. In consideration of the Investor’s execution and delivery of this Agreement and acquiring the Shares hereunder the Company shall defend, protect,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both"/>
        <w:spacing w:after="0" w:line="231" w:lineRule="auto"/>
        <w:rPr>
          <w:sz w:val="20"/>
          <w:szCs w:val="20"/>
          <w:color w:val="auto"/>
        </w:rPr>
      </w:pPr>
      <w:r>
        <w:rPr>
          <w:rFonts w:ascii="Times New Roman" w:cs="Times New Roman" w:eastAsia="Times New Roman" w:hAnsi="Times New Roman"/>
          <w:sz w:val="22"/>
          <w:szCs w:val="22"/>
          <w:color w:val="auto"/>
        </w:rPr>
        <w:t>indemnify and hold harmless the Investor and its investment manager, Yorkville Advisors Global, LP, and each of their respective officers, directors, managers, members, partners, employees and agents (including, without limitation, with respect to the Investor and its investment manager, those retained in connection with the transactions contemplated by this Agreement) and each person who controls the Investor within the meaning of Section 15 of the Securities Act or Section 20 of the Exchange Act (collectively, the “</w:t>
      </w:r>
      <w:r>
        <w:rPr>
          <w:rFonts w:ascii="Times New Roman" w:cs="Times New Roman" w:eastAsia="Times New Roman" w:hAnsi="Times New Roman"/>
          <w:sz w:val="22"/>
          <w:szCs w:val="22"/>
          <w:u w:val="single" w:color="auto"/>
          <w:color w:val="auto"/>
        </w:rPr>
        <w:t>Investor Indemnitees</w:t>
      </w:r>
      <w:r>
        <w:rPr>
          <w:rFonts w:ascii="Times New Roman" w:cs="Times New Roman" w:eastAsia="Times New Roman" w:hAnsi="Times New Roman"/>
          <w:sz w:val="22"/>
          <w:szCs w:val="22"/>
          <w:color w:val="auto"/>
        </w:rPr>
        <w:t>”) from and against any and all actions, causes of action, suits, claims, losses, costs, penalties, fees, liabilities and damages, and reasonable and documented expenses in connection therewith (irrespective of whether any such Armada Indemnitee or Investor Indemnitee is a party to the action for which indemnification hereunder is sought), and including reasonable attorneys’ fees and disbursements (the “</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xml:space="preserve">”), incurred respectively by the Armada Indemnitees or the Investor Indemnitees or any of them to the extent arising out of or as a result of,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the Investor specifically for inclusion therein; (b) any material misrepresentation or breach of any material representation or material warranty made by the Company in this Agreement or any other certificate, instrument or document contemplated hereby or thereby; or (c) any material breach of any material covenant, material agreement or material obligation of the Company contained in this Agreement or any other certificate, instrument or document contemplated hereby or thereby. To the extent that the foregoing undertaking by the Company may be unenforceable under Applicable Law, the Company shall make the maximum contribution to the payment and satisfaction of each of the Indemnified Liabilities, which is permissible under Applicable Law.</w:t>
      </w:r>
    </w:p>
    <w:p>
      <w:pPr>
        <w:spacing w:after="0" w:line="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u w:val="single" w:color="auto"/>
          <w:color w:val="auto"/>
        </w:rPr>
        <w:t>Section 7.02Indemnification by the Investor</w:t>
      </w:r>
      <w:r>
        <w:rPr>
          <w:rFonts w:ascii="Times New Roman" w:cs="Times New Roman" w:eastAsia="Times New Roman" w:hAnsi="Times New Roman"/>
          <w:sz w:val="21"/>
          <w:szCs w:val="21"/>
          <w:color w:val="auto"/>
        </w:rPr>
        <w:t>. In consideration of the Company’s execution and delivery of this Agreement, and in addition to all of the Investor’s other obligations under this Agreement, the Investor shall defend, protect, indemnify and hold harmless the Company and all of its officers, directors, shareholders, employees and agents (including, without limitation, those retained in connection with the transactions contemplated by this Agreement) and each person who controls the Company within the meaning of Section 15 of the Securities Act or Section 20 of the Exchange Act (collectively, the “</w:t>
      </w:r>
      <w:r>
        <w:rPr>
          <w:rFonts w:ascii="Times New Roman" w:cs="Times New Roman" w:eastAsia="Times New Roman" w:hAnsi="Times New Roman"/>
          <w:sz w:val="21"/>
          <w:szCs w:val="21"/>
          <w:u w:val="single" w:color="auto"/>
          <w:color w:val="auto"/>
        </w:rPr>
        <w:t>Company Indemnitees</w:t>
      </w:r>
      <w:r>
        <w:rPr>
          <w:rFonts w:ascii="Times New Roman" w:cs="Times New Roman" w:eastAsia="Times New Roman" w:hAnsi="Times New Roman"/>
          <w:sz w:val="21"/>
          <w:szCs w:val="21"/>
          <w:color w:val="auto"/>
        </w:rPr>
        <w:t xml:space="preserve">”) from and against any and all Indemnified Liabilities incurred by the Company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Investor will only be liable for written information relating to the Investor furnished to the Company by or on behalf of the Investor specifically for inclusion in the documents referred to in the foregoing indemnity; (b) any misrepresentation or breach of any representation or warranty made by the Investor in this Agreement or any instrument or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 w:name="page30"/>
    <w:bookmarkEnd w:id="29"/>
    <w:p>
      <w:pPr>
        <w:jc w:val="both"/>
        <w:spacing w:after="0" w:line="238" w:lineRule="auto"/>
        <w:rPr>
          <w:sz w:val="20"/>
          <w:szCs w:val="20"/>
          <w:color w:val="auto"/>
        </w:rPr>
      </w:pPr>
      <w:r>
        <w:rPr>
          <w:rFonts w:ascii="Times New Roman" w:cs="Times New Roman" w:eastAsia="Times New Roman" w:hAnsi="Times New Roman"/>
          <w:sz w:val="22"/>
          <w:szCs w:val="22"/>
          <w:color w:val="auto"/>
        </w:rPr>
        <w:t>contemplated hereby or thereby executed by the Investor; or (c) any breach of any covenant, agreement or obligation of the Investor contained in this Agreement or any other certificate, instrument or document contemplated hereby or thereby executed by the Investor. To the extent that the foregoing undertaking by the Investor may be unenforceable under Applicable Laws, the Investor shall make the maximum contribution to the payment and satisfaction of each of the Indemnified Liabilities, which is permissible under Applicable Laws.</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u w:val="single" w:color="auto"/>
          <w:color w:val="auto"/>
        </w:rPr>
        <w:t>Section 7.03Notice of Claim</w:t>
      </w:r>
      <w:r>
        <w:rPr>
          <w:rFonts w:ascii="Times New Roman" w:cs="Times New Roman" w:eastAsia="Times New Roman" w:hAnsi="Times New Roman"/>
          <w:sz w:val="21"/>
          <w:szCs w:val="21"/>
          <w:color w:val="auto"/>
        </w:rPr>
        <w:t>. Promptly after receipt by an Investor Indemnitee, Armada Indemnitee, or Company Indemnitee of notice of the commencement of any action or proceeding (including any governmental action or proceeding) involving an Indemnified Liability, such Investor Indemnitee, Armada Indemnitee, or Company Indemnitee, as applicable, shall, if a claim for an Indemnified Liability in respect thereof is to be made against any indemnifying party under this Article VII, deliver to the indemnifying party a written notice of the commencement thereof; but the failure to so notify the indemnifying party will not relieve it of liability under this Article VII except to the extent the indemnifying party is prejudiced by such failure. The indemnifying party shall have the right to participate in, and, to the extent the indemnifying party so desires, jointly with any other indemnifying party similarly noticed, to assume control of the defense thereof with counsel mutually reasonably satisfactory to the indemnifying party and the Investor Indemnitee, Armada Indemnitee, or Company Indemnitee, as the case may be; provided, however, that an Investor Indemnitee, Armada Indemnitee, or Company Indemnitee shall have the right to retain its own counsel with the actual and reasonable third party fees and expenses of not more than one counsel for such Investor Indemnitee, Armada Indemnitee or Company Indemnitee to be paid by the indemnifying party, if, in the reasonable opinion of counsel retained by the indemnifying party, the representation by such counsel of the Investor Indemnitee, Armada Indemnitee or Company Indemnitee and the indemnifying party would be inappropriate due to actual or potential differing interests between such Investor Indemnitee, Armada Indemnitee or Company Indemnitee and any other party represented by such counsel in such proceeding. The Investor Indemnitee, Armada Indemnitee or Company Indemnitee shall cooperate fully with the indemnifying party in connection with any negotiation or defense of any such action or claim by the indemnifying party and shall furnish to the indemnifying party all information reasonably available to the Investor Indemnitee, Armada Indemnitee or Company Indemnitee which relates to such action or claim. The indemnifying party shall keep the Investor Indemnitee, Armada Indemnitee or Company Indemnitee reasonably apprised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Investor Indemnitee, Armada Indemnitee or Company Indemnitee, consent to entry of any judgment or enter into any settlement or other compromise which does not include as an unconditional term thereof the giving by the claimant or plaintiff to such Investor Indemnitee, Armada Indemnitee or Company Indemnitee of a release from all liability in respect to such claim or litigation. Following indemnification as provided for hereunder, the indemnifying party shall be subrogated to all rights of the Investor Indemnitee, Armada Indemnitee or Company Indemnitee with respect to all third parties, firms or corporations relating to the matter for which indemnification has been made. The indemnification required by this Article VII shall be made by periodic payments of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thereof during the course of the investigation or defense, as and when bills are received and payment therefor is due.</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7.04Remedies</w:t>
      </w:r>
      <w:r>
        <w:rPr>
          <w:rFonts w:ascii="Times New Roman" w:cs="Times New Roman" w:eastAsia="Times New Roman" w:hAnsi="Times New Roman"/>
          <w:sz w:val="22"/>
          <w:szCs w:val="22"/>
          <w:color w:val="auto"/>
        </w:rPr>
        <w:t>. The remedies provided for in this Article VI are not exclusive and shall not limit any right or remedy which may be available to any indemnified person at law or equity. The obligations of the parties to indemnify or make contribution under this Article VII shall survive expiration or termination of this Agreement.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7.05Limitation of liability</w:t>
      </w:r>
      <w:r>
        <w:rPr>
          <w:rFonts w:ascii="Times New Roman" w:cs="Times New Roman" w:eastAsia="Times New Roman" w:hAnsi="Times New Roman"/>
          <w:sz w:val="22"/>
          <w:szCs w:val="22"/>
          <w:color w:val="auto"/>
        </w:rPr>
        <w:t>. Notwithstanding the foregoing, no party shall be entitled to recover from the other party for punitive, indirect, incidental or consequential damages.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covenants with the Investor, and the Investor covenants with the Company, as follows, which covenants of one party are for the benefit of the other party, during the Commitment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8.01Registration Statement</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u w:val="single" w:color="auto"/>
          <w:color w:val="auto"/>
        </w:rPr>
        <w:t>(a)Filing of a Registration Statement</w:t>
      </w:r>
      <w:r>
        <w:rPr>
          <w:rFonts w:ascii="Times New Roman" w:cs="Times New Roman" w:eastAsia="Times New Roman" w:hAnsi="Times New Roman"/>
          <w:sz w:val="22"/>
          <w:szCs w:val="22"/>
          <w:color w:val="auto"/>
        </w:rPr>
        <w:t xml:space="preserve">. The Company shall prepare and file with the SEC a Registration Statement, or multiple Registration Statements for the resale by the Investor of the Registrable Securities, subject to closing of the Business Combination and pursuant to and in accordance with the Registration Rights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for the avoidance of doubt, the Company shall not have the ability to request any Advances until the effectiveness of a Registration Statement.</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u w:val="single" w:color="auto"/>
          <w:color w:val="auto"/>
        </w:rPr>
        <w:t>(b)Maintaining a Registration Statement</w:t>
      </w:r>
      <w:r>
        <w:rPr>
          <w:rFonts w:ascii="Times New Roman" w:cs="Times New Roman" w:eastAsia="Times New Roman" w:hAnsi="Times New Roman"/>
          <w:sz w:val="22"/>
          <w:szCs w:val="22"/>
          <w:color w:val="auto"/>
        </w:rPr>
        <w:t xml:space="preserve">. The Company shall maintain the effectiveness of any Registration Statement that has been declared effective at all times during the Commitment Period, provided, however, that if the Company has received notification pursuant to Section 3.04 that the Investor has completed resales pursuant to the Registration Statement for the full Commitment Amount, then the Company shall be under no further obligation to maintain the effectiveness of the Registration Statement. Notwithstanding anything to the contrary contained in this Agreement, the Company shall ensure that, when filed,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provided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will not be liable in any such case to the extent that any loss, claim, damage or liability arises out of or is based upon any such untrue statement or alleged untrue statement or omission or alleged omission made therein in reliance upon and in conformity with written information furnished to the Company by or on behalf of the Investor specifically for inclusion therein. During the Commitment Period, the Company shall notify the Investor promptly if (i) the Registration Statement shall cease to be effective under the Securities Act, (ii) the Common Shares shall cease to be authorized for listing on the Principal Market, (iii) the Common Shares cease to be registered under Section 12(b) or Section 12(g) of the Exchange Act or (iv)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22"/>
          <w:szCs w:val="22"/>
          <w:color w:val="auto"/>
        </w:rPr>
        <w:t>Company fails to file in a timely manner all reports and other documents required of it as a reporting company under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8.02Suspension of Registration Statement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u w:val="single" w:color="auto"/>
          <w:color w:val="auto"/>
        </w:rPr>
        <w:t>(a)Establishment of a Black Out Period</w:t>
      </w:r>
      <w:r>
        <w:rPr>
          <w:rFonts w:ascii="Times New Roman" w:cs="Times New Roman" w:eastAsia="Times New Roman" w:hAnsi="Times New Roman"/>
          <w:sz w:val="21"/>
          <w:szCs w:val="21"/>
          <w:color w:val="auto"/>
        </w:rPr>
        <w:t>. During the Commitment Period, the Company from time to time may suspend the use of the Registration Statement by written notice to the Investor in the event that the Company determines in its sole discretion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Registration Statement or Prospectus so that such Registration Statement or Prospectus shall not include an untrue statement of a material fact or omit to state a material fact required to be stated therein or necessary to make the statements therein, in light of the circumstances under which they were made, not misleading (a “</w:t>
      </w:r>
      <w:r>
        <w:rPr>
          <w:rFonts w:ascii="Times New Roman" w:cs="Times New Roman" w:eastAsia="Times New Roman" w:hAnsi="Times New Roman"/>
          <w:sz w:val="21"/>
          <w:szCs w:val="21"/>
          <w:u w:val="single" w:color="auto"/>
          <w:color w:val="auto"/>
        </w:rPr>
        <w:t>Black Out Period</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(b)No Sales by Investor During the Black Out Period</w:t>
      </w:r>
      <w:r>
        <w:rPr>
          <w:rFonts w:ascii="Times New Roman" w:cs="Times New Roman" w:eastAsia="Times New Roman" w:hAnsi="Times New Roman"/>
          <w:sz w:val="22"/>
          <w:szCs w:val="22"/>
          <w:color w:val="auto"/>
        </w:rPr>
        <w:t>. During such Black Out Period, the Investor agrees not to sell any Common Shares of the Company pursuant to such Registration Statement, but may sell shares pursuant to an exemption from registration, if available, subject to the Investor’s compliance with Applicable Laws.</w:t>
      </w:r>
    </w:p>
    <w:p>
      <w:pPr>
        <w:spacing w:after="0" w:line="20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(c)Limitations on the Black Out Period</w:t>
      </w:r>
      <w:r>
        <w:rPr>
          <w:rFonts w:ascii="Times New Roman" w:cs="Times New Roman" w:eastAsia="Times New Roman" w:hAnsi="Times New Roman"/>
          <w:sz w:val="22"/>
          <w:szCs w:val="22"/>
          <w:color w:val="auto"/>
        </w:rPr>
        <w:t>. The Company shall not impose any Black Out Period that is longer than 15 days or in a manner that is more restrictive (including, without limitation, as to duration) than the comparable restrictions that the Company may impose on transfers of the Company’s equity securities by its directors and senior executive officers. In addition, the Company shall not deliver any Advance Notice during any Black Out Period. If the public announcement of such material, nonpublic information is made during a Black Out Period, the Black Out Period shall terminate immediately after such announcement, and the Company shall immediately notify the Investor of the termination of the Black Out Period.</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8.03Listing of Common Shares</w:t>
      </w:r>
      <w:r>
        <w:rPr>
          <w:rFonts w:ascii="Times New Roman" w:cs="Times New Roman" w:eastAsia="Times New Roman" w:hAnsi="Times New Roman"/>
          <w:sz w:val="22"/>
          <w:szCs w:val="22"/>
          <w:color w:val="auto"/>
        </w:rPr>
        <w:t>. As of each Advance Date, the Shares to be sold by the Company from time to time hereunder will have been registered under Section 12(b) of the Exchange Act and approved for listing on the Principal Market, subject to official notice of issuance.</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8.04Opinion of Counsel</w:t>
      </w:r>
      <w:r>
        <w:rPr>
          <w:rFonts w:ascii="Times New Roman" w:cs="Times New Roman" w:eastAsia="Times New Roman" w:hAnsi="Times New Roman"/>
          <w:sz w:val="22"/>
          <w:szCs w:val="22"/>
          <w:color w:val="auto"/>
        </w:rPr>
        <w:t>. Prior to the date of the delivery by the Company of the first Advance Notice and the first Subsequent Pre-Paid Advance, the Investor shall have received an opinion letter from counsel to the Company in form and substance reasonably satisfactory to the Investor.</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8.05Exchange Act Registration</w:t>
      </w:r>
      <w:r>
        <w:rPr>
          <w:rFonts w:ascii="Times New Roman" w:cs="Times New Roman" w:eastAsia="Times New Roman" w:hAnsi="Times New Roman"/>
          <w:sz w:val="22"/>
          <w:szCs w:val="22"/>
          <w:color w:val="auto"/>
        </w:rPr>
        <w:t>. The Company will file in a timely manner all reports and other documents required of it as a reporting company under the Exchange Act and will not take any action or file any document (whether or not permitted by Exchange Act or the rules thereunder) to terminate or suspend its reporting and filing obligations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 w:name="page33"/>
    <w:bookmarkEnd w:id="32"/>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8.06Transfer Agent Instructions</w:t>
      </w:r>
      <w:r>
        <w:rPr>
          <w:rFonts w:ascii="Times New Roman" w:cs="Times New Roman" w:eastAsia="Times New Roman" w:hAnsi="Times New Roman"/>
          <w:sz w:val="22"/>
          <w:szCs w:val="22"/>
          <w:color w:val="auto"/>
        </w:rPr>
        <w:t>. For any time while there is a Registration Statement in effect for this transaction, the Company shall (if required by the transfer agent for the Common Shares) cause legal counsel for the Company to deliver to the transfer agent for the Common Shares (with a copy to the Investor) instructions to issue Common Shares to the Investor free of restrictive legends upon each Advance if the delivery of such instructions are consistent with Applicable Law.</w:t>
      </w:r>
    </w:p>
    <w:p>
      <w:pPr>
        <w:spacing w:after="0" w:line="20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8.07Corporate Existence</w:t>
      </w:r>
      <w:r>
        <w:rPr>
          <w:rFonts w:ascii="Times New Roman" w:cs="Times New Roman" w:eastAsia="Times New Roman" w:hAnsi="Times New Roman"/>
          <w:sz w:val="22"/>
          <w:szCs w:val="22"/>
          <w:color w:val="auto"/>
        </w:rPr>
        <w:t>. The Company will use commercially reasonable efforts to preserve and continue the corporate existence of the Company during the Commitment Period.</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u w:val="single" w:color="auto"/>
          <w:color w:val="auto"/>
        </w:rPr>
        <w:t>Section 8.08Notice of Certain Events Affecting Registration; Suspension of Right to Make an Advance</w:t>
      </w:r>
      <w:r>
        <w:rPr>
          <w:rFonts w:ascii="Times New Roman" w:cs="Times New Roman" w:eastAsia="Times New Roman" w:hAnsi="Times New Roman"/>
          <w:sz w:val="21"/>
          <w:szCs w:val="21"/>
          <w:color w:val="auto"/>
        </w:rPr>
        <w:t>. The Company will promptly notify the Investor, and confirm in writing, upon its becoming aware of the occurrence of any of the following events in respect of a Registration Statement or related Prospectus (in each of which cases the information provided to Investor will be kept strictly confidential): (i) except for requests made in connection with SEC investigations disclosed in the SEC Documents, receipt of any request for additional information by the SEC or any other Federal or state governmental authority during the period of effectiveness of the Registration Statement or any request for amendments or supplements to the Registration Statement or related Prospectus; (ii) the issuance by the SEC or any other Federal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Common Shares for sale in any jurisdiction or the initiation or written threat of any proceeding for such purpose; (iv) the happening of any event that makes any statement made in the Registration Statement or related Prospectus or any document incorporated or deemed to be incorporated therein by reference untrue in any material respect and that requires (A) the making of any changes in the Registration Statement, related Prospectus or documents so that, (x) in the case of the Registration Statement, it will not contain any untrue statement of a material fact or omit to state any material fact required to be stated therein or necessary to make the statements therein not misleading, and (y) in the case of the related Prospectus, it will not contain any untrue statement of a material fact or omit to state any material fact required to be stated therein or necessary to make the statements therein, in the light of the circumstances under which they were made, not misleading, or (B) amending the Registration Statement or supplement a related Prospectus to comply with the Securities Act or any other law (and the Company will promptly make available to the Investor any such supplement or amendment to the related Prospectus); (v) the Company’s reasonable determination that a post-effective amendment to the Registration Statement would be required under Applicable Law; (vi) the Common Shares shall cease to be authorized for listing on the Principal Market; or (vii) the Company fails to file in a timely manner all reports and other documents required of it as a reporting company under the Exchange Act. The Company shall not deliver to the Investor any Advance Notice, and the Company shall not sell any Shares pursuant to any pending Advance Notice (other than as required pursuant to Section 2.02(d)), during the continuation of any of the foregoing events (each of the events described in the immediately preceding clauses (i) through (vii), inclusive, a “</w:t>
      </w:r>
      <w:r>
        <w:rPr>
          <w:rFonts w:ascii="Times New Roman" w:cs="Times New Roman" w:eastAsia="Times New Roman" w:hAnsi="Times New Roman"/>
          <w:sz w:val="21"/>
          <w:szCs w:val="21"/>
          <w:u w:val="single" w:color="auto"/>
          <w:color w:val="auto"/>
        </w:rPr>
        <w:t>Material Outside Event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5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8.09Consolidation</w:t>
      </w:r>
      <w:r>
        <w:rPr>
          <w:rFonts w:ascii="Times New Roman" w:cs="Times New Roman" w:eastAsia="Times New Roman" w:hAnsi="Times New Roman"/>
          <w:sz w:val="22"/>
          <w:szCs w:val="22"/>
          <w:color w:val="auto"/>
        </w:rPr>
        <w:t>. If an Advance Notice has been delivered to the Investor, then the Company shall not effect any consolidation of the Company with or into, or a transfer of all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 w:name="page34"/>
    <w:bookmarkEnd w:id="33"/>
    <w:p>
      <w:pPr>
        <w:jc w:val="both"/>
        <w:spacing w:after="0" w:line="244" w:lineRule="auto"/>
        <w:rPr>
          <w:sz w:val="20"/>
          <w:szCs w:val="20"/>
          <w:color w:val="auto"/>
        </w:rPr>
      </w:pPr>
      <w:r>
        <w:rPr>
          <w:rFonts w:ascii="Times New Roman" w:cs="Times New Roman" w:eastAsia="Times New Roman" w:hAnsi="Times New Roman"/>
          <w:sz w:val="22"/>
          <w:szCs w:val="22"/>
          <w:color w:val="auto"/>
        </w:rPr>
        <w:t>substantially all the assets of the Company to another entity before the transaction contemplated in such Advance Notice has been closed in accordance with Section 2.02 hereof, and all Shares in connection with such Advance have been received by the Investor.</w:t>
      </w:r>
    </w:p>
    <w:p>
      <w:pPr>
        <w:spacing w:after="0" w:line="20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8.10Issuance of the Company’s Common Shares.</w:t>
      </w:r>
      <w:r>
        <w:rPr>
          <w:rFonts w:ascii="Times New Roman" w:cs="Times New Roman" w:eastAsia="Times New Roman" w:hAnsi="Times New Roman"/>
          <w:sz w:val="22"/>
          <w:szCs w:val="22"/>
          <w:color w:val="auto"/>
        </w:rPr>
        <w:t xml:space="preserve"> The issuance and sale of the Common Shares hereunder shall be made in accordance with the provisions and requirements of Section 4(a)(2) of the Securities Act and any applicable state securities law.</w:t>
      </w:r>
    </w:p>
    <w:p>
      <w:pPr>
        <w:spacing w:after="0" w:line="20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8.11Expenses</w:t>
      </w:r>
      <w:r>
        <w:rPr>
          <w:rFonts w:ascii="Times New Roman" w:cs="Times New Roman" w:eastAsia="Times New Roman" w:hAnsi="Times New Roman"/>
          <w:sz w:val="22"/>
          <w:szCs w:val="22"/>
          <w:color w:val="auto"/>
        </w:rPr>
        <w:t>. The Company, whether or not the transactions contemplated hereunder are consummated or this Agreement is terminated, will pay all expenses incident to the performance of its obligations hereunder, including but not limited to (i) the preparation, printing and filing of the Registration Statement and each amendment and supplement thereto, of each prospectus and of each amendment and supplement thereto; (ii) the preparation, issuance and delivery of any Shares issued pursuant to this Agreement, (iii) all fees and disbursements of the Company’s counsel, accountants and other advisors (but not, for the avoidance doubt, the fees and disbursements of Investor’s counsel, accountants and other advisors), (iv) the qualification of the Shares under securities laws in accordance with the provisions of this Agreement, including filing fees in connection therewith, (v) the printing and delivery of copies of any prospectus and any amendments or supplements thereto reasonably requested by the Investor, (vi) the fees and expenses incurred in connection with the listing or qualification of the Shares for trading on the Principal Market, or (vii) filing fees of the SEC and the Principal Market. In addition, the Company will promptly reimburse Armada for its expenses incident to the performance of Armada’s obligations hereunder, including, but not limited to, the preparation and filing of the Current Report on Form 8-K contemplated by Section 7.12 hereunder, up to an aggregate amount of $15,000.</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u w:val="single" w:color="auto"/>
          <w:color w:val="auto"/>
        </w:rPr>
        <w:t>Section 8.12Public Disclosures.</w:t>
      </w:r>
      <w:r>
        <w:rPr>
          <w:rFonts w:ascii="Times New Roman" w:cs="Times New Roman" w:eastAsia="Times New Roman" w:hAnsi="Times New Roman"/>
          <w:sz w:val="21"/>
          <w:szCs w:val="21"/>
          <w:color w:val="auto"/>
        </w:rPr>
        <w:t xml:space="preserve"> The Company shall publicly disclose this Agreement on a Form 6-K to be filed with the SEC no later than 9:00 a.m., New York City time, on the first business day after the date of this Agreement. The Company shall provide the Investor and its legal counsel a reasonable opportunity to comment on a draft of the proposed public disclosure prior to filing it with the SEC and shall give due consideration to all such comments. From and after such filing with the SEC, the Company shall have publicly disclosed all material, nonpublic information delivered to the Investor (or the Investor’s representatives or agents) by the Company or any of its Subsidiaries, or any of their respective officers, directors, employees, agents or representatives (if any) in connection with the transactions contemplated by the Transaction Documents. The Company shall not, and the Company shall cause each of its Subsidiaries and each of its and their respective officers, directors, employees and agents not to, provide the Investor with any material, non-public information regarding the Company or any of its Subsidiaries without the express prior written consent of the Investor (which may be granted or withheld in the Investor’s sole discretion); it being understood that the mere notification of Investor required pursuant to Section 8.08(iv) hereof shall not in and of itself be deemed to be material non-public information. Notwithstanding anything contained in this Agreement to the contrary, the Company expressly agrees that it shall publicly disclose any information communicated to the Investor by or, to the knowledge of the Company, on behalf of the Company in connection with the transactions contemplated herein, which, following the date hereof would, if not so disclosed, constitute material, non-public information regarding the Company or its Subsidiaries. The Company understands and confirms that the Investor will rely on the foregoing representations in effecting resales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 w:name="page35"/>
    <w:bookmarkEnd w:id="34"/>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8.13Advance Notice Limitation</w:t>
      </w:r>
      <w:r>
        <w:rPr>
          <w:rFonts w:ascii="Times New Roman" w:cs="Times New Roman" w:eastAsia="Times New Roman" w:hAnsi="Times New Roman"/>
          <w:sz w:val="22"/>
          <w:szCs w:val="22"/>
          <w:color w:val="auto"/>
        </w:rPr>
        <w:t>. The Company shall not deliver an Advance Notice if a shareholder meeting or corporate action date, or the record date for any shareholder meeting or any corporate action, would fall during the period beginning two Trading Days prior to the date of delivery of such Advance Notice and ending two Trading Days following the Closing of such Advance.</w:t>
      </w:r>
    </w:p>
    <w:p>
      <w:pPr>
        <w:spacing w:after="0" w:line="20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8.14Use of Proceeds</w:t>
      </w:r>
      <w:r>
        <w:rPr>
          <w:rFonts w:ascii="Times New Roman" w:cs="Times New Roman" w:eastAsia="Times New Roman" w:hAnsi="Times New Roman"/>
          <w:sz w:val="22"/>
          <w:szCs w:val="22"/>
          <w:color w:val="auto"/>
        </w:rPr>
        <w:t>. The proceeds from the funding of each Pre-Paid Advance and the sale of the Shares by the Company to Investor shall be used by the Company in the manner as will be set forth in the Prospectus included in any Registration Statement (and any post-effective amendment thereto) and any Prospectus Supplement thereto filed pursuant to this Agreement. Neither the Company nor any Subsidiary will, directly or indirectly, use the proceeds of the transactions contemplated herein (including any proceeds from the funding of any Pre-Paid Advance) to repay any advances or loans to any executives, directors, or employees of the Company or any Subsidiary or to make any payments in respect of any related party obligations, including without limitation any payables or notes payable to related parties of the Company or any Subsidiary whether or not such amounts are described on the balance sheets of the Company in any SEC Documents and any Subsidiary or described in any “Related Party Transactions” section of any SEC Documents.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8.15Compliance with Laws</w:t>
      </w:r>
      <w:r>
        <w:rPr>
          <w:rFonts w:ascii="Times New Roman" w:cs="Times New Roman" w:eastAsia="Times New Roman" w:hAnsi="Times New Roman"/>
          <w:sz w:val="22"/>
          <w:szCs w:val="22"/>
          <w:color w:val="auto"/>
        </w:rPr>
        <w:t>. The Company shall comply in all material respects with all Applicable Laws.</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8.16Market Activities</w:t>
      </w:r>
      <w:r>
        <w:rPr>
          <w:rFonts w:ascii="Times New Roman" w:cs="Times New Roman" w:eastAsia="Times New Roman" w:hAnsi="Times New Roman"/>
          <w:sz w:val="22"/>
          <w:szCs w:val="22"/>
          <w:color w:val="auto"/>
        </w:rPr>
        <w:t>. Neither the Company, nor any Subsidiary, nor any of their respective officers, directors or controlling persons will, directly or indirectly, (i) take any action designed to cause or result in, or that constitutes or might reasonably be expected to constitute or result, in the stabilization or manipulation of the price of any security of the Company to facilitate specifically and primarily the sale or resale of Common Shares or (ii) sell, bid for, or purchase Common Shares in violation of Regulation M, or pay anyone any compensation for soliciting purchases of the Shares.</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u w:val="single" w:color="auto"/>
          <w:color w:val="auto"/>
        </w:rPr>
        <w:t>Section 8.17Trading Information</w:t>
      </w:r>
      <w:r>
        <w:rPr>
          <w:rFonts w:ascii="Times New Roman" w:cs="Times New Roman" w:eastAsia="Times New Roman" w:hAnsi="Times New Roman"/>
          <w:sz w:val="21"/>
          <w:szCs w:val="21"/>
          <w:color w:val="auto"/>
        </w:rPr>
        <w:t>. Upon the Company’s request, the Investor agrees to provide the Company with trading reports setting forth the number and average sales prices of shares of Common Stock sold by the Investor during the prior trading week.</w:t>
      </w:r>
    </w:p>
    <w:p>
      <w:pPr>
        <w:spacing w:after="0" w:line="16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8.18Selling Restrictions</w:t>
      </w:r>
      <w:r>
        <w:rPr>
          <w:rFonts w:ascii="Times New Roman" w:cs="Times New Roman" w:eastAsia="Times New Roman" w:hAnsi="Times New Roman"/>
          <w:sz w:val="22"/>
          <w:szCs w:val="22"/>
          <w:color w:val="auto"/>
        </w:rPr>
        <w:t>. (i) The Investor covenants that from and after the date hereof through and including the Trading Day next following the expiration or termination of this Agreement as provided in Section 11.01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none of the Investor any of its officers, or any entity managed or controlled by the Investor (collectively, the “</w:t>
      </w:r>
      <w:r>
        <w:rPr>
          <w:rFonts w:ascii="Times New Roman" w:cs="Times New Roman" w:eastAsia="Times New Roman" w:hAnsi="Times New Roman"/>
          <w:sz w:val="22"/>
          <w:szCs w:val="22"/>
          <w:u w:val="single" w:color="auto"/>
          <w:color w:val="auto"/>
        </w:rPr>
        <w:t>Restricted Persons</w:t>
      </w:r>
      <w:r>
        <w:rPr>
          <w:rFonts w:ascii="Times New Roman" w:cs="Times New Roman" w:eastAsia="Times New Roman" w:hAnsi="Times New Roman"/>
          <w:sz w:val="22"/>
          <w:szCs w:val="22"/>
          <w:color w:val="auto"/>
        </w:rPr>
        <w:t>” and each of the foregoing is referred to herein as a “</w:t>
      </w:r>
      <w:r>
        <w:rPr>
          <w:rFonts w:ascii="Times New Roman" w:cs="Times New Roman" w:eastAsia="Times New Roman" w:hAnsi="Times New Roman"/>
          <w:sz w:val="22"/>
          <w:szCs w:val="22"/>
          <w:u w:val="single" w:color="auto"/>
          <w:color w:val="auto"/>
        </w:rPr>
        <w:t>Restricted Person</w:t>
      </w:r>
      <w:r>
        <w:rPr>
          <w:rFonts w:ascii="Times New Roman" w:cs="Times New Roman" w:eastAsia="Times New Roman" w:hAnsi="Times New Roman"/>
          <w:sz w:val="22"/>
          <w:szCs w:val="22"/>
          <w:color w:val="auto"/>
        </w:rPr>
        <w:t>”) shall, directly or indirectly, engage in any “short sale” (as such term is defined in Rule 200 of Regulation SHO of the Exchange Act) of the Common Shares, either for its own principal account or for the principal account of any other Restricted Person nor shall any Restricted Person during the Restricted Period engage in or enter into directly or indirectly or procure any arrangement, agreement or contract including any derivative, option, swap, futures or other arrangement, agreement or contract involving or related to or calculated by reference to the Common Shares or their prices. The Investor further agrees that during any Pricing Period, no Restricted Persons shall sell or agree to sell (directly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 w:name="page36"/>
    <w:bookmarkEnd w:id="35"/>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indirectly) a number of Common Shares that would exceed the number of Advance Shares set forth in the corresponding Advance Notice.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8.19Assignment</w:t>
      </w:r>
      <w:r>
        <w:rPr>
          <w:rFonts w:ascii="Times New Roman" w:cs="Times New Roman" w:eastAsia="Times New Roman" w:hAnsi="Times New Roman"/>
          <w:sz w:val="22"/>
          <w:szCs w:val="22"/>
          <w:color w:val="auto"/>
        </w:rPr>
        <w:t>. Neither this Agreement nor any rights or obligations of the parties hereto may be assigned to any other Person.</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u w:val="single" w:color="auto"/>
          <w:color w:val="auto"/>
        </w:rPr>
        <w:t>Section 8.20Variable Rate Transaction; Related Party Payments</w:t>
      </w:r>
      <w:r>
        <w:rPr>
          <w:rFonts w:ascii="Times New Roman" w:cs="Times New Roman" w:eastAsia="Times New Roman" w:hAnsi="Times New Roman"/>
          <w:sz w:val="21"/>
          <w:szCs w:val="21"/>
          <w:color w:val="auto"/>
        </w:rPr>
        <w:t>. From the date hereof until the date upon which all Promissory Notes to be issued hereunder has been repaid in full, the Company shall not (A) repay any loans to any executives or employees of the Company or any of its Subsidiaries or to make any payments in respect of any related party debt, and (B) effect or enter into an agreement to effect any issuance by the Company or any of its Subsidiaries of Common Shares or any security which entitles the holder to acquire Common Shares (or a combination of units thereof) involving a Variable Rate Transaction, other than involving a Variable Rate Transaction with the Investor. The Investor shall be entitled to seek injunctive relief against the Company and its Subsidiaries to preclude any such issuance, which remedy shall be in addition to any right to collect damages, without the necessity of showing economic loss and without any bond or other security being required.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 Exclusive Agreement</w:t>
      </w:r>
    </w:p>
    <w:p>
      <w:pPr>
        <w:spacing w:after="0" w:line="209" w:lineRule="exact"/>
        <w:rPr>
          <w:sz w:val="20"/>
          <w:szCs w:val="20"/>
          <w:color w:val="auto"/>
        </w:rPr>
      </w:pPr>
    </w:p>
    <w:p>
      <w:pPr>
        <w:jc w:val="both"/>
        <w:ind w:firstLine="849"/>
        <w:spacing w:after="0" w:line="236" w:lineRule="auto"/>
        <w:rPr>
          <w:sz w:val="20"/>
          <w:szCs w:val="20"/>
          <w:color w:val="auto"/>
        </w:rPr>
      </w:pPr>
      <w:r>
        <w:rPr>
          <w:rFonts w:ascii="Times New Roman" w:cs="Times New Roman" w:eastAsia="Times New Roman" w:hAnsi="Times New Roman"/>
          <w:sz w:val="22"/>
          <w:szCs w:val="22"/>
          <w:color w:val="auto"/>
        </w:rPr>
        <w:t>Notwithstanding anything contained herein, this Agreement and the rights awarded to the Investor hereunder are non-exclusive, and the Company may, at any time throughout the term of this Agreement and thereafter, issue and allot, or undertake to issue and allot, any shares and/or securities and/or convertible notes, bonds, debentures, options to acquire shares or other securities and/or other facilities which may be converted into or replaced by Common Shares or other securities of the Company, and to extend, renew and/or recycle any bonds and/or debentures, and/or grant any rights with respect to its existing and/or future share capital.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Choice of Law/Jurisdiction</w:t>
      </w:r>
    </w:p>
    <w:p>
      <w:pPr>
        <w:spacing w:after="0" w:line="209" w:lineRule="exact"/>
        <w:rPr>
          <w:sz w:val="20"/>
          <w:szCs w:val="20"/>
          <w:color w:val="auto"/>
        </w:rPr>
      </w:pPr>
    </w:p>
    <w:p>
      <w:pPr>
        <w:jc w:val="both"/>
        <w:ind w:firstLine="849"/>
        <w:spacing w:after="0" w:line="238" w:lineRule="auto"/>
        <w:rPr>
          <w:sz w:val="20"/>
          <w:szCs w:val="20"/>
          <w:color w:val="auto"/>
        </w:rPr>
      </w:pPr>
      <w:r>
        <w:rPr>
          <w:rFonts w:ascii="Times New Roman" w:cs="Times New Roman" w:eastAsia="Times New Roman" w:hAnsi="Times New Roman"/>
          <w:sz w:val="22"/>
          <w:szCs w:val="22"/>
          <w:color w:val="auto"/>
        </w:rPr>
        <w:t>This Agreement shall be governed by and interpreted in accordance with the laws of the State of New York without regard to the principles of conflict of laws. The parties further agree that any action between them shall be heard in New York County, New York, and expressly consent to the jurisdiction and venue of the Supreme Court of New York, sitting in New York County, New York and the United States District Court of the Southern District of New York, sitting in New York, New York, for the adjudication of any civil action asserted pursuant to this Agreement.</w:t>
      </w:r>
    </w:p>
    <w:p>
      <w:pPr>
        <w:spacing w:after="0" w:line="177"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EACH PARTY HERETO HEREBY WAIVES, TO THE FULLEST EXTENT PERMITTED BY APPLICABLE LAW, ANY RIGHT IT MAY HAVE TO A TRIAL BY JURY IN ANY LEGAL PROCEEDING DIRECTLY OR INDIRECTLY ARISING OUT OF OR RELATING TO THIS AGREEMENT OR THE TRANSACTIONS CONTEMPLATED HEREIN, THE PERFORMANCE THEREOF OR THE FINANCINGS CONTEMPLATED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 w:name="page37"/>
    <w:bookmarkEnd w:id="36"/>
    <w:p>
      <w:pPr>
        <w:jc w:val="both"/>
        <w:spacing w:after="0" w:line="236" w:lineRule="auto"/>
        <w:rPr>
          <w:sz w:val="20"/>
          <w:szCs w:val="20"/>
          <w:color w:val="auto"/>
        </w:rPr>
      </w:pPr>
      <w:r>
        <w:rPr>
          <w:rFonts w:ascii="Times New Roman" w:cs="Times New Roman" w:eastAsia="Times New Roman" w:hAnsi="Times New Roman"/>
          <w:sz w:val="22"/>
          <w:szCs w:val="22"/>
          <w:color w:val="auto"/>
        </w:rPr>
        <w: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PARTY HERETO HAVE BEEN INDUCED TO ENTER INTO THIS AGREEMENT BY, AMONG OTHER THINGS, THE MUTUAL WAIVERS AND CERTIFICATIONS IN THIS PARAGRAPH.</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XI.Termination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11.01Termination</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Unless earlier terminated as provided hereunder, this Agreement shall terminate automatically on the earliest of (i) the first day of the month next following the 36-month anniversary of the Effective Date, provided that if a Promissory Note is then outstanding, such termination shall be delayed until such date that all Promissory Notes that were outstanding has been repaid (save for the issue and purchase of Common Shares pursuant to an Advance Notice issued on or prior to such date) or (ii) the date on which the Investor shall have made payment of Advances pursuant to this Agreement for Common Shares equal to the Commitment Amount.</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The Company may terminate this Agreement effective upon five Trading Days’ prior written notice to the Investor; provided that (i) there are no outstanding Advance Notices, the Common Shares under which have yet to be issued, (ii) there is not an outstanding Promissory Note, and (iii) the Company has paid all amounts owed to the Investor pursuant to this Agreement, including the Commitment Fee. This Agreement may be terminated at any time by the mutual written consent of the parties, effective as of the date of such mutual written consent unless otherwise provided in such written consent.</w:t>
      </w:r>
    </w:p>
    <w:p>
      <w:pPr>
        <w:spacing w:after="0" w:line="2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Nothing in this Section 11.01 shall be deemed to release the Company or the Investor from any liability for any breach under this Agreement, or to impair the rights of the Company and the Investor to compel specific performance by the other party of its obligations under this Agreement. The indemnification provisions contained in Article VII shall survive termination hereunder.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XII.Notices</w:t>
      </w:r>
    </w:p>
    <w:p>
      <w:pPr>
        <w:spacing w:after="0" w:line="209" w:lineRule="exact"/>
        <w:rPr>
          <w:sz w:val="20"/>
          <w:szCs w:val="20"/>
          <w:color w:val="auto"/>
        </w:rPr>
      </w:pPr>
    </w:p>
    <w:p>
      <w:pPr>
        <w:jc w:val="both"/>
        <w:ind w:firstLine="849"/>
        <w:spacing w:after="0" w:line="248" w:lineRule="auto"/>
        <w:rPr>
          <w:sz w:val="20"/>
          <w:szCs w:val="20"/>
          <w:color w:val="auto"/>
        </w:rPr>
      </w:pPr>
      <w:r>
        <w:rPr>
          <w:rFonts w:ascii="Times New Roman" w:cs="Times New Roman" w:eastAsia="Times New Roman" w:hAnsi="Times New Roman"/>
          <w:sz w:val="21"/>
          <w:szCs w:val="21"/>
          <w:color w:val="auto"/>
        </w:rPr>
        <w:t>Other than with respect to Advance Notices, which must be in writing and will be deemed delivered on the day set forth in Section 2.01(b), any notices, consents, waivers, or other communications required or permitted to be given under the terms of this Agreement must be in writing and will be deemed to have been delivered (i) upon receipt, when delivered personally; (ii) upon receipt, when sent by e-mail if sent on a Trading Day, or, if not sent on a Trading Day, on the immediately following Trading Day; (iii) 5 days after being sent by U.S. certified mail, return receipt requested, (iv) 1 day after deposit with a nationally recognized overnight delivery service, in each case properly addressed to the party to receive the same. The addresses for such communications (except for Advance Notices which shall be delivered in accordance with Exhibit A hereof)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4440" w:type="dxa"/>
            <w:vAlign w:val="bottom"/>
          </w:tcPr>
          <w:p>
            <w:pPr>
              <w:spacing w:after="0"/>
              <w:rPr>
                <w:sz w:val="20"/>
                <w:szCs w:val="20"/>
                <w:color w:val="auto"/>
              </w:rPr>
            </w:pPr>
            <w:r>
              <w:rPr>
                <w:rFonts w:ascii="Times New Roman" w:cs="Times New Roman" w:eastAsia="Times New Roman" w:hAnsi="Times New Roman"/>
                <w:sz w:val="22"/>
                <w:szCs w:val="22"/>
                <w:color w:val="auto"/>
              </w:rPr>
              <w:t>If to the Company, to:</w:t>
            </w:r>
          </w:p>
        </w:tc>
        <w:tc>
          <w:tcPr>
            <w:tcW w:w="65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Rezolve AI Limited</w:t>
            </w:r>
          </w:p>
        </w:tc>
      </w:tr>
      <w:tr>
        <w:trPr>
          <w:trHeight w:val="243"/>
        </w:trPr>
        <w:tc>
          <w:tcPr>
            <w:tcW w:w="4440" w:type="dxa"/>
            <w:vAlign w:val="bottom"/>
          </w:tcPr>
          <w:p>
            <w:pPr>
              <w:spacing w:after="0"/>
              <w:rPr>
                <w:sz w:val="21"/>
                <w:szCs w:val="21"/>
                <w:color w:val="auto"/>
              </w:rPr>
            </w:pPr>
          </w:p>
        </w:tc>
        <w:tc>
          <w:tcPr>
            <w:tcW w:w="65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w w:val="97"/>
              </w:rPr>
              <w:t>3rd Floor 80 New Bond Street, Mayfair, London, United Kingdom, W1S</w:t>
            </w:r>
          </w:p>
        </w:tc>
      </w:tr>
      <w:tr>
        <w:trPr>
          <w:trHeight w:val="243"/>
        </w:trPr>
        <w:tc>
          <w:tcPr>
            <w:tcW w:w="4440" w:type="dxa"/>
            <w:vAlign w:val="bottom"/>
          </w:tcPr>
          <w:p>
            <w:pPr>
              <w:spacing w:after="0"/>
              <w:rPr>
                <w:sz w:val="21"/>
                <w:szCs w:val="21"/>
                <w:color w:val="auto"/>
              </w:rPr>
            </w:pPr>
          </w:p>
        </w:tc>
        <w:tc>
          <w:tcPr>
            <w:tcW w:w="15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1SB</w:t>
            </w:r>
          </w:p>
        </w:tc>
        <w:tc>
          <w:tcPr>
            <w:tcW w:w="5020" w:type="dxa"/>
            <w:vAlign w:val="bottom"/>
          </w:tcPr>
          <w:p>
            <w:pPr>
              <w:spacing w:after="0"/>
              <w:rPr>
                <w:sz w:val="21"/>
                <w:szCs w:val="21"/>
                <w:color w:val="auto"/>
              </w:rPr>
            </w:pPr>
          </w:p>
        </w:tc>
      </w:tr>
      <w:tr>
        <w:trPr>
          <w:trHeight w:val="243"/>
        </w:trPr>
        <w:tc>
          <w:tcPr>
            <w:tcW w:w="4440" w:type="dxa"/>
            <w:vAlign w:val="bottom"/>
          </w:tcPr>
          <w:p>
            <w:pPr>
              <w:spacing w:after="0"/>
              <w:rPr>
                <w:sz w:val="21"/>
                <w:szCs w:val="21"/>
                <w:color w:val="auto"/>
              </w:rPr>
            </w:pPr>
          </w:p>
        </w:tc>
        <w:tc>
          <w:tcPr>
            <w:tcW w:w="65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Attention: Dan Wagner</w:t>
            </w:r>
          </w:p>
        </w:tc>
      </w:tr>
      <w:tr>
        <w:trPr>
          <w:trHeight w:val="282"/>
        </w:trPr>
        <w:tc>
          <w:tcPr>
            <w:tcW w:w="4440" w:type="dxa"/>
            <w:vAlign w:val="bottom"/>
          </w:tcPr>
          <w:p>
            <w:pPr>
              <w:spacing w:after="0"/>
              <w:rPr>
                <w:sz w:val="24"/>
                <w:szCs w:val="24"/>
                <w:color w:val="auto"/>
              </w:rPr>
            </w:pPr>
          </w:p>
        </w:tc>
        <w:tc>
          <w:tcPr>
            <w:tcW w:w="65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DanWagner@rezolve.com</w:t>
            </w:r>
          </w:p>
        </w:tc>
      </w:tr>
      <w:tr>
        <w:trPr>
          <w:trHeight w:val="447"/>
        </w:trPr>
        <w:tc>
          <w:tcPr>
            <w:tcW w:w="4440" w:type="dxa"/>
            <w:vAlign w:val="bottom"/>
          </w:tcPr>
          <w:p>
            <w:pPr>
              <w:spacing w:after="0"/>
              <w:rPr>
                <w:sz w:val="20"/>
                <w:szCs w:val="20"/>
                <w:color w:val="auto"/>
              </w:rPr>
            </w:pPr>
            <w:r>
              <w:rPr>
                <w:rFonts w:ascii="Times New Roman" w:cs="Times New Roman" w:eastAsia="Times New Roman" w:hAnsi="Times New Roman"/>
                <w:sz w:val="22"/>
                <w:szCs w:val="22"/>
                <w:color w:val="auto"/>
              </w:rPr>
              <w:t>With a copy (which shall not constitute notice or</w:t>
            </w:r>
          </w:p>
        </w:tc>
        <w:tc>
          <w:tcPr>
            <w:tcW w:w="65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Attention: Robert Fenner</w:t>
            </w:r>
          </w:p>
        </w:tc>
      </w:tr>
      <w:tr>
        <w:trPr>
          <w:trHeight w:val="243"/>
        </w:trPr>
        <w:tc>
          <w:tcPr>
            <w:tcW w:w="4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delivery of process) to:</w:t>
            </w:r>
          </w:p>
        </w:tc>
        <w:tc>
          <w:tcPr>
            <w:tcW w:w="65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Taylor Wessing LLP,</w:t>
            </w:r>
          </w:p>
        </w:tc>
      </w:tr>
      <w:tr>
        <w:trPr>
          <w:trHeight w:val="243"/>
        </w:trPr>
        <w:tc>
          <w:tcPr>
            <w:tcW w:w="4440" w:type="dxa"/>
            <w:vAlign w:val="bottom"/>
          </w:tcPr>
          <w:p>
            <w:pPr>
              <w:spacing w:after="0"/>
              <w:rPr>
                <w:sz w:val="21"/>
                <w:szCs w:val="21"/>
                <w:color w:val="auto"/>
              </w:rPr>
            </w:pPr>
          </w:p>
        </w:tc>
        <w:tc>
          <w:tcPr>
            <w:tcW w:w="65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5 New Street Square</w:t>
            </w:r>
          </w:p>
        </w:tc>
      </w:tr>
      <w:tr>
        <w:trPr>
          <w:trHeight w:val="243"/>
        </w:trPr>
        <w:tc>
          <w:tcPr>
            <w:tcW w:w="4440" w:type="dxa"/>
            <w:vAlign w:val="bottom"/>
          </w:tcPr>
          <w:p>
            <w:pPr>
              <w:spacing w:after="0"/>
              <w:rPr>
                <w:sz w:val="21"/>
                <w:szCs w:val="21"/>
                <w:color w:val="auto"/>
              </w:rPr>
            </w:pPr>
          </w:p>
        </w:tc>
        <w:tc>
          <w:tcPr>
            <w:tcW w:w="65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London EC4A 3TW</w:t>
            </w:r>
          </w:p>
        </w:tc>
      </w:tr>
      <w:tr>
        <w:trPr>
          <w:trHeight w:val="243"/>
        </w:trPr>
        <w:tc>
          <w:tcPr>
            <w:tcW w:w="4440" w:type="dxa"/>
            <w:vAlign w:val="bottom"/>
          </w:tcPr>
          <w:p>
            <w:pPr>
              <w:spacing w:after="0"/>
              <w:rPr>
                <w:sz w:val="21"/>
                <w:szCs w:val="21"/>
                <w:color w:val="auto"/>
              </w:rPr>
            </w:pPr>
          </w:p>
        </w:tc>
        <w:tc>
          <w:tcPr>
            <w:tcW w:w="65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Telephone: +44 207 300 4986</w:t>
            </w:r>
          </w:p>
        </w:tc>
      </w:tr>
      <w:tr>
        <w:trPr>
          <w:trHeight w:val="282"/>
        </w:trPr>
        <w:tc>
          <w:tcPr>
            <w:tcW w:w="4440" w:type="dxa"/>
            <w:vAlign w:val="bottom"/>
          </w:tcPr>
          <w:p>
            <w:pPr>
              <w:spacing w:after="0"/>
              <w:rPr>
                <w:sz w:val="24"/>
                <w:szCs w:val="24"/>
                <w:color w:val="auto"/>
              </w:rPr>
            </w:pPr>
          </w:p>
        </w:tc>
        <w:tc>
          <w:tcPr>
            <w:tcW w:w="65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Email: r.fenner@taylorwessing.com</w:t>
            </w:r>
          </w:p>
        </w:tc>
      </w:tr>
      <w:tr>
        <w:trPr>
          <w:trHeight w:val="690"/>
        </w:trPr>
        <w:tc>
          <w:tcPr>
            <w:tcW w:w="4440" w:type="dxa"/>
            <w:vAlign w:val="bottom"/>
          </w:tcPr>
          <w:p>
            <w:pPr>
              <w:spacing w:after="0"/>
              <w:rPr>
                <w:sz w:val="20"/>
                <w:szCs w:val="20"/>
                <w:color w:val="auto"/>
              </w:rPr>
            </w:pPr>
            <w:r>
              <w:rPr>
                <w:rFonts w:ascii="Times New Roman" w:cs="Times New Roman" w:eastAsia="Times New Roman" w:hAnsi="Times New Roman"/>
                <w:sz w:val="22"/>
                <w:szCs w:val="22"/>
                <w:color w:val="auto"/>
              </w:rPr>
              <w:t>If to the Investor(s):</w:t>
            </w:r>
          </w:p>
        </w:tc>
        <w:tc>
          <w:tcPr>
            <w:tcW w:w="150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4"/>
              </w:rPr>
              <w:t>YA II PN, Ltd.</w:t>
            </w:r>
          </w:p>
        </w:tc>
        <w:tc>
          <w:tcPr>
            <w:tcW w:w="5020" w:type="dxa"/>
            <w:vAlign w:val="bottom"/>
          </w:tcPr>
          <w:p>
            <w:pPr>
              <w:spacing w:after="0"/>
              <w:rPr>
                <w:sz w:val="24"/>
                <w:szCs w:val="24"/>
                <w:color w:val="auto"/>
              </w:rPr>
            </w:pPr>
          </w:p>
        </w:tc>
      </w:tr>
      <w:tr>
        <w:trPr>
          <w:trHeight w:val="243"/>
        </w:trPr>
        <w:tc>
          <w:tcPr>
            <w:tcW w:w="4440" w:type="dxa"/>
            <w:vAlign w:val="bottom"/>
          </w:tcPr>
          <w:p>
            <w:pPr>
              <w:spacing w:after="0"/>
              <w:rPr>
                <w:sz w:val="21"/>
                <w:szCs w:val="21"/>
                <w:color w:val="auto"/>
              </w:rPr>
            </w:pPr>
          </w:p>
        </w:tc>
        <w:tc>
          <w:tcPr>
            <w:tcW w:w="65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1012 Springfield Avenue</w:t>
            </w:r>
          </w:p>
        </w:tc>
      </w:tr>
      <w:tr>
        <w:trPr>
          <w:trHeight w:val="243"/>
        </w:trPr>
        <w:tc>
          <w:tcPr>
            <w:tcW w:w="4440" w:type="dxa"/>
            <w:vAlign w:val="bottom"/>
          </w:tcPr>
          <w:p>
            <w:pPr>
              <w:spacing w:after="0"/>
              <w:rPr>
                <w:sz w:val="21"/>
                <w:szCs w:val="21"/>
                <w:color w:val="auto"/>
              </w:rPr>
            </w:pPr>
          </w:p>
        </w:tc>
        <w:tc>
          <w:tcPr>
            <w:tcW w:w="65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Mountainside, NJ 07092</w:t>
            </w:r>
          </w:p>
        </w:tc>
      </w:tr>
      <w:tr>
        <w:trPr>
          <w:trHeight w:val="243"/>
        </w:trPr>
        <w:tc>
          <w:tcPr>
            <w:tcW w:w="4440" w:type="dxa"/>
            <w:vAlign w:val="bottom"/>
          </w:tcPr>
          <w:p>
            <w:pPr>
              <w:spacing w:after="0"/>
              <w:rPr>
                <w:sz w:val="21"/>
                <w:szCs w:val="21"/>
                <w:color w:val="auto"/>
              </w:rPr>
            </w:pPr>
          </w:p>
        </w:tc>
        <w:tc>
          <w:tcPr>
            <w:tcW w:w="15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Attention:</w:t>
            </w:r>
          </w:p>
        </w:tc>
        <w:tc>
          <w:tcPr>
            <w:tcW w:w="50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Mark Angelo</w:t>
            </w:r>
          </w:p>
        </w:tc>
      </w:tr>
      <w:tr>
        <w:trPr>
          <w:trHeight w:val="243"/>
        </w:trPr>
        <w:tc>
          <w:tcPr>
            <w:tcW w:w="4440" w:type="dxa"/>
            <w:vAlign w:val="bottom"/>
          </w:tcPr>
          <w:p>
            <w:pPr>
              <w:spacing w:after="0"/>
              <w:rPr>
                <w:sz w:val="21"/>
                <w:szCs w:val="21"/>
                <w:color w:val="auto"/>
              </w:rPr>
            </w:pPr>
          </w:p>
        </w:tc>
        <w:tc>
          <w:tcPr>
            <w:tcW w:w="65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Portfolio Manager</w:t>
            </w:r>
          </w:p>
        </w:tc>
      </w:tr>
      <w:tr>
        <w:trPr>
          <w:trHeight w:val="243"/>
        </w:trPr>
        <w:tc>
          <w:tcPr>
            <w:tcW w:w="4440" w:type="dxa"/>
            <w:vAlign w:val="bottom"/>
          </w:tcPr>
          <w:p>
            <w:pPr>
              <w:spacing w:after="0"/>
              <w:rPr>
                <w:sz w:val="21"/>
                <w:szCs w:val="21"/>
                <w:color w:val="auto"/>
              </w:rPr>
            </w:pPr>
          </w:p>
        </w:tc>
        <w:tc>
          <w:tcPr>
            <w:tcW w:w="15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Telephone:</w:t>
            </w:r>
          </w:p>
        </w:tc>
        <w:tc>
          <w:tcPr>
            <w:tcW w:w="50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(201) 985-8300</w:t>
            </w:r>
          </w:p>
        </w:tc>
      </w:tr>
      <w:tr>
        <w:trPr>
          <w:trHeight w:val="282"/>
        </w:trPr>
        <w:tc>
          <w:tcPr>
            <w:tcW w:w="4440" w:type="dxa"/>
            <w:vAlign w:val="bottom"/>
          </w:tcPr>
          <w:p>
            <w:pPr>
              <w:spacing w:after="0"/>
              <w:rPr>
                <w:sz w:val="24"/>
                <w:szCs w:val="24"/>
                <w:color w:val="auto"/>
              </w:rPr>
            </w:pPr>
          </w:p>
        </w:tc>
        <w:tc>
          <w:tcPr>
            <w:tcW w:w="65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Email:   mangelo@yorkvilleadvisors.com</w:t>
            </w:r>
          </w:p>
        </w:tc>
      </w:tr>
      <w:tr>
        <w:trPr>
          <w:trHeight w:val="447"/>
        </w:trPr>
        <w:tc>
          <w:tcPr>
            <w:tcW w:w="4440" w:type="dxa"/>
            <w:vAlign w:val="bottom"/>
          </w:tcPr>
          <w:p>
            <w:pPr>
              <w:spacing w:after="0"/>
              <w:rPr>
                <w:sz w:val="20"/>
                <w:szCs w:val="20"/>
                <w:color w:val="auto"/>
              </w:rPr>
            </w:pPr>
            <w:r>
              <w:rPr>
                <w:rFonts w:ascii="Times New Roman" w:cs="Times New Roman" w:eastAsia="Times New Roman" w:hAnsi="Times New Roman"/>
                <w:sz w:val="22"/>
                <w:szCs w:val="22"/>
                <w:color w:val="auto"/>
              </w:rPr>
              <w:t>With a Copy (which shall not</w:t>
            </w:r>
          </w:p>
        </w:tc>
        <w:tc>
          <w:tcPr>
            <w:tcW w:w="65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David Fine, Esq.</w:t>
            </w:r>
          </w:p>
        </w:tc>
      </w:tr>
      <w:tr>
        <w:trPr>
          <w:trHeight w:val="243"/>
        </w:trPr>
        <w:tc>
          <w:tcPr>
            <w:tcW w:w="4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constitute notice or delivery of process) to:</w:t>
            </w:r>
          </w:p>
        </w:tc>
        <w:tc>
          <w:tcPr>
            <w:tcW w:w="65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1012 Springfield Avenue</w:t>
            </w:r>
          </w:p>
        </w:tc>
      </w:tr>
      <w:tr>
        <w:trPr>
          <w:trHeight w:val="243"/>
        </w:trPr>
        <w:tc>
          <w:tcPr>
            <w:tcW w:w="4440" w:type="dxa"/>
            <w:vAlign w:val="bottom"/>
          </w:tcPr>
          <w:p>
            <w:pPr>
              <w:spacing w:after="0"/>
              <w:rPr>
                <w:sz w:val="21"/>
                <w:szCs w:val="21"/>
                <w:color w:val="auto"/>
              </w:rPr>
            </w:pPr>
          </w:p>
        </w:tc>
        <w:tc>
          <w:tcPr>
            <w:tcW w:w="65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Mountainside, NJ 07092</w:t>
            </w:r>
          </w:p>
        </w:tc>
      </w:tr>
      <w:tr>
        <w:trPr>
          <w:trHeight w:val="243"/>
        </w:trPr>
        <w:tc>
          <w:tcPr>
            <w:tcW w:w="4440" w:type="dxa"/>
            <w:vAlign w:val="bottom"/>
          </w:tcPr>
          <w:p>
            <w:pPr>
              <w:spacing w:after="0"/>
              <w:rPr>
                <w:sz w:val="21"/>
                <w:szCs w:val="21"/>
                <w:color w:val="auto"/>
              </w:rPr>
            </w:pPr>
          </w:p>
        </w:tc>
        <w:tc>
          <w:tcPr>
            <w:tcW w:w="15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Telephone:</w:t>
            </w:r>
          </w:p>
        </w:tc>
        <w:tc>
          <w:tcPr>
            <w:tcW w:w="50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(201) 985-8300</w:t>
            </w:r>
          </w:p>
        </w:tc>
      </w:tr>
      <w:tr>
        <w:trPr>
          <w:trHeight w:val="282"/>
        </w:trPr>
        <w:tc>
          <w:tcPr>
            <w:tcW w:w="4440" w:type="dxa"/>
            <w:vAlign w:val="bottom"/>
          </w:tcPr>
          <w:p>
            <w:pPr>
              <w:spacing w:after="0"/>
              <w:rPr>
                <w:sz w:val="24"/>
                <w:szCs w:val="24"/>
                <w:color w:val="auto"/>
              </w:rPr>
            </w:pPr>
          </w:p>
        </w:tc>
        <w:tc>
          <w:tcPr>
            <w:tcW w:w="1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Email:</w:t>
            </w:r>
          </w:p>
        </w:tc>
        <w:tc>
          <w:tcPr>
            <w:tcW w:w="50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legal@yorkvilleadvisors.com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or at such other address and/or e-mail and/or to the attention of such other person as the recipient party has specified by written notice given to each other party three Business Days prior to the effectiveness of such change. Written confirmation of receipt (i) given by the recipient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jc w:val="both"/>
        <w:spacing w:after="0" w:line="244" w:lineRule="auto"/>
        <w:rPr>
          <w:sz w:val="20"/>
          <w:szCs w:val="20"/>
          <w:color w:val="auto"/>
        </w:rPr>
      </w:pPr>
      <w:r>
        <w:rPr>
          <w:rFonts w:ascii="Times New Roman" w:cs="Times New Roman" w:eastAsia="Times New Roman" w:hAnsi="Times New Roman"/>
          <w:sz w:val="22"/>
          <w:szCs w:val="22"/>
          <w:color w:val="auto"/>
        </w:rPr>
        <w:t>notice, consent, waiver or other communication, (ii) electronically generated by the sender’s email service provider containing the time, date, recipient email address or (iii) provided by a nationally recognized overnight delivery service shall be rebuttable evidence of personal service in accordance with clause (i), (ii) or (iii) above, respectively.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XIII.Miscellaneous</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13.01Counterparts</w:t>
      </w:r>
      <w:r>
        <w:rPr>
          <w:rFonts w:ascii="Times New Roman" w:cs="Times New Roman" w:eastAsia="Times New Roman" w:hAnsi="Times New Roman"/>
          <w:sz w:val="22"/>
          <w:szCs w:val="22"/>
          <w:color w:val="auto"/>
        </w:rPr>
        <w:t xml:space="preserve">. This Agreement may be executed in identical counterparts, both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www.docusign.com), including by e-mail attachment, shall be deemed to have been duly and validly delivered and be valid and effective for all purposes of this Agreement.</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13.02Entire Agreement; Amendments</w:t>
      </w:r>
      <w:r>
        <w:rPr>
          <w:rFonts w:ascii="Times New Roman" w:cs="Times New Roman" w:eastAsia="Times New Roman" w:hAnsi="Times New Roman"/>
          <w:sz w:val="22"/>
          <w:szCs w:val="22"/>
          <w:color w:val="auto"/>
        </w:rPr>
        <w:t>. This Agreement supersedes all other prior oral or written agreements between the Investor, the Company, their respective affiliates and persons acting on their behalf with respect to the matters discussed herein, and this Agreement contains the entire understanding of the parties with respect to the matters covered herein and, except as specifically set forth herein, neither the Company nor the Investor makes any representation, warranty, covenant or undertaking with respect to such matters. No provision of this Agreement may be waived or amended other than by an instrument in writing signed by the parties to this Agreement.</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13.03Reporting Entity for the Common Shares</w:t>
      </w:r>
      <w:r>
        <w:rPr>
          <w:rFonts w:ascii="Times New Roman" w:cs="Times New Roman" w:eastAsia="Times New Roman" w:hAnsi="Times New Roman"/>
          <w:sz w:val="22"/>
          <w:szCs w:val="22"/>
          <w:color w:val="auto"/>
        </w:rPr>
        <w:t>. The reporting entity relied upon for the determination of the trading price or trading volume of the Common Shares on any given Trading Day for the purposes of this Agreement shall be Bloomberg, L.P. or any successor thereto. The written mutual consent of the Investor and the Company shall be required to employ any other reporting entity.</w:t>
      </w:r>
    </w:p>
    <w:p>
      <w:pPr>
        <w:spacing w:after="0" w:line="20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13.04Commitment and Structuring Fee</w:t>
      </w:r>
      <w:r>
        <w:rPr>
          <w:rFonts w:ascii="Times New Roman" w:cs="Times New Roman" w:eastAsia="Times New Roman" w:hAnsi="Times New Roman"/>
          <w:sz w:val="22"/>
          <w:szCs w:val="22"/>
          <w:color w:val="auto"/>
        </w:rPr>
        <w:t>. Each of the parties shall pay its own fees and expenses (including the fees of any attorneys, accountants, appraisers or others engaged by such party) in connection with this Agreement and the transactions contemplated hereby, except that the Company shall a structuring fee in the amount of $25,000 on the date hereof, and, the Company will pay a commitment fee in an amount equal to 1.25% of the Commitment Amount (the “</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which the Company shall pay in cash by wire transfer to the Investor on or before the twelve (12) month anniversary of the closing of the Business Combination.</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13.05Brokerage</w:t>
      </w:r>
      <w:r>
        <w:rPr>
          <w:rFonts w:ascii="Times New Roman" w:cs="Times New Roman" w:eastAsia="Times New Roman" w:hAnsi="Times New Roman"/>
          <w:sz w:val="22"/>
          <w:szCs w:val="22"/>
          <w:color w:val="auto"/>
        </w:rPr>
        <w:t>. Each of the parties hereto represents that it has had no dealings in connection with this transaction with any finder or broker who will demand payment of any fee or commission from the other party. The Company on the one hand, and the Investor, on the other hand, agree to indemnify the other against and hold the other harmless from any and all liabilities to any person claiming brokerage commissions or finder’s fees on account of services purported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 w:name="page40"/>
    <w:bookmarkEnd w:id="39"/>
    <w:p>
      <w:pPr>
        <w:spacing w:after="0" w:line="258" w:lineRule="auto"/>
        <w:rPr>
          <w:sz w:val="20"/>
          <w:szCs w:val="20"/>
          <w:color w:val="auto"/>
        </w:rPr>
      </w:pPr>
      <w:r>
        <w:rPr>
          <w:rFonts w:ascii="Times New Roman" w:cs="Times New Roman" w:eastAsia="Times New Roman" w:hAnsi="Times New Roman"/>
          <w:sz w:val="22"/>
          <w:szCs w:val="22"/>
          <w:color w:val="auto"/>
        </w:rPr>
        <w:t>to have been rendered on behalf of the indemnifying party in connection with this Agreement or the transactions contemplated hereby.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8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Standby Equity Purchase Agreement to be executed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undersigned, thereunto duly authorized, as of the date first set forth above.</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ezolve</w:t>
      </w:r>
      <w:r>
        <w:rPr>
          <w:rFonts w:ascii="Times New Roman" w:cs="Times New Roman" w:eastAsia="Times New Roman" w:hAnsi="Times New Roman"/>
          <w:sz w:val="22"/>
          <w:szCs w:val="22"/>
          <w:b w:val="1"/>
          <w:bCs w:val="1"/>
          <w:color w:val="auto"/>
        </w:rPr>
        <w:t xml:space="preserve"> AI L</w:t>
      </w:r>
      <w:r>
        <w:rPr>
          <w:rFonts w:ascii="Times New Roman" w:cs="Times New Roman" w:eastAsia="Times New Roman" w:hAnsi="Times New Roman"/>
          <w:sz w:val="14"/>
          <w:szCs w:val="14"/>
          <w:b w:val="1"/>
          <w:bCs w:val="1"/>
          <w:color w:val="auto"/>
        </w:rPr>
        <w:t>imited</w:t>
      </w:r>
    </w:p>
    <w:p>
      <w:pPr>
        <w:spacing w:after="0" w:line="20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Dan Wagner</w:t>
      </w:r>
    </w:p>
    <w:p>
      <w:pPr>
        <w:spacing w:after="0" w:line="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Name: Dan Wagner</w:t>
      </w:r>
    </w:p>
    <w:p>
      <w:pPr>
        <w:ind w:left="700"/>
        <w:spacing w:after="0"/>
        <w:rPr>
          <w:sz w:val="20"/>
          <w:szCs w:val="20"/>
          <w:color w:val="auto"/>
        </w:rPr>
      </w:pPr>
      <w:r>
        <w:rPr>
          <w:rFonts w:ascii="Times New Roman" w:cs="Times New Roman" w:eastAsia="Times New Roman" w:hAnsi="Times New Roman"/>
          <w:sz w:val="22"/>
          <w:szCs w:val="22"/>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b w:val="1"/>
          <w:bCs w:val="1"/>
          <w:color w:val="auto"/>
        </w:rPr>
        <w:t>YA II PN, L</w:t>
      </w:r>
      <w:r>
        <w:rPr>
          <w:rFonts w:ascii="Times New Roman" w:cs="Times New Roman" w:eastAsia="Times New Roman" w:hAnsi="Times New Roman"/>
          <w:sz w:val="14"/>
          <w:szCs w:val="14"/>
          <w:b w:val="1"/>
          <w:bCs w:val="1"/>
          <w:color w:val="auto"/>
        </w:rPr>
        <w:t>td</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By: Yorkville Advisors Global, LP</w:t>
      </w:r>
    </w:p>
    <w:p>
      <w:pPr>
        <w:spacing w:after="0" w:line="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20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By: Yorkville Advisors Global II, LLC</w:t>
      </w:r>
    </w:p>
    <w:p>
      <w:pPr>
        <w:spacing w:after="0" w:line="1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Matt Beckman</w:t>
      </w:r>
    </w:p>
    <w:p>
      <w:pPr>
        <w:spacing w:after="0" w:line="4" w:lineRule="exact"/>
        <w:rPr>
          <w:sz w:val="20"/>
          <w:szCs w:val="20"/>
          <w:color w:val="auto"/>
        </w:rPr>
      </w:pPr>
    </w:p>
    <w:p>
      <w:pPr>
        <w:ind w:left="760"/>
        <w:spacing w:after="0"/>
        <w:tabs>
          <w:tab w:leader="none" w:pos="1540" w:val="left"/>
        </w:tabs>
        <w:rPr>
          <w:sz w:val="20"/>
          <w:szCs w:val="20"/>
          <w:color w:val="auto"/>
        </w:rPr>
      </w:pPr>
      <w:r>
        <w:rPr>
          <w:rFonts w:ascii="Times New Roman" w:cs="Times New Roman" w:eastAsia="Times New Roman" w:hAnsi="Times New Roman"/>
          <w:sz w:val="22"/>
          <w:szCs w:val="22"/>
          <w:color w:val="auto"/>
        </w:rPr>
        <w:t>Name:</w:t>
        <w:tab/>
        <w:t>Matt Beckman</w:t>
      </w:r>
    </w:p>
    <w:p>
      <w:pPr>
        <w:ind w:left="740"/>
        <w:spacing w:after="0"/>
        <w:tabs>
          <w:tab w:leader="none" w:pos="15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1266825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ADVANCE NOTICE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REZOLVE AI LIMITED</w:t>
      </w:r>
    </w:p>
    <w:p>
      <w:pPr>
        <w:spacing w:after="0" w:line="206" w:lineRule="exact"/>
        <w:rPr>
          <w:sz w:val="20"/>
          <w:szCs w:val="20"/>
          <w:color w:val="auto"/>
        </w:rPr>
      </w:pPr>
    </w:p>
    <w:p>
      <w:pPr>
        <w:ind w:left="2260"/>
        <w:spacing w:after="0"/>
        <w:tabs>
          <w:tab w:leader="none" w:pos="6140" w:val="left"/>
        </w:tabs>
        <w:rPr>
          <w:sz w:val="20"/>
          <w:szCs w:val="20"/>
          <w:color w:val="auto"/>
        </w:rPr>
      </w:pPr>
      <w:r>
        <w:rPr>
          <w:rFonts w:ascii="Times New Roman" w:cs="Times New Roman" w:eastAsia="Times New Roman" w:hAnsi="Times New Roman"/>
          <w:sz w:val="22"/>
          <w:szCs w:val="22"/>
          <w:b w:val="1"/>
          <w:bCs w:val="1"/>
          <w:color w:val="auto"/>
        </w:rPr>
        <w:t>Dated: ______________</w:t>
      </w:r>
      <w:r>
        <w:rPr>
          <w:sz w:val="20"/>
          <w:szCs w:val="20"/>
          <w:color w:val="auto"/>
        </w:rPr>
        <w:tab/>
      </w:r>
      <w:r>
        <w:rPr>
          <w:rFonts w:ascii="Times New Roman" w:cs="Times New Roman" w:eastAsia="Times New Roman" w:hAnsi="Times New Roman"/>
          <w:sz w:val="21"/>
          <w:szCs w:val="21"/>
          <w:b w:val="1"/>
          <w:bCs w:val="1"/>
          <w:color w:val="auto"/>
        </w:rPr>
        <w:t>Advance Notice Number: ____</w:t>
      </w:r>
    </w:p>
    <w:p>
      <w:pPr>
        <w:spacing w:after="0" w:line="2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The undersigned, _______________________, hereby certifies, with respect to the sale of </w:t>
      </w:r>
      <w:r>
        <w:rPr>
          <w:rFonts w:ascii="Times New Roman" w:cs="Times New Roman" w:eastAsia="Times New Roman" w:hAnsi="Times New Roman"/>
          <w:sz w:val="21"/>
          <w:szCs w:val="21"/>
          <w:color w:val="auto"/>
        </w:rPr>
        <w:t>Common Shares</w:t>
      </w:r>
      <w:r>
        <w:rPr>
          <w:rFonts w:ascii="Times New Roman" w:cs="Times New Roman" w:eastAsia="Times New Roman" w:hAnsi="Times New Roman"/>
          <w:sz w:val="20"/>
          <w:szCs w:val="20"/>
          <w:color w:val="auto"/>
        </w:rPr>
        <w:t xml:space="preserve"> of REZOLVE AI</w:t>
      </w:r>
    </w:p>
    <w:p>
      <w:pPr>
        <w:spacing w:after="0" w:line="2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LIMITED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issuable in connection with this Advance Notice, delivered pursuant to that certain Second Amended and Restated Standby Equity Purchase Agreement, dated as of September [__], 2024,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as follows (with capitalized terms used herein without definition having the same meanings as given to them in the Agreement):</w:t>
      </w:r>
    </w:p>
    <w:p>
      <w:pPr>
        <w:spacing w:after="0" w:line="187" w:lineRule="exact"/>
        <w:rPr>
          <w:sz w:val="20"/>
          <w:szCs w:val="20"/>
          <w:color w:val="auto"/>
        </w:rPr>
      </w:pPr>
    </w:p>
    <w:p>
      <w:pPr>
        <w:ind w:left="1260" w:hanging="403"/>
        <w:spacing w:after="0"/>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is the duly elected ______________ of the Company.</w:t>
      </w:r>
    </w:p>
    <w:p>
      <w:pPr>
        <w:spacing w:after="0" w:line="215" w:lineRule="exact"/>
        <w:rPr>
          <w:rFonts w:ascii="Times New Roman" w:cs="Times New Roman" w:eastAsia="Times New Roman" w:hAnsi="Times New Roman"/>
          <w:sz w:val="20"/>
          <w:szCs w:val="20"/>
          <w:color w:val="auto"/>
        </w:rPr>
      </w:pPr>
    </w:p>
    <w:p>
      <w:pPr>
        <w:ind w:right="40" w:firstLine="857"/>
        <w:spacing w:after="0" w:line="269" w:lineRule="auto"/>
        <w:tabs>
          <w:tab w:leader="none" w:pos="124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fundamental changes to the information set forth in the Registration Statement which would require the Company to file a post-effective amendment to the Registration Statement.</w:t>
      </w:r>
    </w:p>
    <w:p>
      <w:pPr>
        <w:spacing w:after="0" w:line="159" w:lineRule="exact"/>
        <w:rPr>
          <w:rFonts w:ascii="Times New Roman" w:cs="Times New Roman" w:eastAsia="Times New Roman" w:hAnsi="Times New Roman"/>
          <w:sz w:val="20"/>
          <w:szCs w:val="20"/>
          <w:color w:val="auto"/>
        </w:rPr>
      </w:pPr>
    </w:p>
    <w:p>
      <w:pPr>
        <w:ind w:firstLine="857"/>
        <w:spacing w:after="0" w:line="254" w:lineRule="auto"/>
        <w:tabs>
          <w:tab w:leader="none" w:pos="124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performed in all material respects all covenants and agreements to be performed by the Company contained in this Agreement on or prior to the Advance Notice Date. All conditions to the delivery of this Advance Notice are satisfied as of the date hereof.</w:t>
      </w:r>
    </w:p>
    <w:p>
      <w:pPr>
        <w:spacing w:after="0" w:line="174" w:lineRule="exact"/>
        <w:rPr>
          <w:rFonts w:ascii="Times New Roman" w:cs="Times New Roman" w:eastAsia="Times New Roman" w:hAnsi="Times New Roman"/>
          <w:sz w:val="20"/>
          <w:szCs w:val="20"/>
          <w:color w:val="auto"/>
        </w:rPr>
      </w:pPr>
    </w:p>
    <w:p>
      <w:pPr>
        <w:ind w:left="1260" w:hanging="403"/>
        <w:spacing w:after="0"/>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Advance Shares the Company is requesting is _____________________.</w:t>
      </w:r>
    </w:p>
    <w:p>
      <w:pPr>
        <w:spacing w:after="0" w:line="215" w:lineRule="exact"/>
        <w:rPr>
          <w:rFonts w:ascii="Times New Roman" w:cs="Times New Roman" w:eastAsia="Times New Roman" w:hAnsi="Times New Roman"/>
          <w:sz w:val="20"/>
          <w:szCs w:val="20"/>
          <w:color w:val="auto"/>
        </w:rPr>
      </w:pPr>
    </w:p>
    <w:p>
      <w:pPr>
        <w:ind w:right="60" w:firstLine="857"/>
        <w:spacing w:after="0" w:line="269" w:lineRule="auto"/>
        <w:tabs>
          <w:tab w:leader="none" w:pos="124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Minimum Acceptable Price with respect to this Advance Notice is _________ (if left blank then no Minimum Acceptable Price will be applicable to this Advance).</w:t>
      </w:r>
    </w:p>
    <w:p>
      <w:pPr>
        <w:spacing w:after="0" w:line="159" w:lineRule="exact"/>
        <w:rPr>
          <w:rFonts w:ascii="Times New Roman" w:cs="Times New Roman" w:eastAsia="Times New Roman" w:hAnsi="Times New Roman"/>
          <w:sz w:val="20"/>
          <w:szCs w:val="20"/>
          <w:color w:val="auto"/>
        </w:rPr>
      </w:pPr>
    </w:p>
    <w:p>
      <w:pPr>
        <w:ind w:left="1260" w:hanging="403"/>
        <w:spacing w:after="0"/>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Common Shares of the Company outstanding as of the date hereof is ___________.</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The undersigned has executed this Advance Notice as of the date first set forth above.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REZOLVE AI LIMITED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13258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deliver this Advance Notice by email to: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Email: trading@yorkvilleadvisors.com</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Attention: Trading Department and Compliance Officer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Confirmation Telephone Number: (201) 985-8300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SETTLEMENT DOCUMENT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EMAIL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REZOLVE AI LIMITED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ind w:left="720"/>
        <w:spacing w:after="0"/>
        <w:rPr>
          <w:sz w:val="20"/>
          <w:szCs w:val="20"/>
          <w:color w:val="auto"/>
        </w:rPr>
      </w:pPr>
      <w:r>
        <w:rPr>
          <w:rFonts w:ascii="Calibri" w:cs="Calibri" w:eastAsia="Calibri" w:hAnsi="Calibri"/>
          <w:sz w:val="20"/>
          <w:szCs w:val="20"/>
          <w:color w:val="auto"/>
        </w:rPr>
        <w:t>Below please fnd the setlement informaton with respect to the Advance Notce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134225" cy="2813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281368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720" w:hanging="478"/>
        <w:spacing w:after="0"/>
        <w:tabs>
          <w:tab w:leader="none" w:pos="72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Advance requested in the Advance Notce</w:t>
      </w:r>
    </w:p>
    <w:p>
      <w:pPr>
        <w:spacing w:after="0" w:line="295" w:lineRule="exact"/>
        <w:rPr>
          <w:rFonts w:ascii="Calibri" w:cs="Calibri" w:eastAsia="Calibri" w:hAnsi="Calibri"/>
          <w:sz w:val="20"/>
          <w:szCs w:val="20"/>
          <w:color w:val="auto"/>
        </w:rPr>
      </w:pPr>
    </w:p>
    <w:p>
      <w:pPr>
        <w:ind w:left="720" w:hanging="478"/>
        <w:spacing w:after="0"/>
        <w:tabs>
          <w:tab w:leader="none" w:pos="72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Minimum Acceptable Price for this Advance (if any)</w:t>
      </w:r>
    </w:p>
    <w:p>
      <w:pPr>
        <w:spacing w:after="0" w:line="295" w:lineRule="exact"/>
        <w:rPr>
          <w:rFonts w:ascii="Calibri" w:cs="Calibri" w:eastAsia="Calibri" w:hAnsi="Calibri"/>
          <w:sz w:val="20"/>
          <w:szCs w:val="20"/>
          <w:color w:val="auto"/>
        </w:rPr>
      </w:pPr>
    </w:p>
    <w:p>
      <w:pPr>
        <w:ind w:left="720" w:hanging="478"/>
        <w:spacing w:after="0"/>
        <w:tabs>
          <w:tab w:leader="none" w:pos="72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Number of Excluded Days (if any)</w:t>
      </w:r>
    </w:p>
    <w:p>
      <w:pPr>
        <w:spacing w:after="0" w:line="295" w:lineRule="exact"/>
        <w:rPr>
          <w:rFonts w:ascii="Calibri" w:cs="Calibri" w:eastAsia="Calibri" w:hAnsi="Calibri"/>
          <w:sz w:val="20"/>
          <w:szCs w:val="20"/>
          <w:color w:val="auto"/>
        </w:rPr>
      </w:pPr>
    </w:p>
    <w:p>
      <w:pPr>
        <w:ind w:left="720" w:hanging="478"/>
        <w:spacing w:after="0"/>
        <w:tabs>
          <w:tab w:leader="none" w:pos="72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Adjusted Advance Amount (afer taking into account any adjustments pursuant to Secton 2.01):</w:t>
      </w:r>
    </w:p>
    <w:p>
      <w:pPr>
        <w:spacing w:after="0" w:line="295" w:lineRule="exact"/>
        <w:rPr>
          <w:rFonts w:ascii="Calibri" w:cs="Calibri" w:eastAsia="Calibri" w:hAnsi="Calibri"/>
          <w:sz w:val="20"/>
          <w:szCs w:val="20"/>
          <w:color w:val="auto"/>
        </w:rPr>
      </w:pPr>
    </w:p>
    <w:p>
      <w:pPr>
        <w:ind w:left="720" w:hanging="478"/>
        <w:spacing w:after="0"/>
        <w:tabs>
          <w:tab w:leader="none" w:pos="72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Market Price</w:t>
      </w:r>
    </w:p>
    <w:p>
      <w:pPr>
        <w:spacing w:after="0" w:line="295" w:lineRule="exact"/>
        <w:rPr>
          <w:rFonts w:ascii="Calibri" w:cs="Calibri" w:eastAsia="Calibri" w:hAnsi="Calibri"/>
          <w:sz w:val="20"/>
          <w:szCs w:val="20"/>
          <w:color w:val="auto"/>
        </w:rPr>
      </w:pPr>
    </w:p>
    <w:p>
      <w:pPr>
        <w:ind w:left="720" w:hanging="478"/>
        <w:spacing w:after="0"/>
        <w:tabs>
          <w:tab w:leader="none" w:pos="72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Purchase Price (Market Price x 97%) per share</w:t>
      </w:r>
    </w:p>
    <w:p>
      <w:pPr>
        <w:spacing w:after="0" w:line="295" w:lineRule="exact"/>
        <w:rPr>
          <w:rFonts w:ascii="Calibri" w:cs="Calibri" w:eastAsia="Calibri" w:hAnsi="Calibri"/>
          <w:sz w:val="20"/>
          <w:szCs w:val="20"/>
          <w:color w:val="auto"/>
        </w:rPr>
      </w:pPr>
    </w:p>
    <w:p>
      <w:pPr>
        <w:ind w:left="720" w:hanging="478"/>
        <w:spacing w:after="0"/>
        <w:tabs>
          <w:tab w:leader="none" w:pos="72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Number of Advance Shares due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4147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20" w:hanging="478"/>
        <w:spacing w:after="0"/>
        <w:tabs>
          <w:tab w:leader="none" w:pos="72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Number of Additonal Shares to be issued to Investor</w:t>
      </w:r>
    </w:p>
    <w:p>
      <w:pPr>
        <w:spacing w:after="0" w:line="99"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Additonal amount to be paid to the Company by the Investor (Additonal Shares in number 8 x Minimum Acceptable</w:t>
      </w:r>
    </w:p>
    <w:p>
      <w:pPr>
        <w:ind w:left="240"/>
        <w:spacing w:after="0" w:line="193" w:lineRule="auto"/>
        <w:rPr>
          <w:sz w:val="20"/>
          <w:szCs w:val="20"/>
          <w:color w:val="auto"/>
        </w:rPr>
      </w:pPr>
      <w:r>
        <w:rPr>
          <w:rFonts w:ascii="Calibri" w:cs="Calibri" w:eastAsia="Calibri" w:hAnsi="Calibri"/>
          <w:sz w:val="20"/>
          <w:szCs w:val="20"/>
          <w:color w:val="auto"/>
        </w:rPr>
        <w:t>9.</w:t>
      </w:r>
    </w:p>
    <w:p>
      <w:pPr>
        <w:spacing w:after="0" w:line="309" w:lineRule="exact"/>
        <w:rPr>
          <w:sz w:val="20"/>
          <w:szCs w:val="20"/>
          <w:color w:val="auto"/>
        </w:rPr>
      </w:pPr>
    </w:p>
    <w:p>
      <w:pPr>
        <w:ind w:left="720" w:hanging="530"/>
        <w:spacing w:after="0"/>
        <w:tabs>
          <w:tab w:leader="none" w:pos="720"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Total Amount to be paid to Company (Purchase Price in number 6 + Additonal amount in number 9):</w:t>
      </w:r>
    </w:p>
    <w:p>
      <w:pPr>
        <w:spacing w:after="0" w:line="322" w:lineRule="exact"/>
        <w:rPr>
          <w:rFonts w:ascii="Calibri" w:cs="Calibri" w:eastAsia="Calibri" w:hAnsi="Calibri"/>
          <w:sz w:val="20"/>
          <w:szCs w:val="20"/>
          <w:color w:val="auto"/>
        </w:rPr>
      </w:pPr>
    </w:p>
    <w:p>
      <w:pPr>
        <w:ind w:left="720" w:hanging="530"/>
        <w:spacing w:after="0"/>
        <w:tabs>
          <w:tab w:leader="none" w:pos="720"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Total Shares to be issued to Investor (Shares due to Investor in number 7 + Additonal Shares in number 8):</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issue the number of Advance Shares due to the Investor to the account of the Investor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DTC PARTICIPANT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NAME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COUNTRY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PERSON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AND/OR EMAIL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Sincerely,</w:t>
      </w:r>
    </w:p>
    <w:p>
      <w:pPr>
        <w:spacing w:after="0" w:line="2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1415" w:right="127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Agreed and approved By </w:t>
      </w:r>
      <w:r>
        <w:rPr>
          <w:rFonts w:ascii="Times New Roman" w:cs="Times New Roman" w:eastAsia="Times New Roman" w:hAnsi="Times New Roman"/>
          <w:sz w:val="19"/>
          <w:szCs w:val="19"/>
          <w:b w:val="1"/>
          <w:bCs w:val="1"/>
          <w:color w:val="auto"/>
        </w:rPr>
        <w:t>REZOLVE AI LIMITED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INVESTOR NOTICE,</w:t>
      </w:r>
    </w:p>
    <w:p>
      <w:pPr>
        <w:jc w:val="center"/>
        <w:spacing w:after="0" w:line="230" w:lineRule="auto"/>
        <w:rPr>
          <w:sz w:val="20"/>
          <w:szCs w:val="20"/>
          <w:color w:val="auto"/>
        </w:rPr>
      </w:pPr>
      <w:r>
        <w:rPr>
          <w:rFonts w:ascii="Times New Roman" w:cs="Times New Roman" w:eastAsia="Times New Roman" w:hAnsi="Times New Roman"/>
          <w:sz w:val="22"/>
          <w:szCs w:val="22"/>
          <w:b w:val="1"/>
          <w:bCs w:val="1"/>
          <w:u w:val="single" w:color="auto"/>
          <w:color w:val="auto"/>
        </w:rPr>
        <w:t>CORRESPONDING ADVANCE NOTICE,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AND SETTLEMENT DOCUMENT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YA II PN, LTD.</w:t>
      </w:r>
    </w:p>
    <w:p>
      <w:pPr>
        <w:spacing w:after="0" w:line="211" w:lineRule="exact"/>
        <w:rPr>
          <w:sz w:val="20"/>
          <w:szCs w:val="20"/>
          <w:color w:val="auto"/>
        </w:rPr>
      </w:pPr>
    </w:p>
    <w:p>
      <w:pPr>
        <w:spacing w:after="0"/>
        <w:tabs>
          <w:tab w:leader="none" w:pos="3940" w:val="left"/>
        </w:tabs>
        <w:rPr>
          <w:sz w:val="20"/>
          <w:szCs w:val="20"/>
          <w:color w:val="auto"/>
        </w:rPr>
      </w:pPr>
      <w:r>
        <w:rPr>
          <w:rFonts w:ascii="Times New Roman" w:cs="Times New Roman" w:eastAsia="Times New Roman" w:hAnsi="Times New Roman"/>
          <w:sz w:val="20"/>
          <w:szCs w:val="20"/>
          <w:b w:val="1"/>
          <w:bCs w:val="1"/>
          <w:color w:val="auto"/>
        </w:rPr>
        <w:t>Dated: ______________</w:t>
      </w:r>
      <w:r>
        <w:rPr>
          <w:sz w:val="20"/>
          <w:szCs w:val="20"/>
          <w:color w:val="auto"/>
        </w:rPr>
        <w:tab/>
      </w:r>
      <w:r>
        <w:rPr>
          <w:rFonts w:ascii="Times New Roman" w:cs="Times New Roman" w:eastAsia="Times New Roman" w:hAnsi="Times New Roman"/>
          <w:sz w:val="19"/>
          <w:szCs w:val="19"/>
          <w:b w:val="1"/>
          <w:bCs w:val="1"/>
          <w:color w:val="auto"/>
        </w:rPr>
        <w:t>Investor Notice Number: ____</w:t>
      </w:r>
    </w:p>
    <w:p>
      <w:pPr>
        <w:spacing w:after="0" w:line="220" w:lineRule="exact"/>
        <w:rPr>
          <w:sz w:val="20"/>
          <w:szCs w:val="20"/>
          <w:color w:val="auto"/>
        </w:rPr>
      </w:pPr>
    </w:p>
    <w:p>
      <w:pPr>
        <w:jc w:val="both"/>
        <w:ind w:firstLine="849"/>
        <w:spacing w:after="0" w:line="249" w:lineRule="auto"/>
        <w:rPr>
          <w:sz w:val="20"/>
          <w:szCs w:val="20"/>
          <w:color w:val="auto"/>
        </w:rPr>
      </w:pPr>
      <w:r>
        <w:rPr>
          <w:rFonts w:ascii="Times New Roman" w:cs="Times New Roman" w:eastAsia="Times New Roman" w:hAnsi="Times New Roman"/>
          <w:sz w:val="20"/>
          <w:szCs w:val="20"/>
          <w:color w:val="auto"/>
        </w:rPr>
        <w:t>On behalf of YA II PN, LTD. (the “</w:t>
      </w:r>
      <w:r>
        <w:rPr>
          <w:rFonts w:ascii="Times New Roman" w:cs="Times New Roman" w:eastAsia="Times New Roman" w:hAnsi="Times New Roman"/>
          <w:sz w:val="20"/>
          <w:szCs w:val="20"/>
          <w:u w:val="single" w:color="auto"/>
          <w:color w:val="auto"/>
        </w:rPr>
        <w:t>Investor</w:t>
      </w:r>
      <w:r>
        <w:rPr>
          <w:rFonts w:ascii="Times New Roman" w:cs="Times New Roman" w:eastAsia="Times New Roman" w:hAnsi="Times New Roman"/>
          <w:sz w:val="20"/>
          <w:szCs w:val="20"/>
          <w:color w:val="auto"/>
        </w:rPr>
        <w:t xml:space="preserve">”), the undersigned hereby certifies, with respect to the purchase of Common Shares of </w:t>
      </w:r>
      <w:r>
        <w:rPr>
          <w:rFonts w:ascii="Times New Roman" w:cs="Times New Roman" w:eastAsia="Times New Roman" w:hAnsi="Times New Roman"/>
          <w:sz w:val="20"/>
          <w:szCs w:val="20"/>
          <w:b w:val="1"/>
          <w:bCs w:val="1"/>
          <w:color w:val="auto"/>
        </w:rPr>
        <w:t xml:space="preserve">Rezolve AI Limited.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issuable in connection with this Investor Notice, delivered pursuant to that certain Second Amended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Restated Standby Equity Purchase Agreement, dated as of September [__], 2024, as amended and supplemented from time to time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34225" cy="1030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030605"/>
                    </a:xfrm>
                    <a:prstGeom prst="rect">
                      <a:avLst/>
                    </a:prstGeom>
                    <a:noFill/>
                  </pic:spPr>
                </pic:pic>
              </a:graphicData>
            </a:graphic>
          </wp:anchor>
        </w:drawing>
      </w:r>
    </w:p>
    <w:p>
      <w:pPr>
        <w:spacing w:after="0" w:line="308" w:lineRule="exact"/>
        <w:rPr>
          <w:sz w:val="20"/>
          <w:szCs w:val="20"/>
          <w:color w:val="auto"/>
        </w:rPr>
      </w:pPr>
    </w:p>
    <w:p>
      <w:pPr>
        <w:ind w:left="680" w:hanging="463"/>
        <w:spacing w:after="0"/>
        <w:tabs>
          <w:tab w:leader="none" w:pos="6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requested in the Advance Notice</w:t>
      </w:r>
    </w:p>
    <w:p>
      <w:pPr>
        <w:spacing w:after="0" w:line="310" w:lineRule="exact"/>
        <w:rPr>
          <w:rFonts w:ascii="Times New Roman" w:cs="Times New Roman" w:eastAsia="Times New Roman" w:hAnsi="Times New Roman"/>
          <w:sz w:val="20"/>
          <w:szCs w:val="20"/>
          <w:color w:val="auto"/>
        </w:rPr>
      </w:pPr>
    </w:p>
    <w:p>
      <w:pPr>
        <w:ind w:left="680" w:hanging="463"/>
        <w:spacing w:after="0"/>
        <w:tabs>
          <w:tab w:leader="none" w:pos="6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Price (equal to the Conversion Price as defined in the Promissory Note)</w:t>
      </w:r>
    </w:p>
    <w:p>
      <w:pPr>
        <w:spacing w:after="0" w:line="310" w:lineRule="exact"/>
        <w:rPr>
          <w:rFonts w:ascii="Times New Roman" w:cs="Times New Roman" w:eastAsia="Times New Roman" w:hAnsi="Times New Roman"/>
          <w:sz w:val="20"/>
          <w:szCs w:val="20"/>
          <w:color w:val="auto"/>
        </w:rPr>
      </w:pPr>
    </w:p>
    <w:p>
      <w:pPr>
        <w:ind w:left="680" w:hanging="463"/>
        <w:spacing w:after="0"/>
        <w:tabs>
          <w:tab w:leader="none" w:pos="6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due to Investor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aggregate purchase price of the Shares to be paid by Investor pursuant to this Investor Notice and corresponding Advance Notice shall be offset against amounts outstanding under the Pre-Paid Advance evidenced by the Promissory Note dated [___________ ] (first towards accrued and unpaid interest, and then towards outstanding principal) as follows (and this information shall satisfy the obligations of the</w:t>
      </w:r>
    </w:p>
    <w:p>
      <w:pPr>
        <w:spacing w:after="0"/>
        <w:rPr>
          <w:sz w:val="20"/>
          <w:szCs w:val="20"/>
          <w:color w:val="auto"/>
        </w:rPr>
      </w:pPr>
      <w:r>
        <w:rPr>
          <w:rFonts w:ascii="Times New Roman" w:cs="Times New Roman" w:eastAsia="Times New Roman" w:hAnsi="Times New Roman"/>
          <w:sz w:val="20"/>
          <w:szCs w:val="20"/>
          <w:color w:val="auto"/>
        </w:rPr>
        <w:t>Investor to deliver a Settlement Document pursuant to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tbl>
      <w:tblPr>
        <w:tblLayout w:type="fixed"/>
        <w:tblInd w:w="10" w:type="dxa"/>
        <w:tblCellMar>
          <w:top w:w="0" w:type="dxa"/>
          <w:left w:w="0" w:type="dxa"/>
          <w:bottom w:w="0" w:type="dxa"/>
          <w:right w:w="0" w:type="dxa"/>
        </w:tblCellMar>
      </w:tblPr>
      <w:tr>
        <w:trPr>
          <w:trHeight w:val="387"/>
        </w:trPr>
        <w:tc>
          <w:tcPr>
            <w:tcW w:w="520" w:type="dxa"/>
            <w:vAlign w:val="bottom"/>
            <w:tcBorders>
              <w:top w:val="single" w:sz="8" w:color="auto"/>
              <w:left w:val="single" w:sz="8" w:color="auto"/>
              <w:right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1.</w:t>
            </w:r>
          </w:p>
        </w:tc>
        <w:tc>
          <w:tcPr>
            <w:tcW w:w="84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Amount offset against accrued and unpaid Interest</w:t>
            </w:r>
          </w:p>
        </w:tc>
        <w:tc>
          <w:tcPr>
            <w:tcW w:w="2280" w:type="dxa"/>
            <w:vAlign w:val="bottom"/>
            <w:tcBorders>
              <w:top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$[____________]</w:t>
            </w:r>
          </w:p>
        </w:tc>
      </w:tr>
      <w:tr>
        <w:trPr>
          <w:trHeight w:val="139"/>
        </w:trPr>
        <w:tc>
          <w:tcPr>
            <w:tcW w:w="520" w:type="dxa"/>
            <w:vAlign w:val="bottom"/>
            <w:tcBorders>
              <w:left w:val="single" w:sz="8" w:color="auto"/>
              <w:bottom w:val="single" w:sz="8" w:color="auto"/>
              <w:right w:val="single" w:sz="8" w:color="auto"/>
            </w:tcBorders>
          </w:tcPr>
          <w:p>
            <w:pPr>
              <w:spacing w:after="0"/>
              <w:rPr>
                <w:sz w:val="12"/>
                <w:szCs w:val="12"/>
                <w:color w:val="auto"/>
              </w:rPr>
            </w:pPr>
          </w:p>
        </w:tc>
        <w:tc>
          <w:tcPr>
            <w:tcW w:w="8440" w:type="dxa"/>
            <w:vAlign w:val="bottom"/>
            <w:tcBorders>
              <w:bottom w:val="single" w:sz="8" w:color="auto"/>
              <w:right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r>
      <w:tr>
        <w:trPr>
          <w:trHeight w:val="381"/>
        </w:trPr>
        <w:tc>
          <w:tcPr>
            <w:tcW w:w="520" w:type="dxa"/>
            <w:vAlign w:val="bottom"/>
            <w:tcBorders>
              <w:right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2.</w:t>
            </w:r>
          </w:p>
        </w:tc>
        <w:tc>
          <w:tcPr>
            <w:tcW w:w="8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Amount offset against Principal</w:t>
            </w:r>
          </w:p>
        </w:tc>
        <w:tc>
          <w:tcPr>
            <w:tcW w:w="22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$[____________]</w:t>
            </w:r>
          </w:p>
        </w:tc>
      </w:tr>
      <w:tr>
        <w:trPr>
          <w:trHeight w:val="143"/>
        </w:trPr>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right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r>
      <w:tr>
        <w:trPr>
          <w:trHeight w:val="378"/>
        </w:trPr>
        <w:tc>
          <w:tcPr>
            <w:tcW w:w="520" w:type="dxa"/>
            <w:vAlign w:val="bottom"/>
            <w:tcBorders>
              <w:right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3.</w:t>
            </w:r>
          </w:p>
        </w:tc>
        <w:tc>
          <w:tcPr>
            <w:tcW w:w="8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Total amount of the Promissory Note outstanding following the Advance</w:t>
            </w:r>
          </w:p>
        </w:tc>
        <w:tc>
          <w:tcPr>
            <w:tcW w:w="22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$[____________]</w:t>
            </w:r>
          </w:p>
        </w:tc>
      </w:tr>
      <w:tr>
        <w:trPr>
          <w:trHeight w:val="143"/>
        </w:trPr>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right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issue the number of Shares due to the Investor to the account of the Investor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DTC PARTICIPANT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NAME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has executed this Investor Notice as of the date first set forth above.</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YA II PN, L</w:t>
      </w:r>
      <w:r>
        <w:rPr>
          <w:rFonts w:ascii="Times New Roman" w:cs="Times New Roman" w:eastAsia="Times New Roman" w:hAnsi="Times New Roman"/>
          <w:sz w:val="13"/>
          <w:szCs w:val="13"/>
          <w:b w:val="1"/>
          <w:bCs w:val="1"/>
          <w:color w:val="auto"/>
        </w:rPr>
        <w:t>td</w:t>
      </w:r>
      <w:r>
        <w:rPr>
          <w:rFonts w:ascii="Times New Roman" w:cs="Times New Roman" w:eastAsia="Times New Roman" w:hAnsi="Times New Roman"/>
          <w:sz w:val="20"/>
          <w:szCs w:val="20"/>
          <w:b w:val="1"/>
          <w:bCs w:val="1"/>
          <w:color w:val="auto"/>
        </w:rPr>
        <w:t>.</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Yorkville Advisors Global, LP</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By: Yorkville Advisors Global II, LLC</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GLOBAL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1388745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4" w:name="page45"/>
    <w:bookmarkEnd w:id="44"/>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664210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ANNEX I TO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STANDBY EQUITY PURCHASE AGREEMENT</w:t>
      </w:r>
    </w:p>
    <w:p>
      <w:pPr>
        <w:spacing w:after="0" w:line="205" w:lineRule="exact"/>
        <w:rPr>
          <w:sz w:val="20"/>
          <w:szCs w:val="20"/>
          <w:color w:val="auto"/>
        </w:rPr>
      </w:pPr>
    </w:p>
    <w:p>
      <w:pPr>
        <w:jc w:val="center"/>
        <w:ind w:right="60"/>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CONDITIONS PRECEDENT TO THE INVESTOR’S OBLIGATION TO FUND THE SUBEQUENT PRE-PAID ADVANCES</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obligation of the Investor to advance to the Company each tranche of the Subsequent Pre-Paid Advance hereunder at each Pre-Advance Closing is subject to the satisfaction, as of the date of such Pre-Advance Closing, of each of the following conditions, provided that these conditions are for the Investor’s sole benefit and may be waived by the Investor at any time in its sole discretion by providing the Company with prior written notice thereof:</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The Company shall have duly executed and delivered to the Investor each of the Transaction Documents to which it is a party and the Company shall have duly executed and delivered to the Investor a Promissory Note with a principal amount corresponding to the amount of the Subsequent Pre-Paid Advance (before any deductions made thereto).</w:t>
      </w:r>
    </w:p>
    <w:p>
      <w:pPr>
        <w:jc w:val="both"/>
        <w:spacing w:after="0" w:line="230"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The Company shall have delivered to the Investor a compliance certificate executed by the chief executive officer of the Company certifying that Company has complied with all of the conditions precedent to the Pre-Advance Closing set forth herein and which may be relied upon by the Investor as evidence of satisfaction of such conditions without any obligation to independently verify, and in the case of the First and Second Closing, all of the conditions precedent to the Pre-Advance Closing shall have been satisfied within ten days of the date of this Agreement.</w:t>
      </w:r>
    </w:p>
    <w:p>
      <w:pPr>
        <w:spacing w:after="0" w:line="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The Investor shall have received an opinion of counsel to the Company, dated on or before the Pre-Advance Closing Date, in a form reasonably acceptable to the Investor.</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The Investor shall have received a closing statement in a form to be agreed by the parties, duly executed by an officer of the Company, setting forth wire transfer instructions of the Company for the payment of the amount of the Subsequent Pre-Paid Advance, the amount to be paid by the Investor, and any other deductions that may be agreed by the parties.</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The Company shall have delivered to the Investor copies of its and each Subsidiaries copies of its charter, as well as any shareholder or operating agreements by or among the shareholders or members of any of the Company’s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jc w:val="both"/>
        <w:spacing w:after="0" w:line="241" w:lineRule="auto"/>
        <w:rPr>
          <w:sz w:val="20"/>
          <w:szCs w:val="20"/>
          <w:color w:val="auto"/>
        </w:rPr>
      </w:pP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The Company shall have delivered to the Investor a certificate evidencing the incorporation and good standing of the Company as of a date within ten (10) days of the Pre-Advance Closing Date.</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The board of directors of the Company has approved the transactions contemplated by the Transaction Documents; said approval has not been amended, rescinded or modified and remains in full force and effect as of the date hereof, and a true, correct and complete copy of such resolutions duly adopted by the board of directors of the Company shall have been provided to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Each and every representation and warranty of the Company shall be true and correct in all material respects (other than representations and warranties qualified by materiality, which shall be true and correct in all respects) as of the date when made and as of the date of the Pre-Advance Closing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set forth in each Transaction Document required to be performed, satisfied or complied with by the Company at or prior to the Pre-Advance Closing date.</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The Company shall have obtained all governmental, regulatory or third party consents and approvals, if any, necessary for the grant of the Promissory Notes.</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As of the Pre-Advance Closing Date, no event or series of events shall have occurred that has resulted in or would reasonably be expected to result in a Material Adverse Effect., or an Event of Default.</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u w:val="single" w:color="auto"/>
          <w:color w:val="auto"/>
        </w:rPr>
        <w:t>(l)</w:t>
      </w:r>
      <w:r>
        <w:rPr>
          <w:rFonts w:ascii="Times New Roman" w:cs="Times New Roman" w:eastAsia="Times New Roman" w:hAnsi="Times New Roman"/>
          <w:sz w:val="22"/>
          <w:szCs w:val="22"/>
          <w:color w:val="auto"/>
        </w:rPr>
        <w:t>No material breach of this Agreement or any Transaction Document shall have occurred (with the passage of time or the giving of notice, or both, would constitute a material breach of this Agreement or any Transaction Document).</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The Company and its Subsidiaries shall have delivered to the Investor such other documents, instruments or certificates relating to the transactions contemplated by this Agreement as the Investor or its counsel may reasonably request.</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Those certain unsecured convertible loans, dated as of June 30, 2023, by and between the Original Company and Igoy Lychagov, as amended, shall (i) no longer be in default, (ii) have been amended to reflect the cure of such default, the evidence of which has been provided to the Investor prior to the Pre-Advance Closing Date, for which the Investor has affirmatively confirmed its approval to the Original Company (e-mail shall be sufficient).</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u w:val="single" w:color="auto"/>
          <w:color w:val="auto"/>
        </w:rPr>
        <w:t>(o)</w:t>
      </w:r>
      <w:r>
        <w:rPr>
          <w:rFonts w:ascii="Times New Roman" w:cs="Times New Roman" w:eastAsia="Times New Roman" w:hAnsi="Times New Roman"/>
          <w:sz w:val="22"/>
          <w:szCs w:val="22"/>
          <w:color w:val="auto"/>
        </w:rPr>
        <w:t>The Intercreditor Agreement shall have been duly executed and delivered to the Investor, pursuant to which, among other things, the Investor shall share recoveries enforced under the debentures referenced therein.</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(p)</w:t>
      </w:r>
      <w:r>
        <w:rPr>
          <w:rFonts w:ascii="Times New Roman" w:cs="Times New Roman" w:eastAsia="Times New Roman" w:hAnsi="Times New Roman"/>
          <w:sz w:val="22"/>
          <w:szCs w:val="22"/>
          <w:color w:val="auto"/>
        </w:rPr>
        <w:t>The Original Company shall have delivered to the Investor evidence of additional debt instruments providing the Original Company with net proceeds which amount, in the aggregate, to a minimum of USD $2 million, exclusive of the amount to be provided pursuant to this Agreement. Such evidence shall be acceptable solely at the discretion of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1103630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spacing w:after="0" w:line="200" w:lineRule="exact"/>
        <w:rPr>
          <w:sz w:val="20"/>
          <w:szCs w:val="20"/>
          <w:color w:val="auto"/>
        </w:rPr>
      </w:pPr>
    </w:p>
    <w:p>
      <w:pPr>
        <w:spacing w:after="0" w:line="22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2"/>
          <w:szCs w:val="22"/>
          <w:u w:val="single" w:color="auto"/>
          <w:color w:val="auto"/>
        </w:rPr>
        <w:t>(q)</w:t>
      </w:r>
      <w:r>
        <w:rPr>
          <w:rFonts w:ascii="Times New Roman" w:cs="Times New Roman" w:eastAsia="Times New Roman" w:hAnsi="Times New Roman"/>
          <w:sz w:val="22"/>
          <w:szCs w:val="22"/>
          <w:color w:val="auto"/>
        </w:rPr>
        <w:t>Solely with respect to the Second Closing, the Registration Statement shall have been filed with the SEC in accordance with the provisions set forth in the Registration Rights Agreement, including the filing deadline set forth therein.</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Solely with respect to the Third Closing, the Registration Statement shall be effective in accordance with the provisions set forth in the Registration Rights Agreement, including the effectiveness deadline set froth therein.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ANNEX II TO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STANDBY EQUITY PURCHASE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CONDITIONS PRECEDENT TO THE RIGHT OF THE COMPANY TO DELIVER AN ADVANCE NOTICE</w:t>
      </w:r>
    </w:p>
    <w:p>
      <w:pPr>
        <w:spacing w:after="0" w:line="200" w:lineRule="exact"/>
        <w:rPr>
          <w:sz w:val="20"/>
          <w:szCs w:val="20"/>
          <w:color w:val="auto"/>
        </w:rPr>
      </w:pPr>
    </w:p>
    <w:p>
      <w:pPr>
        <w:spacing w:after="0" w:line="2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right of the Company to deliver an Advance Notice and the obligations of the Investor hereunder with respect to an Advance are subject to the satisfaction or waiver, on each Advance Notice Date (a “</w:t>
      </w:r>
      <w:r>
        <w:rPr>
          <w:rFonts w:ascii="Times New Roman" w:cs="Times New Roman" w:eastAsia="Times New Roman" w:hAnsi="Times New Roman"/>
          <w:sz w:val="22"/>
          <w:szCs w:val="22"/>
          <w:u w:val="single" w:color="auto"/>
          <w:color w:val="auto"/>
        </w:rPr>
        <w:t>Condition Satisfaction Date</w:t>
      </w:r>
      <w:r>
        <w:rPr>
          <w:rFonts w:ascii="Times New Roman" w:cs="Times New Roman" w:eastAsia="Times New Roman" w:hAnsi="Times New Roman"/>
          <w:sz w:val="22"/>
          <w:szCs w:val="22"/>
          <w:color w:val="auto"/>
        </w:rPr>
        <w:t>”), of each of the following conditions:</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(t)Accuracy of the Company’s Representations and Warranties</w:t>
      </w:r>
      <w:r>
        <w:rPr>
          <w:rFonts w:ascii="Times New Roman" w:cs="Times New Roman" w:eastAsia="Times New Roman" w:hAnsi="Times New Roman"/>
          <w:sz w:val="22"/>
          <w:szCs w:val="22"/>
          <w:color w:val="auto"/>
        </w:rPr>
        <w:t>. The representations and warranties of the Company in this Agreement shall be true and correct in all material respects as of the Advance Notice Date, except to the extend such representations and warranties are as of another date, such representations and warranties shall be true and correct as of such other date.</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u w:val="single" w:color="auto"/>
          <w:color w:val="auto"/>
        </w:rPr>
        <w:t>(u)Registration of the Common Shares with the SEC</w:t>
      </w:r>
      <w:r>
        <w:rPr>
          <w:rFonts w:ascii="Times New Roman" w:cs="Times New Roman" w:eastAsia="Times New Roman" w:hAnsi="Times New Roman"/>
          <w:sz w:val="22"/>
          <w:szCs w:val="22"/>
          <w:color w:val="auto"/>
        </w:rPr>
        <w:t>. There is an effective Registration Statement pursuant to which the Investor is permitted to utilize the prospectus thereunder to resell all of the Common Shares issuable pursuant to such Advance Notice. The Company shall have filed with the SEC in a timely manner all reports, notices and other documents required under the Exchange Act and applicable SEC regulations during the twelve-month period immediately preceding the applicable Condition Satisfaction Date.</w:t>
      </w:r>
    </w:p>
    <w:p>
      <w:pPr>
        <w:spacing w:after="0" w:line="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u w:val="single" w:color="auto"/>
          <w:color w:val="auto"/>
        </w:rPr>
        <w:t>(v)Authority</w:t>
      </w:r>
      <w:r>
        <w:rPr>
          <w:rFonts w:ascii="Times New Roman" w:cs="Times New Roman" w:eastAsia="Times New Roman" w:hAnsi="Times New Roman"/>
          <w:sz w:val="22"/>
          <w:szCs w:val="22"/>
          <w:color w:val="auto"/>
        </w:rPr>
        <w:t>. The Company shall have obtained all permits and qualifications required by any applicable state for the offer and sale of all the Common Shares issuable pursuant to such Advance Notice, or shall have the availability of exemptions therefrom. The sale and issuance of such Common Shares shall be legally permitted by all applicable laws and regulations to which the Company is subject.</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u w:val="single" w:color="auto"/>
          <w:color w:val="auto"/>
        </w:rPr>
        <w:t>(w)Board</w:t>
      </w:r>
      <w:r>
        <w:rPr>
          <w:rFonts w:ascii="Times New Roman" w:cs="Times New Roman" w:eastAsia="Times New Roman" w:hAnsi="Times New Roman"/>
          <w:sz w:val="22"/>
          <w:szCs w:val="22"/>
          <w:color w:val="auto"/>
        </w:rPr>
        <w:t>. The board of directors of the Company has approved the transactions contemplated by the Transaction Documents; said approval has not been amended, rescinded or modified and remains in full force and effect as of the date hereof, and a true, correct and complete copy of such resolutions duly adopted by the board of directors of the Company shall have been provided to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1231900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(x)No Material Outside Event</w:t>
      </w:r>
      <w:r>
        <w:rPr>
          <w:rFonts w:ascii="Times New Roman" w:cs="Times New Roman" w:eastAsia="Times New Roman" w:hAnsi="Times New Roman"/>
          <w:sz w:val="22"/>
          <w:szCs w:val="22"/>
          <w:color w:val="auto"/>
        </w:rPr>
        <w:t>. No Material Outside Event shall have occurred and be continuing.</w:t>
      </w:r>
    </w:p>
    <w:p>
      <w:pPr>
        <w:spacing w:after="0" w:line="14"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22"/>
          <w:szCs w:val="22"/>
          <w:u w:val="single" w:color="auto"/>
          <w:color w:val="auto"/>
        </w:rPr>
        <w:t>(y)Performance by the Company</w:t>
      </w:r>
      <w:r>
        <w:rPr>
          <w:rFonts w:ascii="Times New Roman" w:cs="Times New Roman" w:eastAsia="Times New Roman" w:hAnsi="Times New Roman"/>
          <w:sz w:val="22"/>
          <w:szCs w:val="22"/>
          <w:color w:val="auto"/>
        </w:rPr>
        <w:t>. The Company shall have performed, satisfied and complied in all material respects with all covenants, agreements and conditions required by this Agreement to be performed, satisfied or complied with by the Company at or prior the applicable Condition Satisfaction Date.</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u w:val="single" w:color="auto"/>
          <w:color w:val="auto"/>
        </w:rPr>
        <w:t>(z)No Injunction</w:t>
      </w:r>
      <w:r>
        <w:rPr>
          <w:rFonts w:ascii="Times New Roman" w:cs="Times New Roman" w:eastAsia="Times New Roman" w:hAnsi="Times New Roman"/>
          <w:sz w:val="22"/>
          <w:szCs w:val="22"/>
          <w:color w:val="auto"/>
        </w:rPr>
        <w:t>. No statute, rule, regulation, executive order, decree, ruling or injunction shall have been enacted, entered, promulgated or endorsed by any court or governmental authority of competent jurisdiction that prohibits or directly, materially and adversely affects any of the transactions contemplated by this Agreement.</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u w:val="single" w:color="auto"/>
          <w:color w:val="auto"/>
        </w:rPr>
        <w:t>(aa)No Suspension of Trading in or Delisting of Common Shares</w:t>
      </w:r>
      <w:r>
        <w:rPr>
          <w:rFonts w:ascii="Times New Roman" w:cs="Times New Roman" w:eastAsia="Times New Roman" w:hAnsi="Times New Roman"/>
          <w:sz w:val="22"/>
          <w:szCs w:val="22"/>
          <w:color w:val="auto"/>
        </w:rPr>
        <w:t>. The Common Shares are quoted for trading on the Principal Market and all of the Shares issuable pursuant to such Advance Notice will be listed or quoted for trading on the Principal Market. The issuance of Common Shares with respect to the applicable Advance Notice will not violate the shareholder approval requirements of the Principal Market. The Company shall not have received any written notice that is then still pending threatening the continued quotation of the Common Shares on the Principal Market.</w:t>
      </w:r>
    </w:p>
    <w:p>
      <w:pPr>
        <w:spacing w:after="0" w:line="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u w:val="single" w:color="auto"/>
          <w:color w:val="auto"/>
        </w:rPr>
        <w:t>(bb)Authorized</w:t>
      </w:r>
      <w:r>
        <w:rPr>
          <w:rFonts w:ascii="Times New Roman" w:cs="Times New Roman" w:eastAsia="Times New Roman" w:hAnsi="Times New Roman"/>
          <w:sz w:val="22"/>
          <w:szCs w:val="22"/>
          <w:color w:val="auto"/>
        </w:rPr>
        <w:t>. There shall be a sufficient authority to allot the number of unissued and otherwise unreserved Common Shares for the issuance of all of the Shares issuable pursuant to such Advance Notice.</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22"/>
          <w:szCs w:val="22"/>
          <w:u w:val="single" w:color="auto"/>
          <w:color w:val="auto"/>
        </w:rPr>
        <w:t>(cc)Executed Advance Notice</w:t>
      </w:r>
      <w:r>
        <w:rPr>
          <w:rFonts w:ascii="Times New Roman" w:cs="Times New Roman" w:eastAsia="Times New Roman" w:hAnsi="Times New Roman"/>
          <w:sz w:val="22"/>
          <w:szCs w:val="22"/>
          <w:color w:val="auto"/>
        </w:rPr>
        <w:t>. The representations contained in the applicable Advance Notice shall be true and correct in all material respects as of the applicable Condition Satisfaction Date.</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(dd)Consecutive Advance Notices</w:t>
      </w:r>
      <w:r>
        <w:rPr>
          <w:rFonts w:ascii="Times New Roman" w:cs="Times New Roman" w:eastAsia="Times New Roman" w:hAnsi="Times New Roman"/>
          <w:sz w:val="22"/>
          <w:szCs w:val="22"/>
          <w:color w:val="auto"/>
        </w:rPr>
        <w:t>. Except with respect to the first Advance Notice, the Company shall have delivered all Shares relating to all prior Advances, and at least five Trading Days has elapsed since the Closing of the prior Advance (unless such period is shortened with the agreement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1231900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ind w:left="988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39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NEITHER THIS NOTE NOR THE SECURITIES INTO WHICH THIS NOTE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b w:val="1"/>
          <w:bCs w:val="1"/>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REZOLVE LIMITED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onvertible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romissory</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Original Principal Amount: $5,000,000 Issuance Date: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September </w:t>
      </w:r>
      <w:r>
        <w:rPr>
          <w:rFonts w:ascii="Arial" w:cs="Arial" w:eastAsia="Arial" w:hAnsi="Arial"/>
          <w:sz w:val="17"/>
          <w:szCs w:val="17"/>
          <w:color w:val="auto"/>
        </w:rPr>
        <w:t>9</w:t>
      </w:r>
      <w:r>
        <w:rPr>
          <w:rFonts w:ascii="Times New Roman" w:cs="Times New Roman" w:eastAsia="Times New Roman" w:hAnsi="Times New Roman"/>
          <w:sz w:val="22"/>
          <w:szCs w:val="22"/>
          <w:b w:val="1"/>
          <w:bCs w:val="1"/>
          <w:color w:val="auto"/>
        </w:rPr>
        <w:t xml:space="preserve"> , 2024 Number: RZLV-2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-29210</wp:posOffset>
            </wp:positionV>
            <wp:extent cx="1270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185" w:lineRule="exact"/>
        <w:rPr>
          <w:sz w:val="20"/>
          <w:szCs w:val="20"/>
          <w:color w:val="auto"/>
        </w:rPr>
      </w:pPr>
    </w:p>
    <w:p>
      <w:pPr>
        <w:jc w:val="both"/>
        <w:ind w:firstLine="1496"/>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FOR VALUE RECEIVED, </w:t>
      </w:r>
      <w:r>
        <w:rPr>
          <w:rFonts w:ascii="Times New Roman" w:cs="Times New Roman" w:eastAsia="Times New Roman" w:hAnsi="Times New Roman"/>
          <w:sz w:val="21"/>
          <w:szCs w:val="21"/>
          <w:color w:val="auto"/>
        </w:rPr>
        <w:t>REZOLVE AI LIMITED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company incorporated in England and Wales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registered number 1457369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hereby promises to pay to the order of YA II PN, LTD., or its registered assigns (the “</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 the amount set out above as the Original Principal Amount (as reduced pursuant to the terms hereof pursuant to repayment, redemption, conversion or otherwise, the “</w:t>
      </w:r>
      <w:r>
        <w:rPr>
          <w:rFonts w:ascii="Times New Roman" w:cs="Times New Roman" w:eastAsia="Times New Roman" w:hAnsi="Times New Roman"/>
          <w:sz w:val="21"/>
          <w:szCs w:val="21"/>
          <w:u w:val="single" w:color="auto"/>
          <w:color w:val="auto"/>
        </w:rPr>
        <w:t>Principal</w:t>
      </w:r>
      <w:r>
        <w:rPr>
          <w:rFonts w:ascii="Times New Roman" w:cs="Times New Roman" w:eastAsia="Times New Roman" w:hAnsi="Times New Roman"/>
          <w:sz w:val="21"/>
          <w:szCs w:val="21"/>
          <w:color w:val="auto"/>
        </w:rPr>
        <w:t>”) and Payment Premium or Redemption Premium, as applicable, in each case when due, and to pay interest (“</w:t>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 on any outstanding Principal at the applicable Interest Rate (as defined below) from the date set out above as the Issuance Date (the “</w:t>
      </w:r>
      <w:r>
        <w:rPr>
          <w:rFonts w:ascii="Times New Roman" w:cs="Times New Roman" w:eastAsia="Times New Roman" w:hAnsi="Times New Roman"/>
          <w:sz w:val="21"/>
          <w:szCs w:val="21"/>
          <w:u w:val="single" w:color="auto"/>
          <w:color w:val="auto"/>
        </w:rPr>
        <w:t>Issuance Date</w:t>
      </w:r>
      <w:r>
        <w:rPr>
          <w:rFonts w:ascii="Times New Roman" w:cs="Times New Roman" w:eastAsia="Times New Roman" w:hAnsi="Times New Roman"/>
          <w:sz w:val="21"/>
          <w:szCs w:val="21"/>
          <w:color w:val="auto"/>
        </w:rPr>
        <w:t>”) until the same becomes due and payable, whether upon the Maturity Date or acceleration, conversion, redemption or otherwise (in each case in accordance with the terms hereof). Certain capitalized terms used herein are defined in Section (12). The Issuance Date is the date of the first issuance of this Convertible Promissory Note (the “</w:t>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regardless of the number of transfers and regardless of the number of instruments, which may be issued to evidence such Note. This Note was issued with a 5% original issue discount.</w:t>
      </w:r>
    </w:p>
    <w:p>
      <w:pPr>
        <w:spacing w:after="0" w:line="175" w:lineRule="exact"/>
        <w:rPr>
          <w:sz w:val="20"/>
          <w:szCs w:val="20"/>
          <w:color w:val="auto"/>
        </w:rPr>
      </w:pPr>
    </w:p>
    <w:p>
      <w:pPr>
        <w:jc w:val="both"/>
        <w:ind w:firstLine="1496"/>
        <w:spacing w:after="0" w:line="235" w:lineRule="auto"/>
        <w:rPr>
          <w:sz w:val="20"/>
          <w:szCs w:val="20"/>
          <w:color w:val="auto"/>
        </w:rPr>
      </w:pPr>
      <w:r>
        <w:rPr>
          <w:rFonts w:ascii="Times New Roman" w:cs="Times New Roman" w:eastAsia="Times New Roman" w:hAnsi="Times New Roman"/>
          <w:sz w:val="22"/>
          <w:szCs w:val="22"/>
          <w:color w:val="auto"/>
        </w:rPr>
        <w:t>This Note is being issued pursuant to Section 2.02 of the Second Amended and Restated Standby Equity Purchase Agreement, dated as of September 6, 2024 (as may be amended, amended and restated, extended, supplemented or otherwise modified in writing from time to time, the “</w:t>
      </w:r>
      <w:r>
        <w:rPr>
          <w:rFonts w:ascii="Times New Roman" w:cs="Times New Roman" w:eastAsia="Times New Roman" w:hAnsi="Times New Roman"/>
          <w:sz w:val="22"/>
          <w:szCs w:val="22"/>
          <w:u w:val="single" w:color="auto"/>
          <w:color w:val="auto"/>
        </w:rPr>
        <w:t>SEPA</w:t>
      </w:r>
      <w:r>
        <w:rPr>
          <w:rFonts w:ascii="Times New Roman" w:cs="Times New Roman" w:eastAsia="Times New Roman" w:hAnsi="Times New Roman"/>
          <w:sz w:val="22"/>
          <w:szCs w:val="22"/>
          <w:color w:val="auto"/>
        </w:rPr>
        <w:t>”), between the Company and the YA II PN, Ltd., as the Investor. This Note may be repaid in accordance with the terms of the SEPA, including, without limitation, pursuant to Investor Notices and corresponding Advance Notices deemed given by the Company in connection with such Investor Notices. The Holder also has the option of converting on one or more occasions all or part of the then outstanding balance under this Note by delivering to the Company one or more Conversion Notices in accordance with Section 3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207010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91" w:right="459" w:bottom="1440" w:gutter="0" w:footer="0" w:header="0"/>
        </w:sectPr>
      </w:pPr>
    </w:p>
    <w:bookmarkStart w:id="49" w:name="page50"/>
    <w:bookmarkEnd w:id="49"/>
    <w:p>
      <w:pPr>
        <w:ind w:left="2300" w:hanging="750"/>
        <w:spacing w:after="0"/>
        <w:tabs>
          <w:tab w:leader="none" w:pos="2300" w:val="left"/>
        </w:tabs>
        <w:numPr>
          <w:ilvl w:val="0"/>
          <w:numId w:val="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GENERAL TERMS</w:t>
      </w:r>
    </w:p>
    <w:p>
      <w:pPr>
        <w:spacing w:after="0" w:line="206" w:lineRule="exact"/>
        <w:rPr>
          <w:sz w:val="20"/>
          <w:szCs w:val="20"/>
          <w:color w:val="auto"/>
        </w:rPr>
      </w:pPr>
    </w:p>
    <w:p>
      <w:pPr>
        <w:jc w:val="both"/>
        <w:ind w:left="60" w:firstLine="2246"/>
        <w:spacing w:after="0" w:line="236" w:lineRule="auto"/>
        <w:rPr>
          <w:sz w:val="20"/>
          <w:szCs w:val="20"/>
          <w:color w:val="auto"/>
        </w:rPr>
      </w:pPr>
      <w:r>
        <w:rPr>
          <w:rFonts w:ascii="Times New Roman" w:cs="Times New Roman" w:eastAsia="Times New Roman" w:hAnsi="Times New Roman"/>
          <w:sz w:val="22"/>
          <w:szCs w:val="22"/>
          <w:u w:val="single" w:color="auto"/>
          <w:color w:val="auto"/>
        </w:rPr>
        <w:t>(a) Maturity Date</w:t>
      </w:r>
      <w:r>
        <w:rPr>
          <w:rFonts w:ascii="Times New Roman" w:cs="Times New Roman" w:eastAsia="Times New Roman" w:hAnsi="Times New Roman"/>
          <w:sz w:val="22"/>
          <w:szCs w:val="22"/>
          <w:color w:val="auto"/>
        </w:rPr>
        <w:t>. On the Maturity Date, the Company shall pay to the Holder an amount in cash representing all outstanding Principal, plus accrued and unpaid Interest, plus any other amounts outstanding pursuant to the terms of this Note. The "</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shall be September 11, 2025, as may be extended at the option of the Holder. Other than as specifically permitted by this Note, the Company may not prepay or redeem any portion of the outstanding Principal and accrued and unpaid Interest. Payments under and in connection with this Note shall be subject in all respects to the terms of the Intercreditor Agreement</w:t>
      </w:r>
    </w:p>
    <w:p>
      <w:pPr>
        <w:spacing w:after="0" w:line="181" w:lineRule="exact"/>
        <w:rPr>
          <w:sz w:val="20"/>
          <w:szCs w:val="20"/>
          <w:color w:val="auto"/>
        </w:rPr>
      </w:pPr>
    </w:p>
    <w:p>
      <w:pPr>
        <w:jc w:val="both"/>
        <w:ind w:left="60" w:firstLine="2246"/>
        <w:spacing w:after="0" w:line="238" w:lineRule="auto"/>
        <w:rPr>
          <w:sz w:val="20"/>
          <w:szCs w:val="20"/>
          <w:color w:val="auto"/>
        </w:rPr>
      </w:pPr>
      <w:r>
        <w:rPr>
          <w:rFonts w:ascii="Times New Roman" w:cs="Times New Roman" w:eastAsia="Times New Roman" w:hAnsi="Times New Roman"/>
          <w:sz w:val="22"/>
          <w:szCs w:val="22"/>
          <w:u w:val="single" w:color="auto"/>
          <w:color w:val="auto"/>
        </w:rPr>
        <w:t>(b)Interest Rate and Payment of Interest</w:t>
      </w:r>
      <w:r>
        <w:rPr>
          <w:rFonts w:ascii="Times New Roman" w:cs="Times New Roman" w:eastAsia="Times New Roman" w:hAnsi="Times New Roman"/>
          <w:sz w:val="22"/>
          <w:szCs w:val="22"/>
          <w:color w:val="auto"/>
        </w:rPr>
        <w:t>. Interest shall accrue on the outstanding Principal balance hereof at an annual rate equal to 10% (“</w:t>
      </w:r>
      <w:r>
        <w:rPr>
          <w:rFonts w:ascii="Times New Roman" w:cs="Times New Roman" w:eastAsia="Times New Roman" w:hAnsi="Times New Roman"/>
          <w:sz w:val="22"/>
          <w:szCs w:val="22"/>
          <w:u w:val="single" w:color="auto"/>
          <w:color w:val="auto"/>
        </w:rPr>
        <w:t>Interest Rate</w:t>
      </w:r>
      <w:r>
        <w:rPr>
          <w:rFonts w:ascii="Times New Roman" w:cs="Times New Roman" w:eastAsia="Times New Roman" w:hAnsi="Times New Roman"/>
          <w:sz w:val="22"/>
          <w:szCs w:val="22"/>
          <w:color w:val="auto"/>
        </w:rPr>
        <w:t>”), which Interest Rate shall increase to an annual rate of 18% upon the occurrence of an Event of Default (for so long as such event remains uncured). Interest shall be calculated based on a 365-day year and the actual number of days elapsed, to the extent permitted by applicable law. Interest shall be paid on the Maturity Date.</w:t>
      </w:r>
    </w:p>
    <w:p>
      <w:pPr>
        <w:spacing w:after="0" w:line="177" w:lineRule="exact"/>
        <w:rPr>
          <w:sz w:val="20"/>
          <w:szCs w:val="20"/>
          <w:color w:val="auto"/>
        </w:rPr>
      </w:pPr>
    </w:p>
    <w:p>
      <w:pPr>
        <w:jc w:val="both"/>
        <w:ind w:left="60" w:firstLine="2246"/>
        <w:spacing w:after="0" w:line="235" w:lineRule="auto"/>
        <w:rPr>
          <w:sz w:val="20"/>
          <w:szCs w:val="20"/>
          <w:color w:val="auto"/>
        </w:rPr>
      </w:pPr>
      <w:r>
        <w:rPr>
          <w:rFonts w:ascii="Times New Roman" w:cs="Times New Roman" w:eastAsia="Times New Roman" w:hAnsi="Times New Roman"/>
          <w:sz w:val="22"/>
          <w:szCs w:val="22"/>
          <w:u w:val="single" w:color="auto"/>
          <w:color w:val="auto"/>
        </w:rPr>
        <w:t>(c)Monthly Payments</w:t>
      </w:r>
      <w:r>
        <w:rPr>
          <w:rFonts w:ascii="Times New Roman" w:cs="Times New Roman" w:eastAsia="Times New Roman" w:hAnsi="Times New Roman"/>
          <w:sz w:val="22"/>
          <w:szCs w:val="22"/>
          <w:color w:val="auto"/>
        </w:rPr>
        <w:t>. If, any time after the Issuance Date, and from time to time thereafter, a Trigger Event occurs, then the Company shall make monthly payments by the 7th Trading Day after the Trigger Date and continuing on the same day of each successive Calendar Month. Each monthly payment shall be in an amount equal to the sum of (i) $1,875,000 of Principal in the aggregate among this Note and all Other Notes (other than Note Number RZLV- 1) (or the outstanding Principal if less than such amount) (the “</w:t>
      </w:r>
      <w:r>
        <w:rPr>
          <w:rFonts w:ascii="Times New Roman" w:cs="Times New Roman" w:eastAsia="Times New Roman" w:hAnsi="Times New Roman"/>
          <w:sz w:val="22"/>
          <w:szCs w:val="22"/>
          <w:u w:val="single" w:color="auto"/>
          <w:color w:val="auto"/>
        </w:rPr>
        <w:t>Triggered Principal Amount</w:t>
      </w:r>
      <w:r>
        <w:rPr>
          <w:rFonts w:ascii="Times New Roman" w:cs="Times New Roman" w:eastAsia="Times New Roman" w:hAnsi="Times New Roman"/>
          <w:sz w:val="22"/>
          <w:szCs w:val="22"/>
          <w:color w:val="auto"/>
        </w:rPr>
        <w:t>”), plus</w:t>
      </w:r>
    </w:p>
    <w:p>
      <w:pPr>
        <w:ind w:left="360" w:hanging="309"/>
        <w:spacing w:after="0" w:line="230" w:lineRule="auto"/>
        <w:tabs>
          <w:tab w:leader="none" w:pos="3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Premium (as defined below) in respect of such Triggered Principal Amount, plus</w:t>
      </w:r>
    </w:p>
    <w:p>
      <w:pPr>
        <w:spacing w:after="0" w:line="1" w:lineRule="exact"/>
        <w:rPr>
          <w:rFonts w:ascii="Times New Roman" w:cs="Times New Roman" w:eastAsia="Times New Roman" w:hAnsi="Times New Roman"/>
          <w:sz w:val="22"/>
          <w:szCs w:val="22"/>
          <w:color w:val="auto"/>
        </w:rPr>
      </w:pPr>
    </w:p>
    <w:p>
      <w:pPr>
        <w:jc w:val="both"/>
        <w:ind w:left="60" w:hanging="9"/>
        <w:spacing w:after="0" w:line="232" w:lineRule="auto"/>
        <w:tabs>
          <w:tab w:leader="none" w:pos="48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and unpaid Interest hereunder as of each payment date. The obligation of the Company to make monthly prepayments related to a Trigger Event shall cease (with respect to any payment that has not yet become due) if any time after the Trigger Date (A) in the event of a Floor Price Trigger, the daily VWAP is greater than 110% of the Floor Price then in effect for any five (5) of seven (7) consecutive Trading Days, or the date that the Company reduces the Floor Price in accordance with the terms of this Note, or (B) in the event of an Exchange Cap Trigger, the date the Company has obtained stockholder approval to increase the number of Common Shares under the Exchange Cap and/ or the Exchange Cap no longer applies, unless a subsequent Trigger Event occurs.</w:t>
      </w:r>
    </w:p>
    <w:p>
      <w:pPr>
        <w:spacing w:after="0" w:line="181" w:lineRule="exact"/>
        <w:rPr>
          <w:sz w:val="20"/>
          <w:szCs w:val="20"/>
          <w:color w:val="auto"/>
        </w:rPr>
      </w:pPr>
    </w:p>
    <w:p>
      <w:pPr>
        <w:jc w:val="both"/>
        <w:ind w:left="60" w:firstLine="2246"/>
        <w:spacing w:after="0" w:line="246" w:lineRule="auto"/>
        <w:rPr>
          <w:sz w:val="20"/>
          <w:szCs w:val="20"/>
          <w:color w:val="auto"/>
        </w:rPr>
      </w:pPr>
      <w:r>
        <w:rPr>
          <w:rFonts w:ascii="Times New Roman" w:cs="Times New Roman" w:eastAsia="Times New Roman" w:hAnsi="Times New Roman"/>
          <w:sz w:val="21"/>
          <w:szCs w:val="21"/>
          <w:u w:val="single" w:color="auto"/>
          <w:color w:val="auto"/>
        </w:rPr>
        <w:t>(d)Optional Redemption</w:t>
      </w:r>
      <w:r>
        <w:rPr>
          <w:rFonts w:ascii="Times New Roman" w:cs="Times New Roman" w:eastAsia="Times New Roman" w:hAnsi="Times New Roman"/>
          <w:sz w:val="21"/>
          <w:szCs w:val="21"/>
          <w:color w:val="auto"/>
        </w:rPr>
        <w:t>. The Company at its option shall have the right, but not the obligation, to redeem (“</w:t>
      </w:r>
      <w:r>
        <w:rPr>
          <w:rFonts w:ascii="Times New Roman" w:cs="Times New Roman" w:eastAsia="Times New Roman" w:hAnsi="Times New Roman"/>
          <w:sz w:val="21"/>
          <w:szCs w:val="21"/>
          <w:u w:val="single" w:color="auto"/>
          <w:color w:val="auto"/>
        </w:rPr>
        <w:t>Optional Redemption</w:t>
      </w:r>
      <w:r>
        <w:rPr>
          <w:rFonts w:ascii="Times New Roman" w:cs="Times New Roman" w:eastAsia="Times New Roman" w:hAnsi="Times New Roman"/>
          <w:sz w:val="21"/>
          <w:szCs w:val="21"/>
          <w:color w:val="auto"/>
        </w:rPr>
        <w:t xml:space="preserve">”) early a portion or all amounts outstanding under this Note as described in this Section;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(x) (i) the Company provides the Holder with at least 10 Trading Days’ prior written notice (each, a “</w:t>
      </w:r>
      <w:r>
        <w:rPr>
          <w:rFonts w:ascii="Times New Roman" w:cs="Times New Roman" w:eastAsia="Times New Roman" w:hAnsi="Times New Roman"/>
          <w:sz w:val="21"/>
          <w:szCs w:val="21"/>
          <w:u w:val="single" w:color="auto"/>
          <w:color w:val="auto"/>
        </w:rPr>
        <w:t>Redemption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of its desire to exercise an Optional Redemption, and (ii) on the date the Redemption Notice is issued, the VWAP of the Common Stock is less than the Fixed Price or (y) the Company provides a Redemption Notice prior to the consummation of the Business Combination (as defined in the SEPA). Each Redemption Notice shall be irrevocable and shall specify the outstanding balance of the Note to be redeemed and the Redemption Amount. The “</w:t>
      </w:r>
      <w:r>
        <w:rPr>
          <w:rFonts w:ascii="Times New Roman" w:cs="Times New Roman" w:eastAsia="Times New Roman" w:hAnsi="Times New Roman"/>
          <w:sz w:val="21"/>
          <w:szCs w:val="21"/>
          <w:u w:val="single" w:color="auto"/>
          <w:color w:val="auto"/>
        </w:rPr>
        <w:t>Redemption Amount</w:t>
      </w:r>
      <w:r>
        <w:rPr>
          <w:rFonts w:ascii="Times New Roman" w:cs="Times New Roman" w:eastAsia="Times New Roman" w:hAnsi="Times New Roman"/>
          <w:sz w:val="21"/>
          <w:szCs w:val="21"/>
          <w:color w:val="auto"/>
        </w:rPr>
        <w:t>” shall be equal to the outstanding Principal balance being redeemed by the Company, plus the Redemption Premium (as defined below), plus all accrued and unpaid Interest. After receipt of the Redemption Notice, the Holder shall have 10 Trading Days to elect to convert all or any portion of the Note. On the 11th Trading Day after the Redemption Notice, the Company shall deliver to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95" w:right="459" w:bottom="1440" w:gutter="0" w:footer="0" w:header="0"/>
        </w:sectPr>
      </w:pPr>
    </w:p>
    <w:bookmarkStart w:id="50" w:name="page51"/>
    <w:bookmarkEnd w:id="50"/>
    <w:p>
      <w:pPr>
        <w:ind w:left="60" w:right="200"/>
        <w:spacing w:after="0" w:line="258" w:lineRule="auto"/>
        <w:rPr>
          <w:sz w:val="20"/>
          <w:szCs w:val="20"/>
          <w:color w:val="auto"/>
        </w:rPr>
      </w:pPr>
      <w:r>
        <w:rPr>
          <w:rFonts w:ascii="Times New Roman" w:cs="Times New Roman" w:eastAsia="Times New Roman" w:hAnsi="Times New Roman"/>
          <w:sz w:val="22"/>
          <w:szCs w:val="22"/>
          <w:color w:val="auto"/>
        </w:rPr>
        <w:t>the Holder the Redemption Amount with respect to the Principal amount redeemed after giving effect to conversions or other payments effected during the 10 Trading Day period.</w:t>
      </w:r>
    </w:p>
    <w:p>
      <w:pPr>
        <w:spacing w:after="0" w:line="158" w:lineRule="exact"/>
        <w:rPr>
          <w:sz w:val="20"/>
          <w:szCs w:val="20"/>
          <w:color w:val="auto"/>
        </w:rPr>
      </w:pPr>
    </w:p>
    <w:p>
      <w:pPr>
        <w:jc w:val="both"/>
        <w:ind w:left="60" w:firstLine="2246"/>
        <w:spacing w:after="0" w:line="258" w:lineRule="auto"/>
        <w:rPr>
          <w:sz w:val="20"/>
          <w:szCs w:val="20"/>
          <w:color w:val="auto"/>
        </w:rPr>
      </w:pPr>
      <w:r>
        <w:rPr>
          <w:rFonts w:ascii="Times New Roman" w:cs="Times New Roman" w:eastAsia="Times New Roman" w:hAnsi="Times New Roman"/>
          <w:sz w:val="22"/>
          <w:szCs w:val="22"/>
          <w:u w:val="single" w:color="auto"/>
          <w:color w:val="auto"/>
        </w:rPr>
        <w:t>(e)Payment Dates</w:t>
      </w:r>
      <w:r>
        <w:rPr>
          <w:rFonts w:ascii="Times New Roman" w:cs="Times New Roman" w:eastAsia="Times New Roman" w:hAnsi="Times New Roman"/>
          <w:sz w:val="22"/>
          <w:szCs w:val="22"/>
          <w:color w:val="auto"/>
        </w:rPr>
        <w:t>. Whenever any payment or other obligation hereunder shall be due on a day other than a Business Day, such payment shall be made on the next succeeding Business Day.</w:t>
      </w:r>
    </w:p>
    <w:p>
      <w:pPr>
        <w:spacing w:after="0" w:line="158" w:lineRule="exact"/>
        <w:rPr>
          <w:sz w:val="20"/>
          <w:szCs w:val="20"/>
          <w:color w:val="auto"/>
        </w:rPr>
      </w:pPr>
    </w:p>
    <w:p>
      <w:pPr>
        <w:jc w:val="both"/>
        <w:ind w:left="60" w:firstLine="2246"/>
        <w:spacing w:after="0" w:line="245" w:lineRule="auto"/>
        <w:rPr>
          <w:sz w:val="20"/>
          <w:szCs w:val="20"/>
          <w:color w:val="auto"/>
        </w:rPr>
      </w:pPr>
      <w:r>
        <w:rPr>
          <w:rFonts w:ascii="Times New Roman" w:cs="Times New Roman" w:eastAsia="Times New Roman" w:hAnsi="Times New Roman"/>
          <w:sz w:val="21"/>
          <w:szCs w:val="21"/>
          <w:u w:val="single" w:color="auto"/>
          <w:color w:val="auto"/>
        </w:rPr>
        <w:t>(f)Intercreditor Agreement</w:t>
      </w:r>
      <w:r>
        <w:rPr>
          <w:rFonts w:ascii="Times New Roman" w:cs="Times New Roman" w:eastAsia="Times New Roman" w:hAnsi="Times New Roman"/>
          <w:sz w:val="21"/>
          <w:szCs w:val="21"/>
          <w:color w:val="auto"/>
        </w:rPr>
        <w:t>. The Company’s obligations under that certain Senior Secured Convertible Loan Note Instrument, originally dated December 16, 2021, issued by the Company, as amended and/or amended and restated from time to time (the “</w:t>
      </w:r>
      <w:r>
        <w:rPr>
          <w:rFonts w:ascii="Times New Roman" w:cs="Times New Roman" w:eastAsia="Times New Roman" w:hAnsi="Times New Roman"/>
          <w:sz w:val="21"/>
          <w:szCs w:val="21"/>
          <w:u w:val="single" w:color="auto"/>
          <w:color w:val="auto"/>
        </w:rPr>
        <w:t>Apeiron Secured Convertible Loan Note Instrument</w:t>
      </w:r>
      <w:r>
        <w:rPr>
          <w:rFonts w:ascii="Times New Roman" w:cs="Times New Roman" w:eastAsia="Times New Roman" w:hAnsi="Times New Roman"/>
          <w:sz w:val="21"/>
          <w:szCs w:val="21"/>
          <w:color w:val="auto"/>
        </w:rPr>
        <w:t>”) are secured by a first priority lien on all of the assets owned by the Company, pursuant to (i) a debenture entered into by the Company and Apeiron Investment Group Ltd. (“</w:t>
      </w:r>
      <w:r>
        <w:rPr>
          <w:rFonts w:ascii="Times New Roman" w:cs="Times New Roman" w:eastAsia="Times New Roman" w:hAnsi="Times New Roman"/>
          <w:sz w:val="21"/>
          <w:szCs w:val="21"/>
          <w:u w:val="single" w:color="auto"/>
          <w:color w:val="auto"/>
        </w:rPr>
        <w:t>Apeiron</w:t>
      </w:r>
      <w:r>
        <w:rPr>
          <w:rFonts w:ascii="Times New Roman" w:cs="Times New Roman" w:eastAsia="Times New Roman" w:hAnsi="Times New Roman"/>
          <w:sz w:val="21"/>
          <w:szCs w:val="21"/>
          <w:color w:val="auto"/>
        </w:rPr>
        <w:t>”) dated December 16, 2021, (ii) a debenture entered into by the Company and Apeiron dated November 21, 2022 and (iii) a debenture entered into by the Company and GLAS Trust Corporation Limited dated as of May 23, 2023 (the “</w:t>
      </w:r>
      <w:r>
        <w:rPr>
          <w:rFonts w:ascii="Times New Roman" w:cs="Times New Roman" w:eastAsia="Times New Roman" w:hAnsi="Times New Roman"/>
          <w:sz w:val="21"/>
          <w:szCs w:val="21"/>
          <w:u w:val="single" w:color="auto"/>
          <w:color w:val="auto"/>
        </w:rPr>
        <w:t>Security Documents</w:t>
      </w:r>
      <w:r>
        <w:rPr>
          <w:rFonts w:ascii="Times New Roman" w:cs="Times New Roman" w:eastAsia="Times New Roman" w:hAnsi="Times New Roman"/>
          <w:sz w:val="21"/>
          <w:szCs w:val="21"/>
          <w:color w:val="auto"/>
        </w:rPr>
        <w:t>”). Pursuant to that certain Intercreditor Agreement, dated on or about February 2, 2024, by and between the Holder, GLAS Trust Corporation Limited and the other parties thereto (the “</w:t>
      </w:r>
      <w:r>
        <w:rPr>
          <w:rFonts w:ascii="Times New Roman" w:cs="Times New Roman" w:eastAsia="Times New Roman" w:hAnsi="Times New Roman"/>
          <w:sz w:val="21"/>
          <w:szCs w:val="21"/>
          <w:u w:val="single" w:color="auto"/>
          <w:color w:val="auto"/>
        </w:rPr>
        <w:t>Intercreditor Agreement</w:t>
      </w:r>
      <w:r>
        <w:rPr>
          <w:rFonts w:ascii="Times New Roman" w:cs="Times New Roman" w:eastAsia="Times New Roman" w:hAnsi="Times New Roman"/>
          <w:sz w:val="21"/>
          <w:szCs w:val="21"/>
          <w:color w:val="auto"/>
        </w:rPr>
        <w:t xml:space="preserve">”), this Note shall have certain rights and obligations in addition to those included herein, in accordance with the security interests granted by the Security Documents, pursuant to the terms and subject to the conditions set forth in the Intercreditor Agreement. The form of Intercreditor Agreement is attached as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 xml:space="preserve"> to the SEPA. In the event of any inconsistency between the provisions of this Note and the provisions of the Intercreditor Agreement, the Intercreditor Agreement shall prevail.</w:t>
      </w:r>
    </w:p>
    <w:p>
      <w:pPr>
        <w:spacing w:after="0" w:line="174" w:lineRule="exact"/>
        <w:rPr>
          <w:sz w:val="20"/>
          <w:szCs w:val="20"/>
          <w:color w:val="auto"/>
        </w:rPr>
      </w:pPr>
    </w:p>
    <w:p>
      <w:pPr>
        <w:ind w:left="2300" w:hanging="750"/>
        <w:spacing w:after="0"/>
        <w:tabs>
          <w:tab w:leader="none" w:pos="2300" w:val="left"/>
        </w:tabs>
        <w:numPr>
          <w:ilvl w:val="0"/>
          <w:numId w:val="1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60" w:firstLine="2246"/>
        <w:spacing w:after="0" w:line="244"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w:t>
      </w:r>
    </w:p>
    <w:p>
      <w:pPr>
        <w:spacing w:after="0" w:line="173" w:lineRule="exact"/>
        <w:rPr>
          <w:sz w:val="20"/>
          <w:szCs w:val="20"/>
          <w:color w:val="auto"/>
        </w:rPr>
      </w:pPr>
    </w:p>
    <w:p>
      <w:pPr>
        <w:jc w:val="both"/>
        <w:ind w:left="60" w:firstLine="2988"/>
        <w:spacing w:after="0" w:line="244" w:lineRule="auto"/>
        <w:tabs>
          <w:tab w:leader="none" w:pos="351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failure to pay to the Holder any amount of Principal, Redemption Premium, Payment Premium, Interest, or other amounts when and as due under this Note or any other Transaction Document within five (5) Trading Days after such payment is due;</w:t>
      </w:r>
    </w:p>
    <w:p>
      <w:pPr>
        <w:spacing w:after="0" w:line="173" w:lineRule="exact"/>
        <w:rPr>
          <w:rFonts w:ascii="Times New Roman" w:cs="Times New Roman" w:eastAsia="Times New Roman" w:hAnsi="Times New Roman"/>
          <w:sz w:val="22"/>
          <w:szCs w:val="22"/>
          <w:color w:val="auto"/>
        </w:rPr>
      </w:pPr>
    </w:p>
    <w:p>
      <w:pPr>
        <w:jc w:val="both"/>
        <w:ind w:left="60" w:firstLine="2988"/>
        <w:spacing w:after="0" w:line="234" w:lineRule="auto"/>
        <w:tabs>
          <w:tab w:leader="none" w:pos="351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Subsidiary of the Company shall commence, or there shall be commenced against the Company or any Subsidiary of the Company under any applicable bankruptcy or insolvency laws as now or hereafter in effect or any successor thereto, or the Company or any Subsidiary of the Company commences any other proceeding under any reorganization, arrangement, adjustment of debt, relief of debtors, dissolution, insolvency or liquidation or similar law of any jurisdiction, whether now or hereafter in effect relating to the Company or any Subsidiary of the Company, any such bankruptcy, insolvency or other proceeding which remains undismissed for a period of sixty one (61) days; or the Company or any Subsidiary of the Company is adjudicated insolvent or bankrupt; or any order of relief or other order approving any such case or proceeding is entered; or the Company or any Subsidiary of the Company suffers any appointment of any custodian, private or court appointed receiver or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95" w:right="459" w:bottom="1440" w:gutter="0" w:footer="0" w:header="0"/>
        </w:sectPr>
      </w:pPr>
    </w:p>
    <w:bookmarkStart w:id="51" w:name="page52"/>
    <w:bookmarkEnd w:id="51"/>
    <w:p>
      <w:pPr>
        <w:jc w:val="both"/>
        <w:ind w:left="60"/>
        <w:spacing w:after="0" w:line="235" w:lineRule="auto"/>
        <w:rPr>
          <w:sz w:val="20"/>
          <w:szCs w:val="20"/>
          <w:color w:val="auto"/>
        </w:rPr>
      </w:pPr>
      <w:r>
        <w:rPr>
          <w:rFonts w:ascii="Times New Roman" w:cs="Times New Roman" w:eastAsia="Times New Roman" w:hAnsi="Times New Roman"/>
          <w:sz w:val="22"/>
          <w:szCs w:val="22"/>
          <w:color w:val="auto"/>
        </w:rPr>
        <w:t>the like for it or all or substantially all of its property which continues undischarged or unstayed for a period of sixty one (61) days; or the Company or any Subsidiary of the Company makes a general assignment of all or substantially all of its assets for the benefit of creditors; or the Company or any Subsidiary of the Company shall fail to pay, or shall state that it is unable to pay, or shall be unable to pay, its debts generally as they become due; or the Company or any Subsidiary of the Company shall call a meeting of its creditors with a view to arranging a composition, adjustment or restructuring of its debts; or the Company or any Subsidiary of the Company shall by any act or failure to act expressly indicate its consent to, approval of or acquiescence in any of the foregoing; or any corporate or other action is taken by the Company or any Subsidiary of the Company for the purpose of effecting any of the foregoing;</w:t>
      </w:r>
    </w:p>
    <w:p>
      <w:pPr>
        <w:spacing w:after="0" w:line="178" w:lineRule="exact"/>
        <w:rPr>
          <w:sz w:val="20"/>
          <w:szCs w:val="20"/>
          <w:color w:val="auto"/>
        </w:rPr>
      </w:pPr>
    </w:p>
    <w:p>
      <w:pPr>
        <w:jc w:val="both"/>
        <w:ind w:left="60" w:firstLine="2988"/>
        <w:spacing w:after="0" w:line="235" w:lineRule="auto"/>
        <w:tabs>
          <w:tab w:leader="none" w:pos="351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Subsidiary of the Company shall default, in any of its obligations under any debenture (including, for the avoidance of doubt, any other convertible debenture, or Apeiron Secured Convertible Loan Note Instrument),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or any Subsidiary of the Company in an amount exceeding $250,000, whether such indebtedness now exists or shall hereafter be created and such default is not cured within five (5) Trading Days, and as a result, such indebtedness becomes or is declared due and payable;</w:t>
      </w:r>
    </w:p>
    <w:p>
      <w:pPr>
        <w:spacing w:after="0" w:line="183" w:lineRule="exact"/>
        <w:rPr>
          <w:rFonts w:ascii="Times New Roman" w:cs="Times New Roman" w:eastAsia="Times New Roman" w:hAnsi="Times New Roman"/>
          <w:sz w:val="22"/>
          <w:szCs w:val="22"/>
          <w:color w:val="auto"/>
        </w:rPr>
      </w:pPr>
    </w:p>
    <w:p>
      <w:pPr>
        <w:jc w:val="both"/>
        <w:ind w:left="60" w:firstLine="2988"/>
        <w:spacing w:after="0" w:line="234" w:lineRule="auto"/>
        <w:tabs>
          <w:tab w:leader="none" w:pos="351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final judgment or judgments for the payment of money aggregating in excess of $1,000,000 are rendered against the Company and/or any of its Subsidiaries and which judgments are not, within thirty (30) days after the entry thereof, bonded, discharged, settled or stayed pending appeal, or are not discharged within thirty (30) days after the expiration of such stay;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judgment which is covered by insurance or an indemnity from a credit worthy party shall not be included in calculating the $1,000,000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spacing w:after="0" w:line="183" w:lineRule="exact"/>
        <w:rPr>
          <w:rFonts w:ascii="Times New Roman" w:cs="Times New Roman" w:eastAsia="Times New Roman" w:hAnsi="Times New Roman"/>
          <w:sz w:val="22"/>
          <w:szCs w:val="22"/>
          <w:color w:val="auto"/>
        </w:rPr>
      </w:pPr>
    </w:p>
    <w:p>
      <w:pPr>
        <w:ind w:left="60" w:firstLine="2988"/>
        <w:spacing w:after="0" w:line="258" w:lineRule="auto"/>
        <w:tabs>
          <w:tab w:leader="none" w:pos="351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Shares shall cease to be quoted or listed for trading, as applicable, on any Primary Market for a period of five (5) consecutive Trading Days;</w:t>
      </w:r>
    </w:p>
    <w:p>
      <w:pPr>
        <w:spacing w:after="0" w:line="158" w:lineRule="exact"/>
        <w:rPr>
          <w:rFonts w:ascii="Times New Roman" w:cs="Times New Roman" w:eastAsia="Times New Roman" w:hAnsi="Times New Roman"/>
          <w:sz w:val="22"/>
          <w:szCs w:val="22"/>
          <w:color w:val="auto"/>
        </w:rPr>
      </w:pPr>
    </w:p>
    <w:p>
      <w:pPr>
        <w:jc w:val="both"/>
        <w:ind w:left="60" w:firstLine="2988"/>
        <w:spacing w:after="0" w:line="244" w:lineRule="auto"/>
        <w:tabs>
          <w:tab w:leader="none" w:pos="351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Subsidiary of the Company shall be a party to any Change of Control Transaction (as defined in Section (12)) unless in connection with such Change of Control Transaction this Note is retired;</w:t>
      </w:r>
    </w:p>
    <w:p>
      <w:pPr>
        <w:spacing w:after="0" w:line="173" w:lineRule="exact"/>
        <w:rPr>
          <w:rFonts w:ascii="Times New Roman" w:cs="Times New Roman" w:eastAsia="Times New Roman" w:hAnsi="Times New Roman"/>
          <w:sz w:val="22"/>
          <w:szCs w:val="22"/>
          <w:color w:val="auto"/>
        </w:rPr>
      </w:pPr>
    </w:p>
    <w:p>
      <w:pPr>
        <w:jc w:val="both"/>
        <w:ind w:left="60" w:firstLine="2988"/>
        <w:spacing w:after="0" w:line="239" w:lineRule="auto"/>
        <w:tabs>
          <w:tab w:leader="none" w:pos="351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 failure to deliver the required number of Common Shares to the Holder within two (2) Trading Days after the applicable Share Delivery Date or (B) notice, written or oral, to any holder of the Note, including by way of public announcement, at any time, of its intention not to comply with a request for conversion of any Note into Common Shares that is tendered in accordance with the provisions of the Note;</w:t>
      </w:r>
    </w:p>
    <w:p>
      <w:pPr>
        <w:spacing w:after="0" w:line="32" w:lineRule="exact"/>
        <w:rPr>
          <w:sz w:val="20"/>
          <w:szCs w:val="20"/>
          <w:color w:val="auto"/>
        </w:rPr>
      </w:pPr>
    </w:p>
    <w:p>
      <w:pPr>
        <w:jc w:val="both"/>
        <w:ind w:left="60" w:firstLine="2995"/>
        <w:spacing w:after="0" w:line="244" w:lineRule="auto"/>
        <w:rPr>
          <w:sz w:val="20"/>
          <w:szCs w:val="20"/>
          <w:color w:val="auto"/>
        </w:rPr>
      </w:pPr>
      <w:r>
        <w:rPr>
          <w:rFonts w:ascii="Times New Roman" w:cs="Times New Roman" w:eastAsia="Times New Roman" w:hAnsi="Times New Roman"/>
          <w:sz w:val="22"/>
          <w:szCs w:val="22"/>
          <w:color w:val="auto"/>
        </w:rPr>
        <w:t>(viii)The Company’s failure to timely file with the Commission any Periodic Report on or before the due date of such filing as established by the Commission, it being understood, for the avoidance of doubt, that due date includes any permitted filing deadline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95" w:right="459"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22"/>
          <w:szCs w:val="22"/>
          <w:color w:val="auto"/>
        </w:rPr>
        <w:t>extension under Rule 12b-25 under the Exchange Act;</w:t>
      </w:r>
    </w:p>
    <w:p>
      <w:pPr>
        <w:spacing w:after="0" w:line="206" w:lineRule="exact"/>
        <w:rPr>
          <w:sz w:val="20"/>
          <w:szCs w:val="20"/>
          <w:color w:val="auto"/>
        </w:rPr>
      </w:pPr>
    </w:p>
    <w:p>
      <w:pPr>
        <w:jc w:val="both"/>
        <w:ind w:left="60" w:firstLine="2988"/>
        <w:spacing w:after="0" w:line="239" w:lineRule="auto"/>
        <w:tabs>
          <w:tab w:leader="none" w:pos="351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representation or warranty made or deemed to be made by or on behalf of the Company in or in connection with any Transaction Document, or any waiver hereunder or thereunder, shall prove to have been incorrect in any material respect (or, in the case of any such representation or warranty already qualified by materiality, such representation or warranty shall prove to have been incorrect) when made or deemed made;</w:t>
      </w:r>
    </w:p>
    <w:p>
      <w:pPr>
        <w:spacing w:after="0" w:line="180" w:lineRule="exact"/>
        <w:rPr>
          <w:rFonts w:ascii="Times New Roman" w:cs="Times New Roman" w:eastAsia="Times New Roman" w:hAnsi="Times New Roman"/>
          <w:sz w:val="22"/>
          <w:szCs w:val="22"/>
          <w:color w:val="auto"/>
        </w:rPr>
      </w:pPr>
    </w:p>
    <w:p>
      <w:pPr>
        <w:jc w:val="both"/>
        <w:ind w:left="60" w:firstLine="2988"/>
        <w:spacing w:after="0" w:line="236" w:lineRule="auto"/>
        <w:tabs>
          <w:tab w:leader="none" w:pos="351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provision of any Transaction Document, at any time after its execution and delivery and for any reason other than as expressly permitted hereunder or thereunder, ceases to be in full force and effect; or the Company or any other Person contests in writing the validity or enforceability of any provision of any Transaction Document; or the Company denies in writing that it has any or further liability or obligation under any Transaction Document, or purports in writing to revoke, terminate (other than in line with the relevant termination provisions) or rescind any Transaction Document;</w:t>
      </w:r>
    </w:p>
    <w:p>
      <w:pPr>
        <w:spacing w:after="0" w:line="181" w:lineRule="exact"/>
        <w:rPr>
          <w:rFonts w:ascii="Times New Roman" w:cs="Times New Roman" w:eastAsia="Times New Roman" w:hAnsi="Times New Roman"/>
          <w:sz w:val="22"/>
          <w:szCs w:val="22"/>
          <w:color w:val="auto"/>
        </w:rPr>
      </w:pPr>
    </w:p>
    <w:p>
      <w:pPr>
        <w:jc w:val="both"/>
        <w:ind w:left="60" w:firstLine="2988"/>
        <w:spacing w:after="0" w:line="238" w:lineRule="auto"/>
        <w:tabs>
          <w:tab w:leader="none" w:pos="351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uses the proceeds of the issuance of this Note, whether directly or indirectly, and whether immediately, incidentally or ultimately, to purchase or carry margin stock (within the meaning of Regulations T, U and X of the Federal Reserve Board, as in effect from time to time and all official rulings and interpretations thereunder or thereof), or to extend credit to others for the purpose of purchasing or carrying margin stock or to refund indebtedness originally incurred for such purpose; or</w:t>
      </w:r>
    </w:p>
    <w:p>
      <w:pPr>
        <w:spacing w:after="0" w:line="176" w:lineRule="exact"/>
        <w:rPr>
          <w:rFonts w:ascii="Times New Roman" w:cs="Times New Roman" w:eastAsia="Times New Roman" w:hAnsi="Times New Roman"/>
          <w:sz w:val="22"/>
          <w:szCs w:val="22"/>
          <w:color w:val="auto"/>
        </w:rPr>
      </w:pPr>
    </w:p>
    <w:p>
      <w:pPr>
        <w:jc w:val="both"/>
        <w:ind w:left="60" w:firstLine="2988"/>
        <w:spacing w:after="0" w:line="244" w:lineRule="auto"/>
        <w:tabs>
          <w:tab w:leader="none" w:pos="351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of Default (as defined in the Other Notes or in any Transaction Document other than this Note) occurs with respect to any Other Notes, or any breach of any material term of any other debenture, note, or instrument held by the Holder in the Company or any agreement between or among the Company and the Holder; or</w:t>
      </w:r>
    </w:p>
    <w:p>
      <w:pPr>
        <w:spacing w:after="0" w:line="173" w:lineRule="exact"/>
        <w:rPr>
          <w:sz w:val="20"/>
          <w:szCs w:val="20"/>
          <w:color w:val="auto"/>
        </w:rPr>
      </w:pPr>
    </w:p>
    <w:p>
      <w:pPr>
        <w:jc w:val="both"/>
        <w:ind w:left="60" w:firstLine="2995"/>
        <w:spacing w:after="0" w:line="239" w:lineRule="auto"/>
        <w:rPr>
          <w:sz w:val="20"/>
          <w:szCs w:val="20"/>
          <w:color w:val="auto"/>
        </w:rPr>
      </w:pPr>
      <w:r>
        <w:rPr>
          <w:rFonts w:ascii="Times New Roman" w:cs="Times New Roman" w:eastAsia="Times New Roman" w:hAnsi="Times New Roman"/>
          <w:sz w:val="22"/>
          <w:szCs w:val="22"/>
          <w:color w:val="auto"/>
        </w:rPr>
        <w:t>(xiii)The Company shall fail to observe or perform any material covenant, agreement or warranty contained in, or otherwise commit any material breach or default of any provision of this Note (except as may be covered by Section (2)(a)(i) through (2)(a)(xii) hereof) or any other Transaction Document, which is not cured or remedied within the time prescribed or if no time is prescribed within five (5) Business Days,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95" w:right="459" w:bottom="1440" w:gutter="0" w:footer="0" w:header="0"/>
        </w:sectPr>
      </w:pPr>
    </w:p>
    <w:bookmarkStart w:id="53" w:name="page54"/>
    <w:bookmarkEnd w:id="53"/>
    <w:p>
      <w:pPr>
        <w:spacing w:after="0" w:line="84" w:lineRule="exact"/>
        <w:rPr>
          <w:sz w:val="20"/>
          <w:szCs w:val="20"/>
          <w:color w:val="auto"/>
        </w:rPr>
      </w:pPr>
    </w:p>
    <w:p>
      <w:pPr>
        <w:ind w:left="60" w:right="48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provided that</w:t>
      </w:r>
      <w:r>
        <w:rPr>
          <w:rFonts w:ascii="Times New Roman" w:cs="Times New Roman" w:eastAsia="Times New Roman" w:hAnsi="Times New Roman"/>
          <w:sz w:val="22"/>
          <w:szCs w:val="22"/>
          <w:color w:val="auto"/>
        </w:rPr>
        <w:t>, the consummation of the Pre-Closing Demerger and/or of the Business Combination shall not constitute 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Event of Default</w:t>
      </w:r>
    </w:p>
    <w:p>
      <w:pPr>
        <w:spacing w:after="0" w:line="151" w:lineRule="exact"/>
        <w:rPr>
          <w:sz w:val="20"/>
          <w:szCs w:val="20"/>
          <w:color w:val="auto"/>
        </w:rPr>
      </w:pPr>
    </w:p>
    <w:p>
      <w:pPr>
        <w:jc w:val="both"/>
        <w:ind w:left="60" w:firstLine="2246"/>
        <w:spacing w:after="0" w:line="236"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During the time that any portion of this Note is outstanding, if any Event of Default has occurred (other than an event with respect to the Company described in Section (2)(a)(ii)), the full unpaid Principal amount of this Note, together with interest and other amounts owing in respect thereof, to the date of acceleration shall become at the Holder's election given by notice pursuant to Section (5), immediately due and payable in cash; provided that, in the case of any event with respect to the Company described in Section (2)(a)(ii), the full unpaid Principal amount of this Note, together with interest and other amounts owing in respect thereof to the date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54" w:name="page55"/>
    <w:bookmarkEnd w:id="54"/>
    <w:p>
      <w:pPr>
        <w:jc w:val="both"/>
        <w:ind w:left="60" w:right="20"/>
        <w:spacing w:after="0" w:line="249" w:lineRule="auto"/>
        <w:rPr>
          <w:sz w:val="20"/>
          <w:szCs w:val="20"/>
          <w:color w:val="auto"/>
        </w:rPr>
      </w:pPr>
      <w:r>
        <w:rPr>
          <w:rFonts w:ascii="Times New Roman" w:cs="Times New Roman" w:eastAsia="Times New Roman" w:hAnsi="Times New Roman"/>
          <w:sz w:val="21"/>
          <w:szCs w:val="21"/>
          <w:color w:val="auto"/>
        </w:rPr>
        <w:t>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on one or more occasions all or part of the Note in accordance with Section</w:t>
      </w:r>
    </w:p>
    <w:p>
      <w:pPr>
        <w:spacing w:after="0" w:line="1" w:lineRule="exact"/>
        <w:rPr>
          <w:sz w:val="20"/>
          <w:szCs w:val="20"/>
          <w:color w:val="auto"/>
        </w:rPr>
      </w:pPr>
    </w:p>
    <w:p>
      <w:pPr>
        <w:ind w:left="460" w:hanging="407"/>
        <w:spacing w:after="0"/>
        <w:tabs>
          <w:tab w:leader="none" w:pos="460" w:val="left"/>
        </w:tabs>
        <w:numPr>
          <w:ilvl w:val="0"/>
          <w:numId w:val="1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(and subject to the limitations set out in Section (3)(c)(i) and Section (3)(c)(ii)) at any time after (x) an Event of Default or</w:t>
      </w:r>
    </w:p>
    <w:p>
      <w:pPr>
        <w:spacing w:after="0" w:line="1" w:lineRule="exact"/>
        <w:rPr>
          <w:rFonts w:ascii="Times New Roman" w:cs="Times New Roman" w:eastAsia="Times New Roman" w:hAnsi="Times New Roman"/>
          <w:sz w:val="21"/>
          <w:szCs w:val="21"/>
          <w:u w:val="single" w:color="auto"/>
          <w:color w:val="auto"/>
        </w:rPr>
      </w:pPr>
    </w:p>
    <w:p>
      <w:pPr>
        <w:jc w:val="both"/>
        <w:ind w:left="60"/>
        <w:spacing w:after="0" w:line="233" w:lineRule="auto"/>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2"/>
          <w:szCs w:val="22"/>
          <w:color w:val="auto"/>
        </w:rPr>
        <w:t>(y) the Maturity Date at the Conversion Price. The Holder need not provide and the Company hereby waives any presentment, demand, protest or other notice of any kind, (other than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w:t>
      </w:r>
    </w:p>
    <w:p>
      <w:pPr>
        <w:spacing w:after="0" w:line="179" w:lineRule="exact"/>
        <w:rPr>
          <w:rFonts w:ascii="Times New Roman" w:cs="Times New Roman" w:eastAsia="Times New Roman" w:hAnsi="Times New Roman"/>
          <w:sz w:val="21"/>
          <w:szCs w:val="21"/>
          <w:u w:val="single" w:color="auto"/>
          <w:color w:val="auto"/>
        </w:rPr>
      </w:pPr>
    </w:p>
    <w:p>
      <w:pPr>
        <w:ind w:left="60" w:right="480" w:firstLine="1490"/>
        <w:spacing w:after="0" w:line="258" w:lineRule="auto"/>
        <w:tabs>
          <w:tab w:leader="none" w:pos="1987" w:val="left"/>
        </w:tabs>
        <w:numPr>
          <w:ilvl w:val="1"/>
          <w:numId w:val="1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CONVERSION OF NOTE</w:t>
      </w:r>
      <w:r>
        <w:rPr>
          <w:rFonts w:ascii="Times New Roman" w:cs="Times New Roman" w:eastAsia="Times New Roman" w:hAnsi="Times New Roman"/>
          <w:sz w:val="22"/>
          <w:szCs w:val="22"/>
          <w:color w:val="auto"/>
        </w:rPr>
        <w:t>. This Note shall be convertible into shares of the Company's Common Shares, on the terms and conditions set forth in this Section (3).</w:t>
      </w:r>
    </w:p>
    <w:p>
      <w:pPr>
        <w:spacing w:after="0" w:line="158" w:lineRule="exact"/>
        <w:rPr>
          <w:sz w:val="20"/>
          <w:szCs w:val="20"/>
          <w:color w:val="auto"/>
        </w:rPr>
      </w:pPr>
    </w:p>
    <w:p>
      <w:pPr>
        <w:jc w:val="both"/>
        <w:ind w:left="60" w:firstLine="2246"/>
        <w:spacing w:after="0" w:line="246" w:lineRule="auto"/>
        <w:rPr>
          <w:sz w:val="20"/>
          <w:szCs w:val="20"/>
          <w:color w:val="auto"/>
        </w:rPr>
      </w:pPr>
      <w:r>
        <w:rPr>
          <w:rFonts w:ascii="Times New Roman" w:cs="Times New Roman" w:eastAsia="Times New Roman" w:hAnsi="Times New Roman"/>
          <w:sz w:val="21"/>
          <w:szCs w:val="21"/>
          <w:u w:val="single" w:color="auto"/>
          <w:color w:val="auto"/>
        </w:rPr>
        <w:t>(a)Conversion Right</w:t>
      </w:r>
      <w:r>
        <w:rPr>
          <w:rFonts w:ascii="Times New Roman" w:cs="Times New Roman" w:eastAsia="Times New Roman" w:hAnsi="Times New Roman"/>
          <w:sz w:val="21"/>
          <w:szCs w:val="21"/>
          <w:color w:val="auto"/>
        </w:rPr>
        <w:t>. Subject to the limitations of Section (3)(c), at any time or times on or after Issuance Date, the Holder shall be entitled to convert any portion of the outstanding and unpaid Conversion Amount into fully paid and nonassessable Common Shares in accordance with Section (3)(b), at the Conversion Price. The number of Common Shares issuable upon conversion of any Conversion Amount pursuant to this Section (3)(a) shall be determined by dividing (x) such Conversion Amount by (y) the Conversion Price. The Company shall not issue any fraction of a share of Common Shares upon any conversion. All calculations under this Section (3) shall be rounded to the nearest $0.0001. If the issuance would result in the issuance of a fraction of a share of Common Shares, the Company shall round such fraction of a share of Common Shares down to the nearest whole share. The Company shall pay any and all transfer, stamp and similar taxes that may be payable with respect to the issuance and delivery of Common Shares upon conversion of any Conversion Amount.</w:t>
      </w:r>
    </w:p>
    <w:p>
      <w:pPr>
        <w:spacing w:after="0" w:line="175" w:lineRule="exact"/>
        <w:rPr>
          <w:sz w:val="20"/>
          <w:szCs w:val="20"/>
          <w:color w:val="auto"/>
        </w:rPr>
      </w:pPr>
    </w:p>
    <w:p>
      <w:pPr>
        <w:ind w:left="3040" w:hanging="741"/>
        <w:spacing w:after="0"/>
        <w:tabs>
          <w:tab w:leader="none" w:pos="3040"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Mechanics of Conversion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jc w:val="both"/>
        <w:ind w:left="60" w:firstLine="2988"/>
        <w:spacing w:after="0" w:line="233" w:lineRule="auto"/>
        <w:tabs>
          <w:tab w:leader="none" w:pos="3514" w:val="left"/>
        </w:tabs>
        <w:numPr>
          <w:ilvl w:val="1"/>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Optional Conversion</w:t>
      </w:r>
      <w:r>
        <w:rPr>
          <w:rFonts w:ascii="Times New Roman" w:cs="Times New Roman" w:eastAsia="Times New Roman" w:hAnsi="Times New Roman"/>
          <w:sz w:val="22"/>
          <w:szCs w:val="22"/>
          <w:color w:val="auto"/>
        </w:rPr>
        <w:t>. To convert any Conversion Amount into Common Shares on any date (a "</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 xml:space="preserve">"), the Holder shall (A) transmit by email (or otherwise deliver), for receipt on or prior to 11:59 p.m., New York Time, on such date, a copy of an executed notice of conversion in the form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Conversion Notice</w:t>
      </w:r>
      <w:r>
        <w:rPr>
          <w:rFonts w:ascii="Times New Roman" w:cs="Times New Roman" w:eastAsia="Times New Roman" w:hAnsi="Times New Roman"/>
          <w:sz w:val="22"/>
          <w:szCs w:val="22"/>
          <w:color w:val="auto"/>
        </w:rPr>
        <w:t>") to the Company and (B) if required by Section (3)(b)(ii), surrender this Note to a nationally recognized overnight delivery service for delivery to the Company (or an indemnification undertaking reasonably satisfactory to the Company with respect to this Note in the case of its loss, theft or destruction). On or before the third (3</w:t>
      </w:r>
      <w:r>
        <w:rPr>
          <w:rFonts w:ascii="Times New Roman" w:cs="Times New Roman" w:eastAsia="Times New Roman" w:hAnsi="Times New Roman"/>
          <w:sz w:val="14"/>
          <w:szCs w:val="14"/>
          <w:color w:val="auto"/>
        </w:rPr>
        <w:t>rd</w:t>
      </w:r>
      <w:r>
        <w:rPr>
          <w:rFonts w:ascii="Times New Roman" w:cs="Times New Roman" w:eastAsia="Times New Roman" w:hAnsi="Times New Roman"/>
          <w:sz w:val="22"/>
          <w:szCs w:val="22"/>
          <w:color w:val="auto"/>
        </w:rPr>
        <w:t>) Trading Day following the date of receipt of a Conversion Notice (the "</w:t>
      </w:r>
      <w:r>
        <w:rPr>
          <w:rFonts w:ascii="Times New Roman" w:cs="Times New Roman" w:eastAsia="Times New Roman" w:hAnsi="Times New Roman"/>
          <w:sz w:val="22"/>
          <w:szCs w:val="22"/>
          <w:u w:val="single" w:color="auto"/>
          <w:color w:val="auto"/>
        </w:rPr>
        <w:t>Share Delivery Date</w:t>
      </w:r>
      <w:r>
        <w:rPr>
          <w:rFonts w:ascii="Times New Roman" w:cs="Times New Roman" w:eastAsia="Times New Roman" w:hAnsi="Times New Roman"/>
          <w:sz w:val="22"/>
          <w:szCs w:val="22"/>
          <w:color w:val="auto"/>
        </w:rPr>
        <w:t>"), the Company shall (X) if legends are not required to be placed on certificates of Common Shares and provided that the transfer agent is participating in the Depository Trust Company's ("</w:t>
      </w:r>
      <w:r>
        <w:rPr>
          <w:rFonts w:ascii="Times New Roman" w:cs="Times New Roman" w:eastAsia="Times New Roman" w:hAnsi="Times New Roman"/>
          <w:sz w:val="22"/>
          <w:szCs w:val="22"/>
          <w:u w:val="single" w:color="auto"/>
          <w:color w:val="auto"/>
        </w:rPr>
        <w:t>DTC</w:t>
      </w:r>
      <w:r>
        <w:rPr>
          <w:rFonts w:ascii="Times New Roman" w:cs="Times New Roman" w:eastAsia="Times New Roman" w:hAnsi="Times New Roman"/>
          <w:sz w:val="22"/>
          <w:szCs w:val="22"/>
          <w:color w:val="auto"/>
        </w:rPr>
        <w:t>") Fast Automated Securities Transfer Program, credit such aggregate number of Common Shares to which the Holder shall be entitled to the Holder's or its designee's balance account with DTC through its Deposit Withdrawal Agent Commission system or (Y) if the transfer agent is not participating in the DTC Fast Automated Securities Transfer Program, issue and deliver to the address as specified in the Conversion Notice, a certificate, registered in the name of the Holder or its designee, for the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95" w:right="459" w:bottom="1440" w:gutter="0" w:footer="0" w:header="0"/>
        </w:sectPr>
      </w:pPr>
    </w:p>
    <w:bookmarkStart w:id="55" w:name="page56"/>
    <w:bookmarkEnd w:id="55"/>
    <w:p>
      <w:pPr>
        <w:jc w:val="both"/>
        <w:ind w:left="60"/>
        <w:spacing w:after="0" w:line="235" w:lineRule="auto"/>
        <w:rPr>
          <w:sz w:val="20"/>
          <w:szCs w:val="20"/>
          <w:color w:val="auto"/>
        </w:rPr>
      </w:pPr>
      <w:r>
        <w:rPr>
          <w:rFonts w:ascii="Times New Roman" w:cs="Times New Roman" w:eastAsia="Times New Roman" w:hAnsi="Times New Roman"/>
          <w:sz w:val="22"/>
          <w:szCs w:val="22"/>
          <w:color w:val="auto"/>
        </w:rPr>
        <w:t>number of Common Shares to which the Holder shall be entitled which certificates shall not bear any restrictive legends unless required pursuant to rules and regulations of the Commission. If this Note is physically surrendered for conversion and the outstanding Principal of this Note is greater than the Principal portion of the Conversion Amount being converted, then the Company shall as soon as practicable and in no event later than three (3) Business Days after receipt of this Note and at its own expense, issue and deliver to the holder a new Note representing the outstanding Principal not converted. The Person or Persons entitled to receive the Common Shares issuable upon a conversion of this Note shall be treated for all purposes as the record holder or holders of such Common Shares upon the transmission of a Conversion Notice.</w:t>
      </w:r>
    </w:p>
    <w:p>
      <w:pPr>
        <w:spacing w:after="0" w:line="183" w:lineRule="exact"/>
        <w:rPr>
          <w:sz w:val="20"/>
          <w:szCs w:val="20"/>
          <w:color w:val="auto"/>
        </w:rPr>
      </w:pPr>
    </w:p>
    <w:p>
      <w:pPr>
        <w:jc w:val="both"/>
        <w:ind w:left="60" w:firstLine="2988"/>
        <w:spacing w:after="0" w:line="235" w:lineRule="auto"/>
        <w:tabs>
          <w:tab w:leader="none" w:pos="3514" w:val="left"/>
        </w:tabs>
        <w:numPr>
          <w:ilvl w:val="1"/>
          <w:numId w:val="1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Book-Entry</w:t>
      </w:r>
      <w:r>
        <w:rPr>
          <w:rFonts w:ascii="Times New Roman" w:cs="Times New Roman" w:eastAsia="Times New Roman" w:hAnsi="Times New Roman"/>
          <w:sz w:val="22"/>
          <w:szCs w:val="22"/>
          <w:color w:val="auto"/>
        </w:rPr>
        <w:t>. Notwithstanding anything to the contrary set forth herein, upon conversion of any portion of this Note in accordance with the terms hereof, the Holder shall not be required to physically surrender this Note to the Company unless (A) the full Conversion Amount represented by this Note is being converted or (B) the Holder has provided the Company with prior written notice (which notice may be included in a Conversion Notice) requesting reissuance of this Note upon physical surrender of this Note. The Holder and the Company shall maintain records showing the Principal and Interest converted and the dates of such conversions or shall use such other method, reasonably satisfactory to the Holder and the Company, so as not to require physical surrender of this Note upon conversion.</w:t>
      </w:r>
    </w:p>
    <w:p>
      <w:pPr>
        <w:spacing w:after="0" w:line="183" w:lineRule="exact"/>
        <w:rPr>
          <w:rFonts w:ascii="Times New Roman" w:cs="Times New Roman" w:eastAsia="Times New Roman" w:hAnsi="Times New Roman"/>
          <w:sz w:val="22"/>
          <w:szCs w:val="22"/>
          <w:u w:val="single" w:color="auto"/>
          <w:color w:val="auto"/>
        </w:rPr>
      </w:pPr>
    </w:p>
    <w:p>
      <w:pPr>
        <w:ind w:left="2680" w:hanging="381"/>
        <w:spacing w:after="0"/>
        <w:tabs>
          <w:tab w:leader="none" w:pos="2680" w:val="left"/>
        </w:tabs>
        <w:numPr>
          <w:ilvl w:val="0"/>
          <w:numId w:val="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Limitations on Conversions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jc w:val="both"/>
        <w:ind w:left="60" w:firstLine="2988"/>
        <w:spacing w:after="0" w:line="232" w:lineRule="auto"/>
        <w:tabs>
          <w:tab w:leader="none" w:pos="3514" w:val="left"/>
        </w:tabs>
        <w:numPr>
          <w:ilvl w:val="1"/>
          <w:numId w:val="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The Holder shall not have the right to convert any portion of this Note to the extent that after giving effect to such conversion, the Holder, together with any affiliate thereof, would beneficially own (as determined in accordance with Section 13(d) of the Exchange Act and the rules promulgated thereunder) in excess of 4.99% of the number of Common Shares outstanding immediately after giving effect to such conversion or receipt of shares as payment of interest. Since the Holder will not be obligated to report to the Company the number of Common Shares it may hold at the time of a conversion hereunder, unless the conversion at issue would result in the issuance of Common Shares in excess of 4.99% of the then outstanding Common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Note is convertible shall be the responsibility and obligation of the Holder. If the Holder has delivered a Conversion Notice for a Principal amount of this Note that, without regard to any other shares that the Holder or its affiliates may beneficially own, would result in the issuance in excess of the permitted amount hereunder, the Company shall notify the Holder of this fact and shall honor the conversion for the maximum Principal amount permitted to be converted on such Conversion Date in accordance with Section (3)(a) and, any Principal amount tendered for conversion in excess of the permitted amount hereunder shall remain outstanding under this Note. The provisions of this Section may be waived by a Holder (but only as to itself and not to any other Holder) upon not less than 65 days prior notice to the Company. Other Holders shall be unaffected by any such waiver.</w:t>
      </w:r>
    </w:p>
    <w:p>
      <w:pPr>
        <w:spacing w:after="0" w:line="188" w:lineRule="exact"/>
        <w:rPr>
          <w:sz w:val="20"/>
          <w:szCs w:val="20"/>
          <w:color w:val="auto"/>
        </w:rPr>
      </w:pPr>
    </w:p>
    <w:p>
      <w:pPr>
        <w:ind w:left="60" w:right="20" w:firstLine="2988"/>
        <w:spacing w:after="0" w:line="258" w:lineRule="auto"/>
        <w:tabs>
          <w:tab w:leader="none" w:pos="3514" w:val="left"/>
        </w:tabs>
        <w:numPr>
          <w:ilvl w:val="0"/>
          <w:numId w:val="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Principal Market Limitation</w:t>
      </w:r>
      <w:r>
        <w:rPr>
          <w:rFonts w:ascii="Times New Roman" w:cs="Times New Roman" w:eastAsia="Times New Roman" w:hAnsi="Times New Roman"/>
          <w:sz w:val="22"/>
          <w:szCs w:val="22"/>
          <w:color w:val="auto"/>
        </w:rPr>
        <w:t>. Notwithstanding anything in this Note to the contrary, the Company shall not issue any Common Shares upon conversion 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95" w:right="459" w:bottom="1440" w:gutter="0" w:footer="0" w:header="0"/>
        </w:sectPr>
      </w:pPr>
    </w:p>
    <w:bookmarkStart w:id="56" w:name="page57"/>
    <w:bookmarkEnd w:id="56"/>
    <w:p>
      <w:pPr>
        <w:jc w:val="both"/>
        <w:ind w:left="60"/>
        <w:spacing w:after="0" w:line="235" w:lineRule="auto"/>
        <w:rPr>
          <w:sz w:val="20"/>
          <w:szCs w:val="20"/>
          <w:color w:val="auto"/>
        </w:rPr>
      </w:pPr>
      <w:r>
        <w:rPr>
          <w:rFonts w:ascii="Times New Roman" w:cs="Times New Roman" w:eastAsia="Times New Roman" w:hAnsi="Times New Roman"/>
          <w:sz w:val="22"/>
          <w:szCs w:val="22"/>
          <w:color w:val="auto"/>
        </w:rPr>
        <w:t>this Note, or otherwise, if the issuance of such Common Shares, together with any Common Shares issued in connection with the SEPA and with any other related transactions that may be considered part of the same series of transactions, would exceed the aggregate number Common Shares that the Company may issue in a transaction in compliance with the Company’s obligations under the rules or regulations of Nasdaq Stock Market LLC (the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and shall be referred to as the “</w:t>
      </w:r>
      <w:r>
        <w:rPr>
          <w:rFonts w:ascii="Times New Roman" w:cs="Times New Roman" w:eastAsia="Times New Roman" w:hAnsi="Times New Roman"/>
          <w:sz w:val="22"/>
          <w:szCs w:val="22"/>
          <w:u w:val="single" w:color="auto"/>
          <w:color w:val="auto"/>
        </w:rPr>
        <w:t>Exchange Cap,</w:t>
      </w:r>
      <w:r>
        <w:rPr>
          <w:rFonts w:ascii="Times New Roman" w:cs="Times New Roman" w:eastAsia="Times New Roman" w:hAnsi="Times New Roman"/>
          <w:sz w:val="22"/>
          <w:szCs w:val="22"/>
          <w:color w:val="auto"/>
        </w:rPr>
        <w:t>” except that such limitation shall not apply if (i) the Company’s stockholders have approved such issuances on such terms in excess of the Exchange Cap in accordance with the rules of the Nasdaq or (ii) the Company is permitted to follow its home country practices instead of the stockholder approval requirements of Nasdaq Rule 5635, and has made such election to follow home country practice in accordance with the Nasdaq Rules.</w:t>
      </w:r>
    </w:p>
    <w:p>
      <w:pPr>
        <w:spacing w:after="0" w:line="178" w:lineRule="exact"/>
        <w:rPr>
          <w:sz w:val="20"/>
          <w:szCs w:val="20"/>
          <w:color w:val="auto"/>
        </w:rPr>
      </w:pPr>
    </w:p>
    <w:p>
      <w:pPr>
        <w:ind w:left="2680" w:hanging="381"/>
        <w:spacing w:after="0"/>
        <w:tabs>
          <w:tab w:leader="none" w:pos="2680" w:val="left"/>
        </w:tabs>
        <w:numPr>
          <w:ilvl w:val="0"/>
          <w:numId w:val="1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Other Provisions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ind w:left="3500" w:hanging="452"/>
        <w:spacing w:after="0"/>
        <w:tabs>
          <w:tab w:leader="none" w:pos="3500" w:val="left"/>
        </w:tabs>
        <w:numPr>
          <w:ilvl w:val="1"/>
          <w:numId w:val="1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All calculations under this Section (3) shall be rounded down to the nearest $0.0001 or</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whole share.</w:t>
      </w:r>
    </w:p>
    <w:p>
      <w:pPr>
        <w:spacing w:after="0" w:line="182" w:lineRule="exact"/>
        <w:rPr>
          <w:sz w:val="20"/>
          <w:szCs w:val="20"/>
          <w:color w:val="auto"/>
        </w:rPr>
      </w:pPr>
    </w:p>
    <w:p>
      <w:pPr>
        <w:jc w:val="both"/>
        <w:ind w:left="60" w:firstLine="2988"/>
        <w:spacing w:after="0" w:line="243" w:lineRule="auto"/>
        <w:tabs>
          <w:tab w:leader="none" w:pos="3514" w:val="left"/>
        </w:tabs>
        <w:numPr>
          <w:ilvl w:val="0"/>
          <w:numId w:val="2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So long as this Note or any Other Notes remain outstanding, the Company shall have reserved from its duly authorized share capital, and shall have instructed its transfer agent to irrevocably reserve, the maximum number of Common Shares issuable upon conversion of this Note and the Other Notes including any necessary disapplication of pre-emption rights (assuming for purposes hereof that (x) this Note and such Other Notes are convertible at the Floor Price as of the date of determination, (y) any such conversion shall not take into account any limitations on the conversion of the Note or Other Notes set forth herein or therein (the “</w:t>
      </w:r>
      <w:r>
        <w:rPr>
          <w:rFonts w:ascii="Times New Roman" w:cs="Times New Roman" w:eastAsia="Times New Roman" w:hAnsi="Times New Roman"/>
          <w:sz w:val="21"/>
          <w:szCs w:val="21"/>
          <w:u w:val="single" w:color="auto"/>
          <w:color w:val="auto"/>
        </w:rPr>
        <w:t>Required Reserve Amount</w:t>
      </w:r>
      <w:r>
        <w:rPr>
          <w:rFonts w:ascii="Times New Roman" w:cs="Times New Roman" w:eastAsia="Times New Roman" w:hAnsi="Times New Roman"/>
          <w:sz w:val="21"/>
          <w:szCs w:val="21"/>
          <w:color w:val="auto"/>
        </w:rPr>
        <w:t>”), provided that at no time shall the number of Common Shares reserved pursuant to this Section (3)(d)(ii) be reduced other than proportionally with respect to all Common Shares in connection with any conversion (other than pursuant to the conversion of this Note and the Other Notes in accordance with their terms) and/or cancellation, or reverse stock split. If at any time the number of Common Shares authorized but unissued and not otherwise reserved for issuance (including (i) in relation to equity or debt securities convertible into or exchangeable or exercisable for or that can be settled in Common Shares (other than the Note and the Other Notes) and (ii) Common Shares remaining available for issuance under the Company’s equity incentive plans) is not sufficient to meet the Required Reserve Amount, the Company will promptly take all corporate action necessary to propose to its general meeting of shareholders an increase of its authorized share capital necessary to meet the Company's obligations pursuant to this Note, recommending that shareholders vote in favor of such an increase. If at any time the number of Common Shares that remain available for issuance under the Exchange Cap is less than 100% of the maximum number of shares issuable upon conversion of all the Notes and Other Notes then outstanding (assuming for purposes hereof that (x) the Notes are convertible at the Conversion Price then in effect, and (y) any such conversion shall not take into account any limitations on the conversion of the Note, other than the Floor Price then in effect but solely with respect to the Variable Price), the Company will use commercially reasonable efforts to promptly call and hold a shareholder meeting for the purpose of seeking the approval of its shareholders as required by the applicable rules of the Principal Market, for issuances of shares in excess of the Exchange Cap. The Company covenants that, upon issuance in accordance with conversion of this Note in accordance with its terms, the Common Shares, when issued, will be validly issued, fully paid and nonassessable.</w:t>
      </w:r>
    </w:p>
    <w:p>
      <w:pPr>
        <w:spacing w:after="0" w:line="32" w:lineRule="exact"/>
        <w:rPr>
          <w:rFonts w:ascii="Times New Roman" w:cs="Times New Roman" w:eastAsia="Times New Roman" w:hAnsi="Times New Roman"/>
          <w:sz w:val="21"/>
          <w:szCs w:val="21"/>
          <w:u w:val="single" w:color="auto"/>
          <w:color w:val="auto"/>
        </w:rPr>
      </w:pPr>
    </w:p>
    <w:p>
      <w:pPr>
        <w:jc w:val="both"/>
        <w:ind w:left="60" w:firstLine="2988"/>
        <w:spacing w:after="0" w:line="244" w:lineRule="auto"/>
        <w:tabs>
          <w:tab w:leader="none" w:pos="3514" w:val="left"/>
        </w:tabs>
        <w:numPr>
          <w:ilvl w:val="0"/>
          <w:numId w:val="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Nothing herein shall limit a Holder's right to pursue actual damages or declare an Event of Default pursuant to Section (2) herein for the Company’s failure to deliver certificates representing Common Shares upon conversion within the period specified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512445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95" w:right="459" w:bottom="1440" w:gutter="0" w:footer="0" w:header="0"/>
        </w:sectPr>
      </w:pPr>
    </w:p>
    <w:bookmarkStart w:id="57" w:name="page58"/>
    <w:bookmarkEnd w:id="57"/>
    <w:p>
      <w:pPr>
        <w:jc w:val="both"/>
        <w:ind w:left="60"/>
        <w:spacing w:after="0" w:line="239" w:lineRule="auto"/>
        <w:rPr>
          <w:sz w:val="20"/>
          <w:szCs w:val="20"/>
          <w:color w:val="auto"/>
        </w:rPr>
      </w:pPr>
      <w:r>
        <w:rPr>
          <w:rFonts w:ascii="Times New Roman" w:cs="Times New Roman" w:eastAsia="Times New Roman" w:hAnsi="Times New Roman"/>
          <w:sz w:val="22"/>
          <w:szCs w:val="22"/>
          <w:color w:val="auto"/>
        </w:rPr>
        <w:t>herein and such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pacing w:after="0" w:line="180" w:lineRule="exact"/>
        <w:rPr>
          <w:sz w:val="20"/>
          <w:szCs w:val="20"/>
          <w:color w:val="auto"/>
        </w:rPr>
      </w:pPr>
    </w:p>
    <w:p>
      <w:pPr>
        <w:jc w:val="both"/>
        <w:ind w:left="60" w:firstLine="2988"/>
        <w:spacing w:after="0" w:line="235" w:lineRule="auto"/>
        <w:tabs>
          <w:tab w:leader="none" w:pos="3514" w:val="left"/>
        </w:tabs>
        <w:numPr>
          <w:ilvl w:val="0"/>
          <w:numId w:val="2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Legal Opinions</w:t>
      </w:r>
      <w:r>
        <w:rPr>
          <w:rFonts w:ascii="Times New Roman" w:cs="Times New Roman" w:eastAsia="Times New Roman" w:hAnsi="Times New Roman"/>
          <w:sz w:val="22"/>
          <w:szCs w:val="22"/>
          <w:color w:val="auto"/>
        </w:rPr>
        <w:t>. The Company is obligated to cause its legal counsel to deliver legal opinions to the Company’s transfer agent in connection with any legend removal upon the expiration of any holding period or other requirement for which the Underlying Shares may bear legends restricting the transfer thereof. To the extent that a legal opinion is not provided (either timely or at all), then, in addition to being an Event of Default hereunder, the Company agrees to reimburse the Holder for all reasonable costs incurred by the Holder in connection with any legal opinions paid for by the Holder in connection with sale or transfer of Underlying Common Shares. The Holder shall notify the Company of any such costs and expenses it incurs that are referred to in this section from time to time and all amounts owed hereunder shall be paid by the Company with reasonable promptness.</w:t>
      </w:r>
    </w:p>
    <w:p>
      <w:pPr>
        <w:spacing w:after="0" w:line="178" w:lineRule="exact"/>
        <w:rPr>
          <w:sz w:val="20"/>
          <w:szCs w:val="20"/>
          <w:color w:val="auto"/>
        </w:rPr>
      </w:pPr>
    </w:p>
    <w:p>
      <w:pPr>
        <w:jc w:val="both"/>
        <w:ind w:left="60" w:firstLine="2246"/>
        <w:spacing w:after="0" w:line="238" w:lineRule="auto"/>
        <w:rPr>
          <w:sz w:val="20"/>
          <w:szCs w:val="20"/>
          <w:color w:val="auto"/>
        </w:rPr>
      </w:pPr>
      <w:r>
        <w:rPr>
          <w:rFonts w:ascii="Times New Roman" w:cs="Times New Roman" w:eastAsia="Times New Roman" w:hAnsi="Times New Roman"/>
          <w:sz w:val="22"/>
          <w:szCs w:val="22"/>
          <w:u w:val="single" w:color="auto"/>
          <w:color w:val="auto"/>
        </w:rPr>
        <w:t>(e)Adjustment of Conversion Price upon Subdivision or Combination of Common Shares</w:t>
      </w:r>
      <w:r>
        <w:rPr>
          <w:rFonts w:ascii="Times New Roman" w:cs="Times New Roman" w:eastAsia="Times New Roman" w:hAnsi="Times New Roman"/>
          <w:sz w:val="22"/>
          <w:szCs w:val="22"/>
          <w:color w:val="auto"/>
        </w:rPr>
        <w:t>. If the Company, at any time while this Note is outstanding, shall (a) pay a stock dividend or otherwise make a distribution or distributions on shares of its Common Shares or any other equity or equity equivalent securities payable in Common Shares,</w:t>
      </w:r>
    </w:p>
    <w:p>
      <w:pPr>
        <w:jc w:val="both"/>
        <w:ind w:left="60" w:hanging="7"/>
        <w:spacing w:after="0" w:line="232" w:lineRule="auto"/>
        <w:tabs>
          <w:tab w:leader="none" w:pos="39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subdivide outstanding Common Shares into a larger number of shares, (c) combine (including by way of reverse stock split) outstanding Common Shares into a smaller number of shares, or (d) issue by reclassification of Common Shares any shares of capital stock of the Company, then each of the Fixed Price and the Floor Price shall be multiplied by a fraction of which the numerator shall be the number of Common Shares (excluding treasury shares, if any) outstanding before such event and of which the denominator shall be the number of Common Shares outstanding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 No adjustment shall be made pursuant to this clause by virtue of the Pre-Closing Demerger or the Business Combination.</w:t>
      </w:r>
    </w:p>
    <w:p>
      <w:pPr>
        <w:spacing w:after="0" w:line="178" w:lineRule="exact"/>
        <w:rPr>
          <w:sz w:val="20"/>
          <w:szCs w:val="20"/>
          <w:color w:val="auto"/>
        </w:rPr>
      </w:pPr>
    </w:p>
    <w:p>
      <w:pPr>
        <w:jc w:val="both"/>
        <w:ind w:left="60" w:firstLine="2246"/>
        <w:spacing w:after="0" w:line="234" w:lineRule="auto"/>
        <w:rPr>
          <w:sz w:val="20"/>
          <w:szCs w:val="20"/>
          <w:color w:val="auto"/>
        </w:rPr>
      </w:pPr>
      <w:r>
        <w:rPr>
          <w:rFonts w:ascii="Times New Roman" w:cs="Times New Roman" w:eastAsia="Times New Roman" w:hAnsi="Times New Roman"/>
          <w:sz w:val="22"/>
          <w:szCs w:val="22"/>
          <w:u w:val="single" w:color="auto"/>
          <w:color w:val="auto"/>
        </w:rPr>
        <w:t>(f)Other Corporate Events</w:t>
      </w:r>
      <w:r>
        <w:rPr>
          <w:rFonts w:ascii="Times New Roman" w:cs="Times New Roman" w:eastAsia="Times New Roman" w:hAnsi="Times New Roman"/>
          <w:sz w:val="22"/>
          <w:szCs w:val="22"/>
          <w:color w:val="auto"/>
        </w:rPr>
        <w:t>. In addition to and not in substitution for any other rights hereunder, prior to the consummation of any Fundamental Transaction pursuant to which holders of Common Shares are entitled to receive securities or other assets with respect to or in exchange for Common Shares (provided that neither the Pre-Closing Demerger nor the Business Combination shall constitute a Corporate Event) (a "</w:t>
      </w:r>
      <w:r>
        <w:rPr>
          <w:rFonts w:ascii="Times New Roman" w:cs="Times New Roman" w:eastAsia="Times New Roman" w:hAnsi="Times New Roman"/>
          <w:sz w:val="22"/>
          <w:szCs w:val="22"/>
          <w:u w:val="single" w:color="auto"/>
          <w:color w:val="auto"/>
        </w:rPr>
        <w:t>Corporate Event</w:t>
      </w:r>
      <w:r>
        <w:rPr>
          <w:rFonts w:ascii="Times New Roman" w:cs="Times New Roman" w:eastAsia="Times New Roman" w:hAnsi="Times New Roman"/>
          <w:sz w:val="22"/>
          <w:szCs w:val="22"/>
          <w:color w:val="auto"/>
        </w:rPr>
        <w:t>"), the Company shall make appropriate provision to ensure that the Holder will thereafter have the right to receive upon a conversion of this Note, at the Holder's option, (i) in addition to the Common Shares receivable upon such conversion, such securities or other assets to which the Holder would have been entitled with respect to such Common Shares had such Common Shares been held by the Holder upon the consummation of such Corporate Event (without taking into account any limitations or restrictions on the convertibility of this Note) or (ii) in lieu of the Common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95" w:right="459" w:bottom="1440" w:gutter="0" w:footer="0" w:header="0"/>
        </w:sectPr>
      </w:pPr>
    </w:p>
    <w:bookmarkStart w:id="58" w:name="page59"/>
    <w:bookmarkEnd w:id="58"/>
    <w:p>
      <w:pPr>
        <w:jc w:val="both"/>
        <w:ind w:left="60"/>
        <w:spacing w:after="0" w:line="235" w:lineRule="auto"/>
        <w:rPr>
          <w:sz w:val="20"/>
          <w:szCs w:val="20"/>
          <w:color w:val="auto"/>
        </w:rPr>
      </w:pPr>
      <w:r>
        <w:rPr>
          <w:rFonts w:ascii="Times New Roman" w:cs="Times New Roman" w:eastAsia="Times New Roman" w:hAnsi="Times New Roman"/>
          <w:sz w:val="22"/>
          <w:szCs w:val="22"/>
          <w:color w:val="auto"/>
        </w:rPr>
        <w:t>otherwise receivable upon such conversion, such securities or other assets received by the holders of Common Shares in connection with the consummation of such Corporate Event in such amounts as the Holder would have been entitled to receive had this Note initially been issued with conversion rights for the form of such consideration (as opposed to Common Shares) at a conversion rate for such consideration commensurate with the Conversion Price. Provision made pursuant to the preceding sentence shall be in a form and substance satisfactory to the Required Holders. The provisions of this Section shall apply similarly and equally to successive Corporate Events and shall be applied without regard to any limitations on the conversion or redemption of this Note.</w:t>
      </w:r>
    </w:p>
    <w:p>
      <w:pPr>
        <w:spacing w:after="0" w:line="183" w:lineRule="exact"/>
        <w:rPr>
          <w:sz w:val="20"/>
          <w:szCs w:val="20"/>
          <w:color w:val="auto"/>
        </w:rPr>
      </w:pPr>
    </w:p>
    <w:p>
      <w:pPr>
        <w:jc w:val="both"/>
        <w:ind w:left="60" w:firstLine="2246"/>
        <w:spacing w:after="0" w:line="244" w:lineRule="auto"/>
        <w:rPr>
          <w:sz w:val="20"/>
          <w:szCs w:val="20"/>
          <w:color w:val="auto"/>
        </w:rPr>
      </w:pP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Whenever the Conversion Price is adjusted pursuant to Section (3) hereof, the Company shall promptly provide the Holder with a written notice setting forth the Conversion Price after such adjustment and setting forth a brief statement of the facts requiring such adjustment.</w:t>
      </w:r>
    </w:p>
    <w:p>
      <w:pPr>
        <w:spacing w:after="0" w:line="173" w:lineRule="exact"/>
        <w:rPr>
          <w:sz w:val="20"/>
          <w:szCs w:val="20"/>
          <w:color w:val="auto"/>
        </w:rPr>
      </w:pPr>
    </w:p>
    <w:p>
      <w:pPr>
        <w:jc w:val="both"/>
        <w:ind w:left="60" w:firstLine="2246"/>
        <w:spacing w:after="0" w:line="249" w:lineRule="auto"/>
        <w:rPr>
          <w:sz w:val="20"/>
          <w:szCs w:val="20"/>
          <w:color w:val="auto"/>
        </w:rPr>
      </w:pP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In case of any (1) merger or consolidation of the Company or any Subsidiary of the Company with or into another Person, or (2) sale by the Company or any Subsidiary of the Company of more than one-half of the assets of the Company in one or a series of related transactions, a Holder shall have the right to (A) exercise any rights under (2)(a)</w:t>
      </w:r>
    </w:p>
    <w:p>
      <w:pPr>
        <w:spacing w:after="0" w:line="1" w:lineRule="exact"/>
        <w:rPr>
          <w:sz w:val="20"/>
          <w:szCs w:val="20"/>
          <w:color w:val="auto"/>
        </w:rPr>
      </w:pPr>
    </w:p>
    <w:p>
      <w:pPr>
        <w:jc w:val="both"/>
        <w:ind w:left="60" w:hanging="7"/>
        <w:spacing w:after="0" w:line="242" w:lineRule="auto"/>
        <w:tabs>
          <w:tab w:leader="none" w:pos="407"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convert the aggregate amount of this Note then outstanding into the shares of stock and other securities, cash and property receivable upon or deemed to be held by holders of Common Shares following such merger, consolidation or sale, and such Holder shall be entitled upon such event or series of related events to receive such amount of securities, cash and property as the Common Shares into which such aggregate Principal amount of this Note could have been converted immediately prior to such merger, consolidation or sales would have been entitled, or (C) in the case of a merger or consolidation, require the surviving entity to issue to the Holder a convertible Note with a Principal amount equal to the aggregate Principal amount of this Note then held by such Holder, plus all accrued and unpaid interest and other amounts owing thereon, which such newly issued convertible Note shall have terms identical (including with respect to conversion) to the terms of this Note, and shall be entitled to all of the rights and privileges of the Holder of this Note set forth herein and the agreements pursuant to which this Note was issued. In the case of clause (C), the conversion price applicable for the newly issued shares of convertible preferred stock or convertible debentures shall be based upon the amount of securities, cash and property that each Common Shares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 This provision shall not apply in respect of the Pre-Closing Demerger and/or the Business Combination.</w:t>
      </w:r>
    </w:p>
    <w:p>
      <w:pPr>
        <w:spacing w:after="0" w:line="184" w:lineRule="exact"/>
        <w:rPr>
          <w:rFonts w:ascii="Times New Roman" w:cs="Times New Roman" w:eastAsia="Times New Roman" w:hAnsi="Times New Roman"/>
          <w:sz w:val="21"/>
          <w:szCs w:val="21"/>
          <w:color w:val="auto"/>
        </w:rPr>
      </w:pPr>
    </w:p>
    <w:p>
      <w:pPr>
        <w:ind w:left="2300" w:hanging="750"/>
        <w:spacing w:after="0"/>
        <w:tabs>
          <w:tab w:leader="none" w:pos="2300" w:val="left"/>
        </w:tabs>
        <w:numPr>
          <w:ilvl w:val="1"/>
          <w:numId w:val="2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REISSUANCE OF THIS NOTE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60" w:firstLine="2246"/>
        <w:spacing w:after="0" w:line="239" w:lineRule="auto"/>
        <w:rPr>
          <w:sz w:val="20"/>
          <w:szCs w:val="20"/>
          <w:color w:val="auto"/>
        </w:rPr>
      </w:pPr>
      <w:r>
        <w:rPr>
          <w:rFonts w:ascii="Times New Roman" w:cs="Times New Roman" w:eastAsia="Times New Roman" w:hAnsi="Times New Roman"/>
          <w:sz w:val="22"/>
          <w:szCs w:val="22"/>
          <w:u w:val="single" w:color="auto"/>
          <w:color w:val="auto"/>
        </w:rPr>
        <w:t>(a)Transfer</w:t>
      </w:r>
      <w:r>
        <w:rPr>
          <w:rFonts w:ascii="Times New Roman" w:cs="Times New Roman" w:eastAsia="Times New Roman" w:hAnsi="Times New Roman"/>
          <w:sz w:val="22"/>
          <w:szCs w:val="22"/>
          <w:color w:val="auto"/>
        </w:rPr>
        <w:t>. The Notes are to be freely transferable in whole or in part. If this Note is to be transferred, the Holder shall surrender this Note to the Company, whereupon the Company will forthwith issue and deliver upon the order of the Holder a new Note (in accordance with Section (4)(d)), registered in the name of the registered transferee or assignee,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95" w:right="459" w:bottom="1440" w:gutter="0" w:footer="0" w:header="0"/>
        </w:sectPr>
      </w:pPr>
    </w:p>
    <w:bookmarkStart w:id="59" w:name="page60"/>
    <w:bookmarkEnd w:id="59"/>
    <w:p>
      <w:pPr>
        <w:jc w:val="both"/>
        <w:ind w:left="60"/>
        <w:spacing w:after="0" w:line="236" w:lineRule="auto"/>
        <w:rPr>
          <w:sz w:val="20"/>
          <w:szCs w:val="20"/>
          <w:color w:val="auto"/>
        </w:rPr>
      </w:pPr>
      <w:r>
        <w:rPr>
          <w:rFonts w:ascii="Times New Roman" w:cs="Times New Roman" w:eastAsia="Times New Roman" w:hAnsi="Times New Roman"/>
          <w:sz w:val="22"/>
          <w:szCs w:val="22"/>
          <w:color w:val="auto"/>
        </w:rPr>
        <w:t>representing the outstanding Principal being transferred by the Holder (along with any accrued and unpaid interest thereof) and, if less than the entire outstanding Principal is being transferred, a new Note (in accordance with Section (4)(d)) to the Holder representing the outstanding Principal not being transferred. The Holder and any assignee, by acceptance of this Note, acknowledge and agree that, by reason of the provisions of Section (3)(b)(ii) following conversion or redemption of any portion of this Note, the outstanding Principal represented by this Note may be less than the Principal stated on the face of this Note.</w:t>
      </w:r>
    </w:p>
    <w:p>
      <w:pPr>
        <w:spacing w:after="0" w:line="181" w:lineRule="exact"/>
        <w:rPr>
          <w:sz w:val="20"/>
          <w:szCs w:val="20"/>
          <w:color w:val="auto"/>
        </w:rPr>
      </w:pPr>
    </w:p>
    <w:p>
      <w:pPr>
        <w:jc w:val="both"/>
        <w:ind w:left="60" w:firstLine="2246"/>
        <w:spacing w:after="0" w:line="238" w:lineRule="auto"/>
        <w:rPr>
          <w:sz w:val="20"/>
          <w:szCs w:val="20"/>
          <w:color w:val="auto"/>
        </w:rPr>
      </w:pPr>
      <w:r>
        <w:rPr>
          <w:rFonts w:ascii="Times New Roman" w:cs="Times New Roman" w:eastAsia="Times New Roman" w:hAnsi="Times New Roman"/>
          <w:sz w:val="22"/>
          <w:szCs w:val="22"/>
          <w:u w:val="single" w:color="auto"/>
          <w:color w:val="auto"/>
        </w:rPr>
        <w:t>(b)Lost, Stolen or Mutilated Note</w:t>
      </w:r>
      <w:r>
        <w:rPr>
          <w:rFonts w:ascii="Times New Roman" w:cs="Times New Roman" w:eastAsia="Times New Roman" w:hAnsi="Times New Roman"/>
          <w:sz w:val="22"/>
          <w:szCs w:val="22"/>
          <w:color w:val="auto"/>
        </w:rPr>
        <w:t>. Upon receipt by the Company of evidence reasonably satisfactory to the Company of the loss, theft, destruction or mutilation of this Note, and, in the case of loss, theft or destruction, of any indemnification undertaking by the Holder to the Company in customary form and, in the case of mutilation, upon surrender and cancellation of this Note, the Company shall execute and deliver to the Holder a new Note (in accordance with Section (4) (d)) representing the outstanding Principal.</w:t>
      </w:r>
    </w:p>
    <w:p>
      <w:pPr>
        <w:spacing w:after="0" w:line="177" w:lineRule="exact"/>
        <w:rPr>
          <w:sz w:val="20"/>
          <w:szCs w:val="20"/>
          <w:color w:val="auto"/>
        </w:rPr>
      </w:pPr>
    </w:p>
    <w:p>
      <w:pPr>
        <w:jc w:val="both"/>
        <w:ind w:left="60" w:firstLine="2246"/>
        <w:spacing w:after="0" w:line="239" w:lineRule="auto"/>
        <w:rPr>
          <w:sz w:val="20"/>
          <w:szCs w:val="20"/>
          <w:color w:val="auto"/>
        </w:rPr>
      </w:pPr>
      <w:r>
        <w:rPr>
          <w:rFonts w:ascii="Times New Roman" w:cs="Times New Roman" w:eastAsia="Times New Roman" w:hAnsi="Times New Roman"/>
          <w:sz w:val="22"/>
          <w:szCs w:val="22"/>
          <w:u w:val="single" w:color="auto"/>
          <w:color w:val="auto"/>
        </w:rPr>
        <w:t>(c) Note Exchangeable for Different Denominations</w:t>
      </w:r>
      <w:r>
        <w:rPr>
          <w:rFonts w:ascii="Times New Roman" w:cs="Times New Roman" w:eastAsia="Times New Roman" w:hAnsi="Times New Roman"/>
          <w:sz w:val="22"/>
          <w:szCs w:val="22"/>
          <w:color w:val="auto"/>
        </w:rPr>
        <w:t>. This Note is exchangeable, upon the surrender hereof by the Holder at the principal office of the Company, for a new Note or Notes (in accordance with Section (4)(d)) representing in the aggregate the outstanding Principal of this Note, and each such new Note will represent such portion of such outstanding Principal as is designated by the Holder at the time of such surrender.</w:t>
      </w:r>
    </w:p>
    <w:p>
      <w:pPr>
        <w:spacing w:after="0" w:line="180" w:lineRule="exact"/>
        <w:rPr>
          <w:sz w:val="20"/>
          <w:szCs w:val="20"/>
          <w:color w:val="auto"/>
        </w:rPr>
      </w:pPr>
    </w:p>
    <w:p>
      <w:pPr>
        <w:jc w:val="both"/>
        <w:ind w:left="60" w:firstLine="2246"/>
        <w:spacing w:after="0" w:line="241" w:lineRule="auto"/>
        <w:rPr>
          <w:sz w:val="20"/>
          <w:szCs w:val="20"/>
          <w:color w:val="auto"/>
        </w:rPr>
      </w:pPr>
      <w:r>
        <w:rPr>
          <w:rFonts w:ascii="Times New Roman" w:cs="Times New Roman" w:eastAsia="Times New Roman" w:hAnsi="Times New Roman"/>
          <w:sz w:val="22"/>
          <w:szCs w:val="22"/>
          <w:u w:val="single" w:color="auto"/>
          <w:color w:val="auto"/>
        </w:rPr>
        <w:t>(d)Issuance of New Notes</w:t>
      </w:r>
      <w:r>
        <w:rPr>
          <w:rFonts w:ascii="Times New Roman" w:cs="Times New Roman" w:eastAsia="Times New Roman" w:hAnsi="Times New Roman"/>
          <w:sz w:val="22"/>
          <w:szCs w:val="22"/>
          <w:color w:val="auto"/>
        </w:rPr>
        <w:t>. Whenever the Company is required to issue a new Note pursuant to the terms hereof, such new Note (i) shall be of like tenor with this Note,</w:t>
      </w:r>
    </w:p>
    <w:p>
      <w:pPr>
        <w:spacing w:after="0" w:line="2" w:lineRule="exact"/>
        <w:rPr>
          <w:sz w:val="20"/>
          <w:szCs w:val="20"/>
          <w:color w:val="auto"/>
        </w:rPr>
      </w:pPr>
    </w:p>
    <w:p>
      <w:pPr>
        <w:jc w:val="both"/>
        <w:ind w:left="60" w:hanging="9"/>
        <w:spacing w:after="0" w:line="232" w:lineRule="auto"/>
        <w:tabs>
          <w:tab w:leader="none" w:pos="39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represent, as indicated on the face of such new Note, the Principal remaining outstanding (or in the case of a new Note being issued pursuant to Section 5(4)(a) or Section 5(4)(c), the Principal designated by the Holder which, when added to the Principal represented by the other new Note issued in connection with such issuance, does not exceed the Principal remaining outstanding under this Note immediately prior to such issuance of new Note), (iii) shall have an issuance date, as indicated on the face of such new Note, which is the same as the Issuance Date of this Note, (iv) shall have the same rights and conditions as this Note, and (v) shall represent accrued and unpaid Interest from the Issuance Date.</w:t>
      </w:r>
    </w:p>
    <w:p>
      <w:pPr>
        <w:spacing w:after="0" w:line="182" w:lineRule="exact"/>
        <w:rPr>
          <w:rFonts w:ascii="Times New Roman" w:cs="Times New Roman" w:eastAsia="Times New Roman" w:hAnsi="Times New Roman"/>
          <w:sz w:val="22"/>
          <w:szCs w:val="22"/>
          <w:color w:val="auto"/>
        </w:rPr>
      </w:pPr>
    </w:p>
    <w:p>
      <w:pPr>
        <w:jc w:val="both"/>
        <w:ind w:left="60" w:firstLine="1490"/>
        <w:spacing w:after="0" w:line="238" w:lineRule="auto"/>
        <w:tabs>
          <w:tab w:leader="none" w:pos="1987" w:val="left"/>
        </w:tabs>
        <w:numPr>
          <w:ilvl w:val="1"/>
          <w:numId w:val="2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consents, waivers or other communications required or permitted to be given under the terms hereof must be in writing by letter and email and will be deemed to have been delivered: upon the later of (A) either (i) receipt, when delivered personally or (ii) one (1) Business Day after deposit with an overnight courier service with next day delivery specified, in each case, properly addressed to the party to receive the same and (B) receipt, when sent by electronic mail. The addresses and e-mail addresses for such communications shall be:</w:t>
      </w: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If to the Company: Rezolve AI Limited</w:t>
      </w:r>
    </w:p>
    <w:p>
      <w:pPr>
        <w:spacing w:after="0" w:line="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3rd Floor 80 New Bond Street, Mayfair, London, United Kingdom, W1S 1SB</w:t>
      </w:r>
    </w:p>
    <w:p>
      <w:pPr>
        <w:ind w:left="3940"/>
        <w:spacing w:after="0" w:line="230" w:lineRule="auto"/>
        <w:rPr>
          <w:sz w:val="20"/>
          <w:szCs w:val="20"/>
          <w:color w:val="auto"/>
        </w:rPr>
      </w:pPr>
      <w:r>
        <w:rPr>
          <w:rFonts w:ascii="Times New Roman" w:cs="Times New Roman" w:eastAsia="Times New Roman" w:hAnsi="Times New Roman"/>
          <w:sz w:val="22"/>
          <w:szCs w:val="22"/>
          <w:color w:val="auto"/>
        </w:rPr>
        <w:t>Attention: Dan Wagner</w:t>
      </w:r>
    </w:p>
    <w:p>
      <w:pPr>
        <w:spacing w:after="0" w:line="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E-mail: DanWagner@rezolve.com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95" w:right="459" w:bottom="1440" w:gutter="0" w:footer="0" w:header="0"/>
        </w:sectPr>
      </w:pPr>
    </w:p>
    <w:bookmarkStart w:id="60" w:name="page61"/>
    <w:bookmarkEnd w:id="60"/>
    <w:p>
      <w:pPr>
        <w:ind w:left="1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Attention: Robert Fenner Taylor Wessing LLP,</w:t>
      </w:r>
    </w:p>
    <w:p>
      <w:pPr>
        <w:spacing w:after="0" w:line="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5 New Street Square London EC4A 3TW</w:t>
      </w:r>
    </w:p>
    <w:p>
      <w:pPr>
        <w:ind w:left="160"/>
        <w:spacing w:after="0"/>
        <w:rPr>
          <w:sz w:val="20"/>
          <w:szCs w:val="20"/>
          <w:color w:val="auto"/>
        </w:rPr>
      </w:pPr>
      <w:r>
        <w:rPr>
          <w:rFonts w:ascii="Times New Roman" w:cs="Times New Roman" w:eastAsia="Times New Roman" w:hAnsi="Times New Roman"/>
          <w:sz w:val="21"/>
          <w:szCs w:val="21"/>
          <w:color w:val="auto"/>
        </w:rPr>
        <w:t>Telephone: +44 207 300 4986 Email: r.fenner@taylorwessing.com</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1395" w:right="1440" w:bottom="1440" w:gutter="0" w:footer="0" w:header="0"/>
        </w:sectPr>
      </w:pPr>
    </w:p>
    <w:bookmarkStart w:id="61" w:name="page62"/>
    <w:bookmarkEnd w:id="61"/>
    <w:p>
      <w:pPr>
        <w:spacing w:after="0" w:line="117" w:lineRule="exact"/>
        <w:rPr>
          <w:sz w:val="20"/>
          <w:szCs w:val="20"/>
          <w:color w:val="auto"/>
        </w:rPr>
      </w:pPr>
    </w:p>
    <w:p>
      <w:pPr>
        <w:ind w:left="160"/>
        <w:spacing w:after="0"/>
        <w:tabs>
          <w:tab w:leader="none" w:pos="1880" w:val="left"/>
        </w:tabs>
        <w:rPr>
          <w:sz w:val="20"/>
          <w:szCs w:val="20"/>
          <w:color w:val="auto"/>
        </w:rPr>
      </w:pPr>
      <w:r>
        <w:rPr>
          <w:rFonts w:ascii="Times New Roman" w:cs="Times New Roman" w:eastAsia="Times New Roman" w:hAnsi="Times New Roman"/>
          <w:sz w:val="22"/>
          <w:szCs w:val="22"/>
          <w:color w:val="auto"/>
        </w:rPr>
        <w:t>If to the Holder:</w:t>
      </w:r>
      <w:r>
        <w:rPr>
          <w:sz w:val="20"/>
          <w:szCs w:val="20"/>
          <w:color w:val="auto"/>
        </w:rPr>
        <w:tab/>
      </w:r>
      <w:r>
        <w:rPr>
          <w:rFonts w:ascii="Times New Roman" w:cs="Times New Roman" w:eastAsia="Times New Roman" w:hAnsi="Times New Roman"/>
          <w:sz w:val="21"/>
          <w:szCs w:val="21"/>
          <w:color w:val="auto"/>
        </w:rPr>
        <w:t>YA II PN, Ltd</w:t>
      </w:r>
    </w:p>
    <w:p>
      <w:pPr>
        <w:spacing w:after="0" w:line="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c/o Yorkville Advisors Global, LLC 1012 Springfield</w:t>
      </w:r>
    </w:p>
    <w:p>
      <w:pPr>
        <w:ind w:left="3940"/>
        <w:spacing w:after="0" w:line="230" w:lineRule="auto"/>
        <w:rPr>
          <w:sz w:val="20"/>
          <w:szCs w:val="20"/>
          <w:color w:val="auto"/>
        </w:rPr>
      </w:pPr>
      <w:r>
        <w:rPr>
          <w:rFonts w:ascii="Times New Roman" w:cs="Times New Roman" w:eastAsia="Times New Roman" w:hAnsi="Times New Roman"/>
          <w:sz w:val="22"/>
          <w:szCs w:val="22"/>
          <w:color w:val="auto"/>
        </w:rPr>
        <w:t>Avenue</w:t>
      </w:r>
    </w:p>
    <w:p>
      <w:pPr>
        <w:ind w:left="3940"/>
        <w:spacing w:after="0" w:line="231" w:lineRule="auto"/>
        <w:rPr>
          <w:sz w:val="20"/>
          <w:szCs w:val="20"/>
          <w:color w:val="auto"/>
        </w:rPr>
      </w:pPr>
      <w:r>
        <w:rPr>
          <w:rFonts w:ascii="Times New Roman" w:cs="Times New Roman" w:eastAsia="Times New Roman" w:hAnsi="Times New Roman"/>
          <w:sz w:val="22"/>
          <w:szCs w:val="22"/>
          <w:color w:val="auto"/>
        </w:rPr>
        <w:t>Mountainside, NJ 07092 Attention: Mark</w:t>
      </w:r>
    </w:p>
    <w:p>
      <w:pPr>
        <w:ind w:left="3940"/>
        <w:spacing w:after="0" w:line="230" w:lineRule="auto"/>
        <w:rPr>
          <w:sz w:val="20"/>
          <w:szCs w:val="20"/>
          <w:color w:val="auto"/>
        </w:rPr>
      </w:pPr>
      <w:r>
        <w:rPr>
          <w:rFonts w:ascii="Times New Roman" w:cs="Times New Roman" w:eastAsia="Times New Roman" w:hAnsi="Times New Roman"/>
          <w:sz w:val="22"/>
          <w:szCs w:val="22"/>
          <w:color w:val="auto"/>
        </w:rPr>
        <w:t>Angelo Telephone: 201-985-8300</w:t>
      </w:r>
    </w:p>
    <w:p>
      <w:pPr>
        <w:spacing w:after="0" w:line="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Email: Legal@yorkvilleadvisors.com</w:t>
      </w:r>
    </w:p>
    <w:p>
      <w:pPr>
        <w:spacing w:after="0" w:line="200" w:lineRule="exact"/>
        <w:rPr>
          <w:sz w:val="20"/>
          <w:szCs w:val="20"/>
          <w:color w:val="auto"/>
        </w:rPr>
      </w:pPr>
    </w:p>
    <w:p>
      <w:pPr>
        <w:spacing w:after="0" w:line="225" w:lineRule="exact"/>
        <w:rPr>
          <w:sz w:val="20"/>
          <w:szCs w:val="20"/>
          <w:color w:val="auto"/>
        </w:rPr>
      </w:pPr>
    </w:p>
    <w:p>
      <w:pPr>
        <w:jc w:val="both"/>
        <w:ind w:left="60"/>
        <w:spacing w:after="0" w:line="236" w:lineRule="auto"/>
        <w:rPr>
          <w:sz w:val="20"/>
          <w:szCs w:val="20"/>
          <w:color w:val="auto"/>
        </w:rPr>
      </w:pPr>
      <w:r>
        <w:rPr>
          <w:rFonts w:ascii="Times New Roman" w:cs="Times New Roman" w:eastAsia="Times New Roman" w:hAnsi="Times New Roman"/>
          <w:sz w:val="22"/>
          <w:szCs w:val="22"/>
          <w:color w:val="auto"/>
        </w:rPr>
        <w:t>or at such other address and/or email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receipt by facsimile or receipt from a nationally recognized overnight delivery service in accordance with clause (i), (ii) or (iii) above, respectively.</w:t>
      </w:r>
    </w:p>
    <w:p>
      <w:pPr>
        <w:spacing w:after="0" w:line="181" w:lineRule="exact"/>
        <w:rPr>
          <w:sz w:val="20"/>
          <w:szCs w:val="20"/>
          <w:color w:val="auto"/>
        </w:rPr>
      </w:pPr>
    </w:p>
    <w:p>
      <w:pPr>
        <w:jc w:val="both"/>
        <w:ind w:left="60" w:firstLine="1490"/>
        <w:spacing w:after="0" w:line="245" w:lineRule="auto"/>
        <w:tabs>
          <w:tab w:leader="none" w:pos="1987" w:val="left"/>
        </w:tabs>
        <w:numPr>
          <w:ilvl w:val="1"/>
          <w:numId w:val="25"/>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Except as expressly provided herein, no provision of this Note shall alter or impair the obligations of the Company, which are absolute and unconditional, to pay the Principal of, interest and other charges (if any) on, this Note at the time, place, and rate, and in the currency, herein prescribed. This Note is a direct obligation of the Company. As long as this Note is outstanding, the Company shall not and shall cause their subsidiaries not to, without the consent of the Holder, (i) amend its certificate of incorporation, bylaws or other charter documents so as to adversely affect any rights of the Holder; (ii) repay, repurchase or offer to repay, repurchase or otherwise acquire shares of its Common Shares or other equity securities; or</w:t>
      </w:r>
    </w:p>
    <w:p>
      <w:pPr>
        <w:spacing w:after="0" w:line="2" w:lineRule="exact"/>
        <w:rPr>
          <w:rFonts w:ascii="Times New Roman" w:cs="Times New Roman" w:eastAsia="Times New Roman" w:hAnsi="Times New Roman"/>
          <w:sz w:val="21"/>
          <w:szCs w:val="21"/>
          <w:u w:val="single" w:color="auto"/>
          <w:color w:val="auto"/>
        </w:rPr>
      </w:pPr>
    </w:p>
    <w:p>
      <w:pPr>
        <w:ind w:left="440" w:hanging="387"/>
        <w:spacing w:after="0"/>
        <w:tabs>
          <w:tab w:leader="none" w:pos="4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agreement with respect to any of the foregoing.</w:t>
      </w:r>
    </w:p>
    <w:p>
      <w:pPr>
        <w:spacing w:after="0" w:line="182" w:lineRule="exact"/>
        <w:rPr>
          <w:rFonts w:ascii="Times New Roman" w:cs="Times New Roman" w:eastAsia="Times New Roman" w:hAnsi="Times New Roman"/>
          <w:sz w:val="22"/>
          <w:szCs w:val="22"/>
          <w:color w:val="auto"/>
        </w:rPr>
      </w:pPr>
    </w:p>
    <w:p>
      <w:pPr>
        <w:jc w:val="both"/>
        <w:ind w:left="60" w:firstLine="1490"/>
        <w:spacing w:after="0" w:line="239" w:lineRule="auto"/>
        <w:tabs>
          <w:tab w:leader="none" w:pos="1987" w:val="left"/>
        </w:tabs>
        <w:numPr>
          <w:ilvl w:val="1"/>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This Note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Common Shares in accordance with the terms hereof.</w:t>
      </w:r>
    </w:p>
    <w:p>
      <w:pPr>
        <w:spacing w:after="0" w:line="180" w:lineRule="exact"/>
        <w:rPr>
          <w:rFonts w:ascii="Times New Roman" w:cs="Times New Roman" w:eastAsia="Times New Roman" w:hAnsi="Times New Roman"/>
          <w:sz w:val="22"/>
          <w:szCs w:val="22"/>
          <w:u w:val="single" w:color="auto"/>
          <w:color w:val="auto"/>
        </w:rPr>
      </w:pPr>
    </w:p>
    <w:p>
      <w:pPr>
        <w:ind w:left="2300" w:hanging="750"/>
        <w:spacing w:after="0"/>
        <w:tabs>
          <w:tab w:leader="none" w:pos="2300" w:val="left"/>
        </w:tabs>
        <w:numPr>
          <w:ilvl w:val="1"/>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CHOICE OF LAW; VENUE; WAIVER OF JURY TRIAL</w:t>
      </w:r>
    </w:p>
    <w:p>
      <w:pPr>
        <w:spacing w:after="0" w:line="71" w:lineRule="exact"/>
        <w:rPr>
          <w:sz w:val="20"/>
          <w:szCs w:val="20"/>
          <w:color w:val="auto"/>
        </w:rPr>
      </w:pPr>
    </w:p>
    <w:p>
      <w:pPr>
        <w:jc w:val="both"/>
        <w:ind w:left="60" w:firstLine="2246"/>
        <w:spacing w:after="0" w:line="239" w:lineRule="auto"/>
        <w:rPr>
          <w:sz w:val="20"/>
          <w:szCs w:val="20"/>
          <w:color w:val="auto"/>
        </w:rPr>
      </w:pPr>
      <w:r>
        <w:rPr>
          <w:rFonts w:ascii="Times New Roman" w:cs="Times New Roman" w:eastAsia="Times New Roman" w:hAnsi="Times New Roman"/>
          <w:sz w:val="22"/>
          <w:szCs w:val="22"/>
          <w:u w:val="single" w:color="auto"/>
          <w:color w:val="auto"/>
        </w:rPr>
        <w:t>(a)Governing Law</w:t>
      </w:r>
      <w:r>
        <w:rPr>
          <w:rFonts w:ascii="Times New Roman" w:cs="Times New Roman" w:eastAsia="Times New Roman" w:hAnsi="Times New Roman"/>
          <w:sz w:val="22"/>
          <w:szCs w:val="22"/>
          <w:color w:val="auto"/>
        </w:rPr>
        <w:t>. This Note and the rights and obligations of the Parties hereunder shall, in all respects, be governed by, and construed in accordance with, the laws (excluding the principles of conflict of laws) of the State of New York (the “</w:t>
      </w:r>
      <w:r>
        <w:rPr>
          <w:rFonts w:ascii="Times New Roman" w:cs="Times New Roman" w:eastAsia="Times New Roman" w:hAnsi="Times New Roman"/>
          <w:sz w:val="22"/>
          <w:szCs w:val="22"/>
          <w:u w:val="single" w:color="auto"/>
          <w:color w:val="auto"/>
        </w:rPr>
        <w:t>Governing Jurisdiction</w:t>
      </w:r>
      <w:r>
        <w:rPr>
          <w:rFonts w:ascii="Times New Roman" w:cs="Times New Roman" w:eastAsia="Times New Roman" w:hAnsi="Times New Roman"/>
          <w:sz w:val="22"/>
          <w:szCs w:val="22"/>
          <w:color w:val="auto"/>
        </w:rPr>
        <w:t>”) (including Section 5-1401 and Section 5-1402 of the General Obligations Law of the State of New York), including all matters of construction, validity and performance.</w:t>
      </w:r>
    </w:p>
    <w:p>
      <w:pPr>
        <w:spacing w:after="0" w:line="180" w:lineRule="exact"/>
        <w:rPr>
          <w:sz w:val="20"/>
          <w:szCs w:val="20"/>
          <w:color w:val="auto"/>
        </w:rPr>
      </w:pPr>
    </w:p>
    <w:p>
      <w:pPr>
        <w:ind w:left="2680" w:hanging="381"/>
        <w:spacing w:after="0"/>
        <w:tabs>
          <w:tab w:leader="none" w:pos="2680"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Jurisdiction; Venue; Service.</w:t>
      </w:r>
    </w:p>
    <w:p>
      <w:pPr>
        <w:spacing w:after="0" w:line="206" w:lineRule="exact"/>
        <w:rPr>
          <w:rFonts w:ascii="Times New Roman" w:cs="Times New Roman" w:eastAsia="Times New Roman" w:hAnsi="Times New Roman"/>
          <w:sz w:val="22"/>
          <w:szCs w:val="22"/>
          <w:u w:val="single" w:color="auto"/>
          <w:color w:val="auto"/>
        </w:rPr>
      </w:pPr>
    </w:p>
    <w:p>
      <w:pPr>
        <w:jc w:val="both"/>
        <w:ind w:left="60" w:firstLine="2988"/>
        <w:spacing w:after="0" w:line="244" w:lineRule="auto"/>
        <w:tabs>
          <w:tab w:leader="none" w:pos="3514" w:val="left"/>
        </w:tabs>
        <w:numPr>
          <w:ilvl w:val="1"/>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Company hereby irrevocably consents to the non- exclusive personal jurisdiction of the state courts of the Governing Jurisdiction and, if a basis for federal jurisdiction exists, the non-exclusive personal jurisdiction of any United States District Court for the Governing Jurisdiction.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62" w:name="page63"/>
    <w:bookmarkEnd w:id="62"/>
    <w:p>
      <w:pPr>
        <w:spacing w:after="0" w:line="90" w:lineRule="exact"/>
        <w:rPr>
          <w:sz w:val="20"/>
          <w:szCs w:val="20"/>
          <w:color w:val="auto"/>
        </w:rPr>
      </w:pPr>
    </w:p>
    <w:p>
      <w:pPr>
        <w:jc w:val="both"/>
        <w:ind w:left="60" w:firstLine="2988"/>
        <w:spacing w:after="0" w:line="238" w:lineRule="auto"/>
        <w:tabs>
          <w:tab w:leader="none" w:pos="3514"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Company agrees that venue shall be proper in any court of the Governing Jurisdiction selected by the Holder or, if a basis for federal jurisdiction exists, in any United States District Court in the Governing Jurisdiction.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pacing w:after="0" w:line="176" w:lineRule="exact"/>
        <w:rPr>
          <w:rFonts w:ascii="Times New Roman" w:cs="Times New Roman" w:eastAsia="Times New Roman" w:hAnsi="Times New Roman"/>
          <w:sz w:val="22"/>
          <w:szCs w:val="22"/>
          <w:u w:val="single" w:color="auto"/>
          <w:color w:val="auto"/>
        </w:rPr>
      </w:pPr>
    </w:p>
    <w:p>
      <w:pPr>
        <w:jc w:val="both"/>
        <w:ind w:left="60" w:firstLine="2988"/>
        <w:spacing w:after="0" w:line="243" w:lineRule="auto"/>
        <w:tabs>
          <w:tab w:leader="none" w:pos="3514" w:val="left"/>
        </w:tabs>
        <w:numPr>
          <w:ilvl w:val="0"/>
          <w:numId w:val="2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Any suit, claim, action, litigation or proceeding of any kind or description, whether in law or equity, whether in contract or tort or otherwise, brought by the Company against the Holder arising out of or based upon this Note or any matter relating to this Note, or any other Transaction Document, or any contemplated transaction, shall be brought in a court only in the Governing Jurisdiction. The Company shall not file any counterclaim against the Holder in any suit, claim, action, litigation or proceeding brought by the Holder against the Company in a jurisdiction outside of the Governing Jurisdiction unless under the rules of the court in which the Holder brought such suit, claim, action, litigation or proceeding the counterclaim is mandatory, and not permissive, and would be considered waived unless filed as a counterclaim in the suit, claim, action, litigation or proceeding instituted by the Holder against the Company. The Company agrees that any forum outside the Governing Jurisdiction is an inconvenient forum and that any suit, claim, action, litigation or proceeding brought by the Company against the Holder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Holder arising out of or based upon this Note or any matter relating to this Note,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Holder agree that a final judgment in any such suit, claim, action, litigation or proceeding shall be conclusive and may be enforced in other jurisdictions by suit on the judgment or in any other manner provided by law.</w:t>
      </w:r>
    </w:p>
    <w:p>
      <w:pPr>
        <w:spacing w:after="0" w:line="50" w:lineRule="exact"/>
        <w:rPr>
          <w:rFonts w:ascii="Times New Roman" w:cs="Times New Roman" w:eastAsia="Times New Roman" w:hAnsi="Times New Roman"/>
          <w:sz w:val="21"/>
          <w:szCs w:val="21"/>
          <w:u w:val="single" w:color="auto"/>
          <w:color w:val="auto"/>
        </w:rPr>
      </w:pPr>
    </w:p>
    <w:p>
      <w:pPr>
        <w:jc w:val="both"/>
        <w:ind w:left="60" w:firstLine="2988"/>
        <w:spacing w:after="0" w:line="239" w:lineRule="auto"/>
        <w:tabs>
          <w:tab w:leader="none" w:pos="3514"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Company and the Holder irrevocably consent to the service of process out of any of the aforementioned courts in any such suit, claim, action, litigation or proceeding by the mailing of copies thereof by registered or certified mail postage prepaid, to it at the address provided for notices in this Note, such service to become effective thirty (30) days after the date of mailing.</w:t>
      </w:r>
    </w:p>
    <w:p>
      <w:pPr>
        <w:spacing w:after="0" w:line="180" w:lineRule="exact"/>
        <w:rPr>
          <w:rFonts w:ascii="Times New Roman" w:cs="Times New Roman" w:eastAsia="Times New Roman" w:hAnsi="Times New Roman"/>
          <w:sz w:val="22"/>
          <w:szCs w:val="22"/>
          <w:u w:val="single" w:color="auto"/>
          <w:color w:val="auto"/>
        </w:rPr>
      </w:pPr>
    </w:p>
    <w:p>
      <w:pPr>
        <w:jc w:val="both"/>
        <w:ind w:left="60" w:firstLine="2988"/>
        <w:spacing w:after="0" w:line="244" w:lineRule="auto"/>
        <w:tabs>
          <w:tab w:leader="none" w:pos="3514"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Nothing herein shall affect the right of the Holder to serve process in any other manner permitted by law or to commence legal proceedings or to otherwise proceed against the Company or any other Person in the Governing Jurisdiction or in any other jurisdiction.</w:t>
      </w:r>
    </w:p>
    <w:p>
      <w:pPr>
        <w:spacing w:after="0" w:line="173" w:lineRule="exact"/>
        <w:rPr>
          <w:sz w:val="20"/>
          <w:szCs w:val="20"/>
          <w:color w:val="auto"/>
        </w:rPr>
      </w:pPr>
    </w:p>
    <w:p>
      <w:pPr>
        <w:jc w:val="both"/>
        <w:ind w:left="60" w:firstLine="2246"/>
        <w:spacing w:after="0" w:line="244"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THE PARTIES MUTUALLY WAIVE ALL RIGHT TO TRIAL BY JURY OF ALL CLAIMS OF ANY KIND ARISING OUT OF OR BASED UPON THIS NOTE OR ANY MATTER RELATING TO THIS NOTE, OR ANY OTHER TRANSACTION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63" w:name="page64"/>
    <w:bookmarkEnd w:id="63"/>
    <w:p>
      <w:pPr>
        <w:spacing w:after="0" w:line="90" w:lineRule="exact"/>
        <w:rPr>
          <w:sz w:val="20"/>
          <w:szCs w:val="20"/>
          <w:color w:val="auto"/>
        </w:rPr>
      </w:pPr>
    </w:p>
    <w:p>
      <w:pPr>
        <w:jc w:val="both"/>
        <w:ind w:left="60"/>
        <w:spacing w:after="0" w:line="238" w:lineRule="auto"/>
        <w:rPr>
          <w:sz w:val="20"/>
          <w:szCs w:val="20"/>
          <w:color w:val="auto"/>
        </w:rPr>
      </w:pPr>
      <w:r>
        <w:rPr>
          <w:rFonts w:ascii="Times New Roman" w:cs="Times New Roman" w:eastAsia="Times New Roman" w:hAnsi="Times New Roman"/>
          <w:sz w:val="22"/>
          <w:szCs w:val="22"/>
          <w:color w:val="auto"/>
        </w:rPr>
        <w:t>DOCUMENT, OR ANY CONTEMPLATED TRANSACTION. THE PARTIES ACKNOWLEDGE THAT THIS IS A WAIVER OF A LEGAL RIGHT AND THAT THE PARTIES EACH MAKE THIS WAIVER VOLUNTARILY AND KNOWINGLY AFTER CONSULTATION WITH COUNSEL OF THEIR RESPECTIVE CHOICE. THE PARTIES AGREE THAT ALL SUCH CLAIMS SHALL BE TRIED BEFORE A JUDGE OF A COURT HAVING JURISDICTION, WITHOUT A JURY.</w:t>
      </w:r>
    </w:p>
    <w:p>
      <w:pPr>
        <w:spacing w:after="0" w:line="177" w:lineRule="exact"/>
        <w:rPr>
          <w:sz w:val="20"/>
          <w:szCs w:val="20"/>
          <w:color w:val="auto"/>
        </w:rPr>
      </w:pPr>
    </w:p>
    <w:p>
      <w:pPr>
        <w:jc w:val="both"/>
        <w:ind w:left="60" w:firstLine="1490"/>
        <w:spacing w:after="0" w:line="247" w:lineRule="auto"/>
        <w:tabs>
          <w:tab w:leader="none" w:pos="1987" w:val="left"/>
        </w:tabs>
        <w:numPr>
          <w:ilvl w:val="1"/>
          <w:numId w:val="2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If the Company fails to strictly comply with the terms of this Note, then the Company shall reimburse the Holder promptly for all fees, costs and expenses, including, without limitation, attorneys’ fees and expenses incurred by the Holder in any action in connection with this Note, including, without limitation, those incurred: (i) during any workout, attempted workout, and/or in connection with the rendering of legal advice as to the Holder’s rights, remedies and obligations,</w:t>
      </w:r>
    </w:p>
    <w:p>
      <w:pPr>
        <w:spacing w:after="0" w:line="1" w:lineRule="exact"/>
        <w:rPr>
          <w:rFonts w:ascii="Times New Roman" w:cs="Times New Roman" w:eastAsia="Times New Roman" w:hAnsi="Times New Roman"/>
          <w:sz w:val="21"/>
          <w:szCs w:val="21"/>
          <w:u w:val="single" w:color="auto"/>
          <w:color w:val="auto"/>
        </w:rPr>
      </w:pPr>
    </w:p>
    <w:p>
      <w:pPr>
        <w:ind w:left="60" w:hanging="7"/>
        <w:spacing w:after="0" w:line="237" w:lineRule="auto"/>
        <w:tabs>
          <w:tab w:leader="none" w:pos="38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collecting any sums which become due to the Holder, (iii) defending or prosecuting any proceeding or any counterclaim to any proceeding or appeal; or (iv) the protection, preservation or enforcement of any rights or remedies of the Holder.</w:t>
      </w:r>
    </w:p>
    <w:p>
      <w:pPr>
        <w:spacing w:after="0" w:line="178" w:lineRule="exact"/>
        <w:rPr>
          <w:rFonts w:ascii="Times New Roman" w:cs="Times New Roman" w:eastAsia="Times New Roman" w:hAnsi="Times New Roman"/>
          <w:sz w:val="22"/>
          <w:szCs w:val="22"/>
          <w:color w:val="auto"/>
        </w:rPr>
      </w:pPr>
    </w:p>
    <w:p>
      <w:pPr>
        <w:jc w:val="both"/>
        <w:ind w:left="60" w:firstLine="1490"/>
        <w:spacing w:after="0" w:line="238" w:lineRule="auto"/>
        <w:tabs>
          <w:tab w:leader="none" w:pos="1987" w:val="left"/>
        </w:tabs>
        <w:numPr>
          <w:ilvl w:val="1"/>
          <w:numId w:val="3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Any waiver by the Holder of a breach of any provision of this Note shall not operate as or be construed to be a waiver of any other breach of such provision or of any breach of any other provision of this Note. The failure of the Holder to insist upon strict adherence to any term of this Note on one or more occasions shall not be considered a waiver or deprive that party of the right thereafter to insist upon strict adherence to that term or any other term of this Note. Any waiver must be in writing.</w:t>
      </w:r>
    </w:p>
    <w:p>
      <w:pPr>
        <w:spacing w:after="0" w:line="176" w:lineRule="exact"/>
        <w:rPr>
          <w:rFonts w:ascii="Times New Roman" w:cs="Times New Roman" w:eastAsia="Times New Roman" w:hAnsi="Times New Roman"/>
          <w:sz w:val="22"/>
          <w:szCs w:val="22"/>
          <w:u w:val="single" w:color="auto"/>
          <w:color w:val="auto"/>
        </w:rPr>
      </w:pPr>
    </w:p>
    <w:p>
      <w:pPr>
        <w:jc w:val="both"/>
        <w:ind w:left="60" w:firstLine="1490"/>
        <w:spacing w:after="0" w:line="235" w:lineRule="auto"/>
        <w:tabs>
          <w:tab w:leader="none" w:pos="1987" w:val="left"/>
        </w:tabs>
        <w:numPr>
          <w:ilvl w:val="1"/>
          <w:numId w:val="3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If any provision of this Note is invalid, illegal or unenforceable, the balance of this Note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Note as contemplated herein, wherever enacted, now or at any time hereafter in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64" w:name="page65"/>
    <w:bookmarkEnd w:id="64"/>
    <w:p>
      <w:pPr>
        <w:jc w:val="both"/>
        <w:ind w:left="60"/>
        <w:spacing w:after="0" w:line="239" w:lineRule="auto"/>
        <w:rPr>
          <w:sz w:val="20"/>
          <w:szCs w:val="20"/>
          <w:color w:val="auto"/>
        </w:rPr>
      </w:pPr>
      <w:r>
        <w:rPr>
          <w:rFonts w:ascii="Times New Roman" w:cs="Times New Roman" w:eastAsia="Times New Roman" w:hAnsi="Times New Roman"/>
          <w:sz w:val="22"/>
          <w:szCs w:val="22"/>
          <w:color w:val="auto"/>
        </w:rPr>
        <w:t>force, or which may affect the covenants or the performance of this indenture, and the Company (to the extent it may lawfully do so) hereby expressly waives all benefits or advantage of any such law, and covenants that it will not, by resort to any such law, hinder, delay or impeded the execution of any power herein granted to the Holder, but will suffer and permit the execution of every such as though no such law has been enacted.</w:t>
      </w:r>
    </w:p>
    <w:p>
      <w:pPr>
        <w:spacing w:after="0" w:line="180" w:lineRule="exact"/>
        <w:rPr>
          <w:sz w:val="20"/>
          <w:szCs w:val="20"/>
          <w:color w:val="auto"/>
        </w:rPr>
      </w:pPr>
    </w:p>
    <w:p>
      <w:pPr>
        <w:ind w:left="1980" w:hanging="430"/>
        <w:spacing w:after="0"/>
        <w:tabs>
          <w:tab w:leader="none" w:pos="1980"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xml:space="preserve"> For purposes of this Note, the following terms shall have the following</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meanings:</w:t>
      </w:r>
    </w:p>
    <w:p>
      <w:pPr>
        <w:spacing w:after="0" w:line="182" w:lineRule="exact"/>
        <w:rPr>
          <w:sz w:val="20"/>
          <w:szCs w:val="20"/>
          <w:color w:val="auto"/>
        </w:rPr>
      </w:pPr>
    </w:p>
    <w:p>
      <w:pPr>
        <w:ind w:left="3040" w:hanging="741"/>
        <w:spacing w:after="0"/>
        <w:tabs>
          <w:tab w:leader="none" w:pos="3040" w:val="left"/>
        </w:tabs>
        <w:numPr>
          <w:ilvl w:val="0"/>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Bloomberg</w:t>
      </w:r>
      <w:r>
        <w:rPr>
          <w:rFonts w:ascii="Times New Roman" w:cs="Times New Roman" w:eastAsia="Times New Roman" w:hAnsi="Times New Roman"/>
          <w:sz w:val="22"/>
          <w:szCs w:val="22"/>
          <w:color w:val="auto"/>
        </w:rPr>
        <w:t>" means Bloomberg Financial Markets.</w:t>
      </w:r>
    </w:p>
    <w:p>
      <w:pPr>
        <w:spacing w:after="0" w:line="206" w:lineRule="exact"/>
        <w:rPr>
          <w:sz w:val="20"/>
          <w:szCs w:val="20"/>
          <w:color w:val="auto"/>
        </w:rPr>
      </w:pPr>
    </w:p>
    <w:p>
      <w:pPr>
        <w:jc w:val="both"/>
        <w:ind w:left="60" w:firstLine="2246"/>
        <w:spacing w:after="0" w:line="244"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except Saturday, Sunday and any day which shall be a federal legal holiday in the United States or a day on which banking institutions are authorized or required by law or other government action to close.</w:t>
      </w:r>
    </w:p>
    <w:p>
      <w:pPr>
        <w:spacing w:after="0" w:line="173" w:lineRule="exact"/>
        <w:rPr>
          <w:sz w:val="20"/>
          <w:szCs w:val="20"/>
          <w:color w:val="auto"/>
        </w:rPr>
      </w:pPr>
    </w:p>
    <w:p>
      <w:pPr>
        <w:ind w:left="3040" w:hanging="741"/>
        <w:spacing w:after="0"/>
        <w:tabs>
          <w:tab w:leader="none" w:pos="3040"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Calendar Month</w:t>
      </w:r>
      <w:r>
        <w:rPr>
          <w:rFonts w:ascii="Times New Roman" w:cs="Times New Roman" w:eastAsia="Times New Roman" w:hAnsi="Times New Roman"/>
          <w:sz w:val="22"/>
          <w:szCs w:val="22"/>
          <w:color w:val="auto"/>
        </w:rPr>
        <w:t>” means one of the months as named in the</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calendar.</w:t>
      </w:r>
    </w:p>
    <w:p>
      <w:pPr>
        <w:spacing w:after="0" w:line="182" w:lineRule="exact"/>
        <w:rPr>
          <w:sz w:val="20"/>
          <w:szCs w:val="20"/>
          <w:color w:val="auto"/>
        </w:rPr>
      </w:pPr>
    </w:p>
    <w:p>
      <w:pPr>
        <w:ind w:left="3040" w:hanging="741"/>
        <w:spacing w:after="0"/>
        <w:tabs>
          <w:tab w:leader="none" w:pos="3040"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Transaction</w:t>
      </w:r>
      <w:r>
        <w:rPr>
          <w:rFonts w:ascii="Times New Roman" w:cs="Times New Roman" w:eastAsia="Times New Roman" w:hAnsi="Times New Roman"/>
          <w:sz w:val="22"/>
          <w:szCs w:val="22"/>
          <w:color w:val="auto"/>
        </w:rPr>
        <w:t>” means the occurrence of (a) an</w:t>
      </w:r>
    </w:p>
    <w:p>
      <w:pPr>
        <w:spacing w:after="0" w:line="14" w:lineRule="exact"/>
        <w:rPr>
          <w:sz w:val="20"/>
          <w:szCs w:val="20"/>
          <w:color w:val="auto"/>
        </w:rPr>
      </w:pPr>
    </w:p>
    <w:p>
      <w:pPr>
        <w:jc w:val="both"/>
        <w:ind w:left="60"/>
        <w:spacing w:after="0" w:line="241" w:lineRule="auto"/>
        <w:rPr>
          <w:sz w:val="20"/>
          <w:szCs w:val="20"/>
          <w:color w:val="auto"/>
        </w:rPr>
      </w:pPr>
      <w:r>
        <w:rPr>
          <w:rFonts w:ascii="Times New Roman" w:cs="Times New Roman" w:eastAsia="Times New Roman" w:hAnsi="Times New Roman"/>
          <w:sz w:val="21"/>
          <w:szCs w:val="21"/>
          <w:color w:val="auto"/>
        </w:rPr>
        <w:t>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a replacement at one time or over time of more than one-half of the members of the board of directors of the Company (other than as due to the death or disability of a member of the board of directors) which is not approved by a majority of those individuals who are members of the board of directors on the date hereof (or by those individuals who are serving as members of the board of directors on any date whose nomination to the board of directors was approved by a majority of the members of the board of directors who are members on the date hereof),</w:t>
      </w:r>
    </w:p>
    <w:p>
      <w:pPr>
        <w:spacing w:after="0" w:line="5" w:lineRule="exact"/>
        <w:rPr>
          <w:sz w:val="20"/>
          <w:szCs w:val="20"/>
          <w:color w:val="auto"/>
        </w:rPr>
      </w:pPr>
    </w:p>
    <w:p>
      <w:pPr>
        <w:jc w:val="both"/>
        <w:ind w:left="60" w:hanging="9"/>
        <w:spacing w:after="0" w:line="233" w:lineRule="auto"/>
        <w:tabs>
          <w:tab w:leader="none" w:pos="37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consolidation or sale of fifty percent (50%) or more of the assets of the Company or any Subsidiary of the Company in one or a series of related transactions with or into another entity, or (d) the execution by the Company of an agreement to which the Company is a party or by which it is bound, providing for any of the events set forth above in (a), (b) or (c). No transfer to a wholly-owned Subsidiary shall be nor shall the Pre-Closing Demerger nor the Business Combination shall be deemed a Change of Control Transaction.</w:t>
      </w:r>
    </w:p>
    <w:p>
      <w:pPr>
        <w:spacing w:after="0" w:line="179" w:lineRule="exact"/>
        <w:rPr>
          <w:sz w:val="20"/>
          <w:szCs w:val="20"/>
          <w:color w:val="auto"/>
        </w:rPr>
      </w:pPr>
    </w:p>
    <w:p>
      <w:pPr>
        <w:ind w:left="60" w:firstLine="2246"/>
        <w:spacing w:after="0" w:line="258" w:lineRule="auto"/>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Price</w:t>
      </w:r>
      <w:r>
        <w:rPr>
          <w:rFonts w:ascii="Times New Roman" w:cs="Times New Roman" w:eastAsia="Times New Roman" w:hAnsi="Times New Roman"/>
          <w:sz w:val="22"/>
          <w:szCs w:val="22"/>
          <w:color w:val="auto"/>
        </w:rPr>
        <w:t>” means the price per share in the last reported trade of the Common Shares on a Primary Market or on the exchange which the Common Shares are then listed as quoted by Bloomberg.</w:t>
      </w:r>
    </w:p>
    <w:p>
      <w:pPr>
        <w:spacing w:after="0" w:line="158" w:lineRule="exact"/>
        <w:rPr>
          <w:sz w:val="20"/>
          <w:szCs w:val="20"/>
          <w:color w:val="auto"/>
        </w:rPr>
      </w:pPr>
    </w:p>
    <w:p>
      <w:pPr>
        <w:ind w:left="3040" w:hanging="741"/>
        <w:spacing w:after="0"/>
        <w:tabs>
          <w:tab w:leader="none" w:pos="3040" w:val="left"/>
        </w:tabs>
        <w:numPr>
          <w:ilvl w:val="0"/>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means the Securities and Exchange Commission.</w:t>
      </w:r>
    </w:p>
    <w:p>
      <w:pPr>
        <w:spacing w:after="0" w:line="206" w:lineRule="exact"/>
        <w:rPr>
          <w:sz w:val="20"/>
          <w:szCs w:val="20"/>
          <w:color w:val="auto"/>
        </w:rPr>
      </w:pPr>
    </w:p>
    <w:p>
      <w:pPr>
        <w:ind w:left="60" w:firstLine="2246"/>
        <w:spacing w:after="0" w:line="258" w:lineRule="auto"/>
        <w:rPr>
          <w:sz w:val="20"/>
          <w:szCs w:val="20"/>
          <w:color w:val="auto"/>
        </w:rPr>
      </w:pP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Shares</w:t>
      </w:r>
      <w:r>
        <w:rPr>
          <w:rFonts w:ascii="Times New Roman" w:cs="Times New Roman" w:eastAsia="Times New Roman" w:hAnsi="Times New Roman"/>
          <w:sz w:val="22"/>
          <w:szCs w:val="22"/>
          <w:color w:val="auto"/>
        </w:rPr>
        <w:t>” means the ordinary shares, par value £0.0001, of the Company, and shares of any other class into which such shares may hereafter be changed or reclassified.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95" w:right="459" w:bottom="1440" w:gutter="0" w:footer="0" w:header="0"/>
        </w:sectPr>
      </w:pPr>
    </w:p>
    <w:bookmarkStart w:id="65" w:name="page66"/>
    <w:bookmarkEnd w:id="65"/>
    <w:p>
      <w:pPr>
        <w:ind w:left="60" w:firstLine="2246"/>
        <w:spacing w:after="0" w:line="258" w:lineRule="auto"/>
        <w:rPr>
          <w:sz w:val="20"/>
          <w:szCs w:val="20"/>
          <w:color w:val="auto"/>
        </w:rPr>
      </w:pP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Amount</w:t>
      </w:r>
      <w:r>
        <w:rPr>
          <w:rFonts w:ascii="Times New Roman" w:cs="Times New Roman" w:eastAsia="Times New Roman" w:hAnsi="Times New Roman"/>
          <w:sz w:val="22"/>
          <w:szCs w:val="22"/>
          <w:color w:val="auto"/>
        </w:rPr>
        <w:t>” means the portion of the Principal, Interest, or other amounts outstanding under this Note to be converted, redeemed or otherwise with respect to which this determination is being made.</w:t>
      </w:r>
    </w:p>
    <w:p>
      <w:pPr>
        <w:spacing w:after="0" w:line="15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 shall have the meaning set forth in Section (3)(b)(i).</w:t>
      </w: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Notice</w:t>
      </w:r>
      <w:r>
        <w:rPr>
          <w:rFonts w:ascii="Times New Roman" w:cs="Times New Roman" w:eastAsia="Times New Roman" w:hAnsi="Times New Roman"/>
          <w:sz w:val="22"/>
          <w:szCs w:val="22"/>
          <w:color w:val="auto"/>
        </w:rPr>
        <w:t>" shall have the meaning set forth in Section (3)(b)(i).</w:t>
      </w:r>
    </w:p>
    <w:p>
      <w:pPr>
        <w:spacing w:after="0" w:line="200" w:lineRule="exact"/>
        <w:rPr>
          <w:sz w:val="20"/>
          <w:szCs w:val="20"/>
          <w:color w:val="auto"/>
        </w:rPr>
      </w:pPr>
    </w:p>
    <w:p>
      <w:pPr>
        <w:spacing w:after="0" w:line="24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u w:val="single" w:color="auto"/>
          <w:color w:val="auto"/>
        </w:rPr>
        <w:t>(k)</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Conversion Price</w:t>
      </w:r>
      <w:r>
        <w:rPr>
          <w:rFonts w:ascii="Times New Roman" w:cs="Times New Roman" w:eastAsia="Times New Roman" w:hAnsi="Times New Roman"/>
          <w:sz w:val="21"/>
          <w:szCs w:val="21"/>
          <w:color w:val="auto"/>
        </w:rPr>
        <w:t>" means, as of any Conversion Date or other date of determination the lower of</w:t>
      </w:r>
    </w:p>
    <w:p>
      <w:pPr>
        <w:spacing w:after="0" w:line="26" w:lineRule="exact"/>
        <w:rPr>
          <w:sz w:val="20"/>
          <w:szCs w:val="20"/>
          <w:color w:val="auto"/>
        </w:rPr>
      </w:pPr>
    </w:p>
    <w:p>
      <w:pPr>
        <w:ind w:left="60" w:right="180" w:hanging="7"/>
        <w:spacing w:after="0" w:line="234" w:lineRule="auto"/>
        <w:tabs>
          <w:tab w:leader="none" w:pos="31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$10.00 per Common Share (the “Fixed Price”), or (ii) 90% of the lowest daily VWAP during the ten (10) consecutive Trading Days immediately preceding the Conversion Date or other date of determination (the “Variable Price”), but which Variable Price shall not be lower than the Floor Price then in effect. The Conversion Price shall be adjusted from time to time pursuant to the other terms and conditions of this Note.</w:t>
      </w:r>
    </w:p>
    <w:p>
      <w:pPr>
        <w:spacing w:after="0" w:line="200" w:lineRule="exact"/>
        <w:rPr>
          <w:sz w:val="20"/>
          <w:szCs w:val="20"/>
          <w:color w:val="auto"/>
        </w:rPr>
      </w:pPr>
    </w:p>
    <w:p>
      <w:pPr>
        <w:spacing w:after="0" w:line="220" w:lineRule="exact"/>
        <w:rPr>
          <w:sz w:val="20"/>
          <w:szCs w:val="20"/>
          <w:color w:val="auto"/>
        </w:rPr>
      </w:pPr>
    </w:p>
    <w:p>
      <w:pPr>
        <w:ind w:left="3040" w:hanging="741"/>
        <w:spacing w:after="0"/>
        <w:tabs>
          <w:tab w:leader="none" w:pos="3040" w:val="left"/>
        </w:tabs>
        <w:numPr>
          <w:ilvl w:val="0"/>
          <w:numId w:val="3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amended.</w:t>
      </w:r>
    </w:p>
    <w:p>
      <w:pPr>
        <w:spacing w:after="0" w:line="182" w:lineRule="exact"/>
        <w:rPr>
          <w:sz w:val="20"/>
          <w:szCs w:val="20"/>
          <w:color w:val="auto"/>
        </w:rPr>
      </w:pPr>
    </w:p>
    <w:p>
      <w:pPr>
        <w:ind w:left="3040" w:hanging="741"/>
        <w:spacing w:after="0"/>
        <w:tabs>
          <w:tab w:leader="none" w:pos="3040" w:val="left"/>
        </w:tabs>
        <w:numPr>
          <w:ilvl w:val="0"/>
          <w:numId w:val="3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 Price</w:t>
      </w:r>
      <w:r>
        <w:rPr>
          <w:rFonts w:ascii="Times New Roman" w:cs="Times New Roman" w:eastAsia="Times New Roman" w:hAnsi="Times New Roman"/>
          <w:sz w:val="22"/>
          <w:szCs w:val="22"/>
          <w:color w:val="auto"/>
        </w:rPr>
        <w:t>” solely with respect to the Variable Price, shall mean</w:t>
      </w:r>
    </w:p>
    <w:p>
      <w:pPr>
        <w:spacing w:after="0" w:line="14" w:lineRule="exact"/>
        <w:rPr>
          <w:sz w:val="20"/>
          <w:szCs w:val="20"/>
          <w:color w:val="auto"/>
        </w:rPr>
      </w:pPr>
    </w:p>
    <w:p>
      <w:pPr>
        <w:jc w:val="both"/>
        <w:ind w:left="60"/>
        <w:spacing w:after="0" w:line="237" w:lineRule="auto"/>
        <w:rPr>
          <w:sz w:val="20"/>
          <w:szCs w:val="20"/>
          <w:color w:val="auto"/>
        </w:rPr>
      </w:pPr>
      <w:r>
        <w:rPr>
          <w:rFonts w:ascii="Times New Roman" w:cs="Times New Roman" w:eastAsia="Times New Roman" w:hAnsi="Times New Roman"/>
          <w:sz w:val="22"/>
          <w:szCs w:val="22"/>
          <w:color w:val="auto"/>
        </w:rPr>
        <w:t>$0.25 per share. Notwithstanding the foregoing, the Company may reduce the Floor Price to any amounts set forth in a written notice to the Holder; provided that such reduction shall be irrevocable and shall not be subject to increase thereafter.</w:t>
      </w:r>
    </w:p>
    <w:p>
      <w:pPr>
        <w:spacing w:after="0" w:line="174" w:lineRule="exact"/>
        <w:rPr>
          <w:sz w:val="20"/>
          <w:szCs w:val="20"/>
          <w:color w:val="auto"/>
        </w:rPr>
      </w:pPr>
    </w:p>
    <w:p>
      <w:pPr>
        <w:jc w:val="both"/>
        <w:ind w:left="60" w:firstLine="2246"/>
        <w:spacing w:after="0" w:line="235" w:lineRule="auto"/>
        <w:rPr>
          <w:sz w:val="20"/>
          <w:szCs w:val="20"/>
          <w:color w:val="auto"/>
        </w:rPr>
      </w:pP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Common Shares are permitted to tender or exchange their shares for other securities, cash or property, or (4) the Company effects any reclassification of the Common Shares or any compulsory share exchange pursuant to which the Common Shares is effectively converted into or exchanged for other securities, cash or property, provided that neither the Pre-Closing Demerger nor the Business Combination shall be a Fundamental Transaction.</w:t>
      </w:r>
    </w:p>
    <w:p>
      <w:pPr>
        <w:spacing w:after="0" w:line="178" w:lineRule="exact"/>
        <w:rPr>
          <w:sz w:val="20"/>
          <w:szCs w:val="20"/>
          <w:color w:val="auto"/>
        </w:rPr>
      </w:pPr>
    </w:p>
    <w:p>
      <w:pPr>
        <w:jc w:val="both"/>
        <w:ind w:left="60" w:firstLine="2246"/>
        <w:spacing w:after="0" w:line="258" w:lineRule="auto"/>
        <w:rPr>
          <w:sz w:val="20"/>
          <w:szCs w:val="20"/>
          <w:color w:val="auto"/>
        </w:rPr>
      </w:pPr>
      <w:r>
        <w:rPr>
          <w:rFonts w:ascii="Times New Roman" w:cs="Times New Roman" w:eastAsia="Times New Roman" w:hAnsi="Times New Roman"/>
          <w:sz w:val="22"/>
          <w:szCs w:val="22"/>
          <w:u w:val="single" w:color="auto"/>
          <w:color w:val="auto"/>
        </w:rPr>
        <w:t>(o)</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Guaranty</w:t>
      </w:r>
      <w:r>
        <w:rPr>
          <w:rFonts w:ascii="Times New Roman" w:cs="Times New Roman" w:eastAsia="Times New Roman" w:hAnsi="Times New Roman"/>
          <w:sz w:val="22"/>
          <w:szCs w:val="22"/>
          <w:color w:val="auto"/>
        </w:rPr>
        <w:t>” means global guaranty agreement entered into by those certain Subsidiaries of the Company in favor of the Holder on the date hereof.</w:t>
      </w:r>
    </w:p>
    <w:p>
      <w:pPr>
        <w:spacing w:after="0" w:line="158" w:lineRule="exact"/>
        <w:rPr>
          <w:sz w:val="20"/>
          <w:szCs w:val="20"/>
          <w:color w:val="auto"/>
        </w:rPr>
      </w:pPr>
    </w:p>
    <w:p>
      <w:pPr>
        <w:jc w:val="both"/>
        <w:ind w:left="60" w:firstLine="2246"/>
        <w:spacing w:after="0" w:line="238" w:lineRule="auto"/>
        <w:rPr>
          <w:sz w:val="20"/>
          <w:szCs w:val="20"/>
          <w:color w:val="auto"/>
        </w:rPr>
      </w:pPr>
      <w:r>
        <w:rPr>
          <w:rFonts w:ascii="Times New Roman" w:cs="Times New Roman" w:eastAsia="Times New Roman" w:hAnsi="Times New Roman"/>
          <w:sz w:val="22"/>
          <w:szCs w:val="22"/>
          <w:u w:val="single" w:color="auto"/>
          <w:color w:val="auto"/>
        </w:rPr>
        <w:t>(p)</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Notes</w:t>
      </w:r>
      <w:r>
        <w:rPr>
          <w:rFonts w:ascii="Times New Roman" w:cs="Times New Roman" w:eastAsia="Times New Roman" w:hAnsi="Times New Roman"/>
          <w:sz w:val="22"/>
          <w:szCs w:val="22"/>
          <w:color w:val="auto"/>
        </w:rPr>
        <w:t>” means the promissory note in the original principal amount of $2,500,000 executed and delivered by the Company (as successor-in-interest to the REZOLVE LIMITED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 company incorporated in England and Wales with registered number 09773823) to the Holder and bearing Note Number RZLV-1, all other promissory notes issued pursuant to the SEPA to the Holder, and any other notes, debentures, or other instruments issued in exchange, replacement, or modification of the foregoing.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95" w:right="459" w:bottom="1440" w:gutter="0" w:footer="0" w:header="0"/>
        </w:sectPr>
      </w:pPr>
    </w:p>
    <w:bookmarkStart w:id="66" w:name="page67"/>
    <w:bookmarkEnd w:id="66"/>
    <w:p>
      <w:pPr>
        <w:spacing w:after="0" w:line="90" w:lineRule="exact"/>
        <w:rPr>
          <w:sz w:val="20"/>
          <w:szCs w:val="20"/>
          <w:color w:val="auto"/>
        </w:rPr>
      </w:pPr>
    </w:p>
    <w:p>
      <w:pPr>
        <w:ind w:left="3040" w:hanging="741"/>
        <w:spacing w:after="0"/>
        <w:tabs>
          <w:tab w:leader="none" w:pos="3040" w:val="left"/>
        </w:tabs>
        <w:numPr>
          <w:ilvl w:val="0"/>
          <w:numId w:val="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Premium</w:t>
      </w:r>
      <w:r>
        <w:rPr>
          <w:rFonts w:ascii="Times New Roman" w:cs="Times New Roman" w:eastAsia="Times New Roman" w:hAnsi="Times New Roman"/>
          <w:sz w:val="22"/>
          <w:szCs w:val="22"/>
          <w:color w:val="auto"/>
        </w:rPr>
        <w:t>” means 10% of the Principal amount being paid.</w:t>
      </w:r>
    </w:p>
    <w:p>
      <w:pPr>
        <w:spacing w:after="0" w:line="206" w:lineRule="exact"/>
        <w:rPr>
          <w:sz w:val="20"/>
          <w:szCs w:val="20"/>
          <w:color w:val="auto"/>
        </w:rPr>
      </w:pPr>
    </w:p>
    <w:p>
      <w:pPr>
        <w:jc w:val="both"/>
        <w:ind w:left="60" w:right="20" w:firstLine="2246"/>
        <w:spacing w:after="0" w:line="249" w:lineRule="auto"/>
        <w:rPr>
          <w:sz w:val="20"/>
          <w:szCs w:val="20"/>
          <w:color w:val="auto"/>
        </w:rPr>
      </w:pPr>
      <w:r>
        <w:rPr>
          <w:rFonts w:ascii="Times New Roman" w:cs="Times New Roman" w:eastAsia="Times New Roman" w:hAnsi="Times New Roman"/>
          <w:sz w:val="21"/>
          <w:szCs w:val="21"/>
          <w:u w:val="single" w:color="auto"/>
          <w:color w:val="auto"/>
        </w:rPr>
        <w:t>(r)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Periodic Reports</w:t>
      </w:r>
      <w:r>
        <w:rPr>
          <w:rFonts w:ascii="Times New Roman" w:cs="Times New Roman" w:eastAsia="Times New Roman" w:hAnsi="Times New Roman"/>
          <w:sz w:val="21"/>
          <w:szCs w:val="21"/>
          <w:color w:val="auto"/>
        </w:rPr>
        <w:t>” shall mean the Company’s (i) Shell Company Report on Form 20-F filed with the Commission on August 21, 2024, (ii) any current report to be filed on Form 6-K and (iii) all other reports required to be filed by the Company with the Commission under applicable laws and regulations (including, without limitation, Regulation S-</w:t>
      </w:r>
    </w:p>
    <w:p>
      <w:pPr>
        <w:spacing w:after="0" w:line="1" w:lineRule="exact"/>
        <w:rPr>
          <w:sz w:val="20"/>
          <w:szCs w:val="20"/>
          <w:color w:val="auto"/>
        </w:rPr>
      </w:pPr>
    </w:p>
    <w:p>
      <w:pPr>
        <w:jc w:val="both"/>
        <w:ind w:left="60" w:right="20" w:hanging="7"/>
        <w:spacing w:after="0" w:line="235" w:lineRule="auto"/>
        <w:tabs>
          <w:tab w:leader="none" w:pos="34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so long as any amounts are outstanding under this Note or any Other Note;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such Periodic Reports shall include, when filed, all information, financial statements, audit reports (when applicable) and other information required to be included in such Periodic Reports in compliance with all applicable laws and regulations.</w:t>
      </w:r>
    </w:p>
    <w:p>
      <w:pPr>
        <w:spacing w:after="0" w:line="178" w:lineRule="exact"/>
        <w:rPr>
          <w:sz w:val="20"/>
          <w:szCs w:val="20"/>
          <w:color w:val="auto"/>
        </w:rPr>
      </w:pPr>
    </w:p>
    <w:p>
      <w:pPr>
        <w:ind w:left="60" w:right="20" w:firstLine="2246"/>
        <w:spacing w:after="0" w:line="258" w:lineRule="auto"/>
        <w:rPr>
          <w:sz w:val="20"/>
          <w:szCs w:val="20"/>
          <w:color w:val="auto"/>
        </w:rPr>
      </w:pP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 corporation, an association, a partnership, organization, a business, an individual, a government or political subdivision thereof or a governmental agency.</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SEPA;</w:t>
      </w:r>
    </w:p>
    <w:p>
      <w:pPr>
        <w:spacing w:after="0" w:line="7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Demerger</w:t>
      </w:r>
      <w:r>
        <w:rPr>
          <w:rFonts w:ascii="Times New Roman" w:cs="Times New Roman" w:eastAsia="Times New Roman" w:hAnsi="Times New Roman"/>
          <w:sz w:val="22"/>
          <w:szCs w:val="22"/>
          <w:color w:val="auto"/>
        </w:rPr>
        <w:t>" bears the meaning attributed thereto in the</w:t>
      </w:r>
    </w:p>
    <w:p>
      <w:pPr>
        <w:spacing w:after="0" w:line="200" w:lineRule="exact"/>
        <w:rPr>
          <w:sz w:val="20"/>
          <w:szCs w:val="20"/>
          <w:color w:val="auto"/>
        </w:rPr>
      </w:pPr>
    </w:p>
    <w:p>
      <w:pPr>
        <w:spacing w:after="0" w:line="249" w:lineRule="exact"/>
        <w:rPr>
          <w:sz w:val="20"/>
          <w:szCs w:val="20"/>
          <w:color w:val="auto"/>
        </w:rPr>
      </w:pPr>
    </w:p>
    <w:p>
      <w:pPr>
        <w:ind w:left="60" w:firstLine="2246"/>
        <w:spacing w:after="0" w:line="244" w:lineRule="auto"/>
        <w:rPr>
          <w:sz w:val="20"/>
          <w:szCs w:val="20"/>
          <w:color w:val="auto"/>
        </w:rPr>
      </w:pPr>
      <w:r>
        <w:rPr>
          <w:rFonts w:ascii="Times New Roman" w:cs="Times New Roman" w:eastAsia="Times New Roman" w:hAnsi="Times New Roman"/>
          <w:sz w:val="22"/>
          <w:szCs w:val="22"/>
          <w:u w:val="single" w:color="auto"/>
          <w:color w:val="auto"/>
        </w:rPr>
        <w:t>(u)</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Primary Market</w:t>
      </w:r>
      <w:r>
        <w:rPr>
          <w:rFonts w:ascii="Times New Roman" w:cs="Times New Roman" w:eastAsia="Times New Roman" w:hAnsi="Times New Roman"/>
          <w:sz w:val="22"/>
          <w:szCs w:val="22"/>
          <w:color w:val="auto"/>
        </w:rPr>
        <w:t>” means any of The New York Stock Exchange, the NYSE American, the Nasdaq Capital Market, the Nasdaq Global Market or the Nasdaq Global Select Market, and any successor to any of the foregoing markets or exchanges.</w:t>
      </w:r>
    </w:p>
    <w:p>
      <w:pPr>
        <w:spacing w:after="0" w:line="200" w:lineRule="exact"/>
        <w:rPr>
          <w:sz w:val="20"/>
          <w:szCs w:val="20"/>
          <w:color w:val="auto"/>
        </w:rPr>
      </w:pPr>
    </w:p>
    <w:p>
      <w:pPr>
        <w:spacing w:after="0" w:line="216" w:lineRule="exact"/>
        <w:rPr>
          <w:sz w:val="20"/>
          <w:szCs w:val="20"/>
          <w:color w:val="auto"/>
        </w:rPr>
      </w:pPr>
    </w:p>
    <w:p>
      <w:pPr>
        <w:ind w:left="3040" w:hanging="741"/>
        <w:spacing w:after="0"/>
        <w:tabs>
          <w:tab w:leader="none" w:pos="30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Premium</w:t>
      </w:r>
      <w:r>
        <w:rPr>
          <w:rFonts w:ascii="Times New Roman" w:cs="Times New Roman" w:eastAsia="Times New Roman" w:hAnsi="Times New Roman"/>
          <w:sz w:val="22"/>
          <w:szCs w:val="22"/>
          <w:color w:val="auto"/>
        </w:rPr>
        <w:t>” means 10% of the Principal amount being</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redeemed.</w:t>
      </w:r>
    </w:p>
    <w:p>
      <w:pPr>
        <w:spacing w:after="0" w:line="182" w:lineRule="exact"/>
        <w:rPr>
          <w:sz w:val="20"/>
          <w:szCs w:val="20"/>
          <w:color w:val="auto"/>
        </w:rPr>
      </w:pPr>
    </w:p>
    <w:p>
      <w:pPr>
        <w:ind w:left="3040" w:hanging="741"/>
        <w:spacing w:after="0"/>
        <w:tabs>
          <w:tab w:leader="none" w:pos="30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 means the registration rights</w:t>
      </w:r>
    </w:p>
    <w:p>
      <w:pPr>
        <w:spacing w:after="0" w:line="14" w:lineRule="exact"/>
        <w:rPr>
          <w:rFonts w:ascii="Times New Roman" w:cs="Times New Roman" w:eastAsia="Times New Roman" w:hAnsi="Times New Roman"/>
          <w:sz w:val="22"/>
          <w:szCs w:val="22"/>
          <w:color w:val="auto"/>
        </w:rPr>
      </w:pPr>
    </w:p>
    <w:p>
      <w:pPr>
        <w:ind w:left="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entered into between the Company and the Holder on the date hereof.</w:t>
      </w:r>
    </w:p>
    <w:p>
      <w:pPr>
        <w:spacing w:after="0" w:line="182" w:lineRule="exact"/>
        <w:rPr>
          <w:sz w:val="20"/>
          <w:szCs w:val="20"/>
          <w:color w:val="auto"/>
        </w:rPr>
      </w:pPr>
    </w:p>
    <w:p>
      <w:pPr>
        <w:jc w:val="both"/>
        <w:ind w:left="60" w:right="20" w:firstLine="2246"/>
        <w:spacing w:after="0" w:line="244" w:lineRule="auto"/>
        <w:rPr>
          <w:sz w:val="20"/>
          <w:szCs w:val="20"/>
          <w:color w:val="auto"/>
        </w:rPr>
      </w:pPr>
      <w:r>
        <w:rPr>
          <w:rFonts w:ascii="Times New Roman" w:cs="Times New Roman" w:eastAsia="Times New Roman" w:hAnsi="Times New Roman"/>
          <w:sz w:val="22"/>
          <w:szCs w:val="22"/>
          <w:color w:val="auto"/>
        </w:rPr>
        <w:t>(x)“</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a registration statement meeting the requirements set forth in the Registration Rights Agreement, covering among other things the resale of the Underlying Shares and naming the Holder as a “selling stockholder” thereunder.</w:t>
      </w:r>
    </w:p>
    <w:p>
      <w:pPr>
        <w:spacing w:after="0" w:line="17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(y)“</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the rules and regulations</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promulgated thereunder.</w:t>
      </w:r>
    </w:p>
    <w:p>
      <w:pPr>
        <w:spacing w:after="0" w:line="182" w:lineRule="exact"/>
        <w:rPr>
          <w:sz w:val="20"/>
          <w:szCs w:val="20"/>
          <w:color w:val="auto"/>
        </w:rPr>
      </w:pPr>
    </w:p>
    <w:p>
      <w:pPr>
        <w:ind w:left="3040" w:hanging="741"/>
        <w:spacing w:after="0"/>
        <w:tabs>
          <w:tab w:leader="none" w:pos="30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 Delivery Date</w:t>
      </w:r>
      <w:r>
        <w:rPr>
          <w:rFonts w:ascii="Times New Roman" w:cs="Times New Roman" w:eastAsia="Times New Roman" w:hAnsi="Times New Roman"/>
          <w:sz w:val="22"/>
          <w:szCs w:val="22"/>
          <w:color w:val="auto"/>
        </w:rPr>
        <w:t>" shall have the meaning set forth in Section</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(3)(b)(i).</w:t>
      </w:r>
    </w:p>
    <w:p>
      <w:pPr>
        <w:spacing w:after="0" w:line="18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(aa)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corporation,</w:t>
      </w:r>
    </w:p>
    <w:p>
      <w:pPr>
        <w:spacing w:after="0" w:line="14" w:lineRule="exact"/>
        <w:rPr>
          <w:sz w:val="20"/>
          <w:szCs w:val="20"/>
          <w:color w:val="auto"/>
        </w:rPr>
      </w:pPr>
    </w:p>
    <w:p>
      <w:pPr>
        <w:jc w:val="both"/>
        <w:ind w:left="60" w:right="20"/>
        <w:spacing w:after="0" w:line="241" w:lineRule="auto"/>
        <w:rPr>
          <w:sz w:val="20"/>
          <w:szCs w:val="20"/>
          <w:color w:val="auto"/>
        </w:rPr>
      </w:pPr>
      <w:r>
        <w:rPr>
          <w:rFonts w:ascii="Times New Roman" w:cs="Times New Roman" w:eastAsia="Times New Roman" w:hAnsi="Times New Roman"/>
          <w:sz w:val="21"/>
          <w:szCs w:val="21"/>
          <w:color w:val="auto"/>
        </w:rPr>
        <w:t>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w:t>
      </w:r>
    </w:p>
    <w:p>
      <w:pPr>
        <w:spacing w:after="0" w:line="2" w:lineRule="exact"/>
        <w:rPr>
          <w:sz w:val="20"/>
          <w:szCs w:val="20"/>
          <w:color w:val="auto"/>
        </w:rPr>
      </w:pPr>
    </w:p>
    <w:p>
      <w:pPr>
        <w:ind w:left="300" w:hanging="249"/>
        <w:spacing w:after="0"/>
        <w:tabs>
          <w:tab w:leader="none" w:pos="30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Person; (ii) such Person and one or more Subsidiaries of such Person; or (iii) one or more Subsidiaries of such Person.</w:t>
      </w:r>
    </w:p>
    <w:p>
      <w:pPr>
        <w:spacing w:after="0" w:line="23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80" w:top="1440" w:right="439" w:bottom="1440" w:gutter="0" w:footer="0" w:header="0"/>
        </w:sectPr>
      </w:pPr>
    </w:p>
    <w:bookmarkStart w:id="67" w:name="page68"/>
    <w:bookmarkEnd w:id="67"/>
    <w:p>
      <w:pPr>
        <w:spacing w:after="0" w:line="90" w:lineRule="exact"/>
        <w:rPr>
          <w:sz w:val="20"/>
          <w:szCs w:val="20"/>
          <w:color w:val="auto"/>
        </w:rPr>
      </w:pPr>
    </w:p>
    <w:p>
      <w:pPr>
        <w:jc w:val="both"/>
        <w:ind w:left="60" w:firstLine="2236"/>
        <w:spacing w:after="0" w:line="244" w:lineRule="auto"/>
        <w:tabs>
          <w:tab w:leader="none" w:pos="273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on which the Common Shares are quoted or traded on a Primary Market on which the Common Shares are then quoted or listed; provided, that in the event that the Common Shares are not listed or quoted, then Trading Day shall mean a Business Day.</w:t>
      </w:r>
    </w:p>
    <w:p>
      <w:pPr>
        <w:spacing w:after="0" w:line="38" w:lineRule="exact"/>
        <w:rPr>
          <w:rFonts w:ascii="Times New Roman" w:cs="Times New Roman" w:eastAsia="Times New Roman" w:hAnsi="Times New Roman"/>
          <w:sz w:val="22"/>
          <w:szCs w:val="22"/>
          <w:color w:val="auto"/>
        </w:rPr>
      </w:pPr>
    </w:p>
    <w:p>
      <w:pPr>
        <w:jc w:val="both"/>
        <w:ind w:left="60" w:firstLine="2236"/>
        <w:spacing w:after="0" w:line="244" w:lineRule="auto"/>
        <w:tabs>
          <w:tab w:leader="none" w:pos="272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w:t>
      </w:r>
      <w:r>
        <w:rPr>
          <w:rFonts w:ascii="Times New Roman" w:cs="Times New Roman" w:eastAsia="Times New Roman" w:hAnsi="Times New Roman"/>
          <w:sz w:val="22"/>
          <w:szCs w:val="22"/>
          <w:color w:val="auto"/>
        </w:rPr>
        <w:t>” means, each of, the Other Notes, the SEPA, the Registration Rights Agreement, the Global Guaranty and any and all documents, agreements, instruments or other items executed or delivered in connection with any of the foregoing.</w:t>
      </w:r>
    </w:p>
    <w:p>
      <w:pPr>
        <w:spacing w:after="0" w:line="173" w:lineRule="exact"/>
        <w:rPr>
          <w:rFonts w:ascii="Times New Roman" w:cs="Times New Roman" w:eastAsia="Times New Roman" w:hAnsi="Times New Roman"/>
          <w:sz w:val="22"/>
          <w:szCs w:val="22"/>
          <w:color w:val="auto"/>
        </w:rPr>
      </w:pPr>
    </w:p>
    <w:p>
      <w:pPr>
        <w:jc w:val="both"/>
        <w:ind w:left="60" w:firstLine="2236"/>
        <w:spacing w:after="0" w:line="235" w:lineRule="auto"/>
        <w:tabs>
          <w:tab w:leader="none" w:pos="28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Trigger Event</w:t>
      </w:r>
      <w:r>
        <w:rPr>
          <w:rFonts w:ascii="Times New Roman" w:cs="Times New Roman" w:eastAsia="Times New Roman" w:hAnsi="Times New Roman"/>
          <w:sz w:val="22"/>
          <w:szCs w:val="22"/>
          <w:color w:val="auto"/>
        </w:rPr>
        <w:t>” shall mean (i) the daily VWAP is less than the Floor Price then in effect for five Trading Days during a period of seven consecutive Trading Days (a “</w:t>
      </w:r>
      <w:r>
        <w:rPr>
          <w:rFonts w:ascii="Times New Roman" w:cs="Times New Roman" w:eastAsia="Times New Roman" w:hAnsi="Times New Roman"/>
          <w:sz w:val="22"/>
          <w:szCs w:val="22"/>
          <w:u w:val="single" w:color="auto"/>
          <w:color w:val="auto"/>
        </w:rPr>
        <w:t>Floor Price Trigger</w:t>
      </w:r>
      <w:r>
        <w:rPr>
          <w:rFonts w:ascii="Times New Roman" w:cs="Times New Roman" w:eastAsia="Times New Roman" w:hAnsi="Times New Roman"/>
          <w:sz w:val="22"/>
          <w:szCs w:val="22"/>
          <w:color w:val="auto"/>
        </w:rPr>
        <w:t>”), and (ii) unless (x) the Company has obtained the approval from its stockholders in accordance with the rules of the Principal Market for the issuance of Shares pursuant to the transactions contemplated in this Note and the SEPA in excess of the Exchange Cap, or (y) the Company is permitted to follow its home country practices instead of the stockholder approval requirements of Nasdaq Rule 5635, and has made such election to follow home country practice in accordance with the Nasdaq Rules, the Company has issued in excess of 99% of the Common Shares available under the Exchange Cap (an “</w:t>
      </w:r>
      <w:r>
        <w:rPr>
          <w:rFonts w:ascii="Times New Roman" w:cs="Times New Roman" w:eastAsia="Times New Roman" w:hAnsi="Times New Roman"/>
          <w:sz w:val="22"/>
          <w:szCs w:val="22"/>
          <w:u w:val="single" w:color="auto"/>
          <w:color w:val="auto"/>
        </w:rPr>
        <w:t>Exchange Cap Trigger</w:t>
      </w:r>
      <w:r>
        <w:rPr>
          <w:rFonts w:ascii="Times New Roman" w:cs="Times New Roman" w:eastAsia="Times New Roman" w:hAnsi="Times New Roman"/>
          <w:sz w:val="22"/>
          <w:szCs w:val="22"/>
          <w:color w:val="auto"/>
        </w:rPr>
        <w:t>”) (the last such day of each such occurrence, a “</w:t>
      </w:r>
      <w:r>
        <w:rPr>
          <w:rFonts w:ascii="Times New Roman" w:cs="Times New Roman" w:eastAsia="Times New Roman" w:hAnsi="Times New Roman"/>
          <w:sz w:val="22"/>
          <w:szCs w:val="22"/>
          <w:u w:val="single" w:color="auto"/>
          <w:color w:val="auto"/>
        </w:rPr>
        <w:t>Trigger Date</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left="2720" w:hanging="422"/>
        <w:spacing w:after="0"/>
        <w:tabs>
          <w:tab w:leader="none" w:pos="27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Triggered Principal Amount</w:t>
      </w:r>
      <w:r>
        <w:rPr>
          <w:rFonts w:ascii="Times New Roman" w:cs="Times New Roman" w:eastAsia="Times New Roman" w:hAnsi="Times New Roman"/>
          <w:sz w:val="22"/>
          <w:szCs w:val="22"/>
          <w:color w:val="auto"/>
        </w:rPr>
        <w:t>” shall have the meaning set forth in</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Section (1)(c).</w:t>
      </w:r>
    </w:p>
    <w:p>
      <w:pPr>
        <w:spacing w:after="0" w:line="182" w:lineRule="exact"/>
        <w:rPr>
          <w:sz w:val="20"/>
          <w:szCs w:val="20"/>
          <w:color w:val="auto"/>
        </w:rPr>
      </w:pPr>
    </w:p>
    <w:p>
      <w:pPr>
        <w:ind w:left="2720" w:hanging="422"/>
        <w:spacing w:after="0"/>
        <w:tabs>
          <w:tab w:leader="none" w:pos="27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Underlying Shares</w:t>
      </w:r>
      <w:r>
        <w:rPr>
          <w:rFonts w:ascii="Times New Roman" w:cs="Times New Roman" w:eastAsia="Times New Roman" w:hAnsi="Times New Roman"/>
          <w:sz w:val="22"/>
          <w:szCs w:val="22"/>
          <w:color w:val="auto"/>
        </w:rPr>
        <w:t>” means the Common Shares issuable upon</w:t>
      </w:r>
    </w:p>
    <w:p>
      <w:pPr>
        <w:spacing w:after="0" w:line="14" w:lineRule="exact"/>
        <w:rPr>
          <w:rFonts w:ascii="Times New Roman" w:cs="Times New Roman" w:eastAsia="Times New Roman" w:hAnsi="Times New Roman"/>
          <w:sz w:val="22"/>
          <w:szCs w:val="22"/>
          <w:color w:val="auto"/>
        </w:rPr>
      </w:pPr>
    </w:p>
    <w:p>
      <w:pPr>
        <w:ind w:left="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conversion of this Note or as payment of interest in accordance with the terms hereof.</w:t>
      </w:r>
    </w:p>
    <w:p>
      <w:pPr>
        <w:spacing w:after="0" w:line="182" w:lineRule="exact"/>
        <w:rPr>
          <w:rFonts w:ascii="Times New Roman" w:cs="Times New Roman" w:eastAsia="Times New Roman" w:hAnsi="Times New Roman"/>
          <w:sz w:val="22"/>
          <w:szCs w:val="22"/>
          <w:color w:val="auto"/>
        </w:rPr>
      </w:pPr>
    </w:p>
    <w:p>
      <w:pPr>
        <w:jc w:val="both"/>
        <w:ind w:left="60" w:right="20" w:firstLine="2236"/>
        <w:spacing w:after="0" w:line="244" w:lineRule="auto"/>
        <w:tabs>
          <w:tab w:leader="none" w:pos="271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for any security as of any date, the daily dollar volume-weighted average price for such security on the Primary Market during regular trading hours as reported by Bloomberg through its “Historical Prices – Px Table with Average Daily Volume” functions.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521335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68" w:name="page69"/>
    <w:bookmarkEnd w:id="68"/>
    <w:p>
      <w:pPr>
        <w:spacing w:after="0" w:line="194" w:lineRule="exact"/>
        <w:rPr>
          <w:sz w:val="20"/>
          <w:szCs w:val="20"/>
          <w:color w:val="auto"/>
        </w:rPr>
      </w:pPr>
    </w:p>
    <w:p>
      <w:pPr>
        <w:ind w:firstLine="747"/>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below have caused this Convertible Promissory Note to be duly executed by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officer as of the date set forth above.</w:t>
      </w:r>
    </w:p>
    <w:p>
      <w:pPr>
        <w:spacing w:after="0" w:line="39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1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REZOLVE AI LIMITED</w:t>
      </w:r>
    </w:p>
    <w:p>
      <w:pPr>
        <w:spacing w:after="0" w:line="200" w:lineRule="exact"/>
        <w:rPr>
          <w:sz w:val="20"/>
          <w:szCs w:val="20"/>
          <w:color w:val="auto"/>
        </w:rPr>
      </w:pP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By: /s/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-13970</wp:posOffset>
            </wp:positionV>
            <wp:extent cx="11391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39190" cy="8890"/>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22"/>
          <w:szCs w:val="22"/>
          <w:color w:val="auto"/>
        </w:rPr>
        <w:t>Name: Daniel Wagner</w:t>
      </w:r>
    </w:p>
    <w:p>
      <w:pPr>
        <w:ind w:left="4960"/>
        <w:spacing w:after="0"/>
        <w:tabs>
          <w:tab w:leader="none" w:pos="58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205740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69" w:name="page70"/>
    <w:bookmarkEnd w:id="69"/>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EXHIBIT I </w:t>
      </w:r>
      <w:r>
        <w:rPr>
          <w:rFonts w:ascii="Times New Roman" w:cs="Times New Roman" w:eastAsia="Times New Roman" w:hAnsi="Times New Roman"/>
          <w:sz w:val="22"/>
          <w:szCs w:val="22"/>
          <w:b w:val="1"/>
          <w:bCs w:val="1"/>
          <w:u w:val="single" w:color="auto"/>
          <w:color w:val="auto"/>
        </w:rPr>
        <w:t>CONVERSION NOTICE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executed by the Holder in order to Convert the Note)</w:t>
      </w: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TO: Rezolve AI Limited. Via Email:</w:t>
      </w:r>
    </w:p>
    <w:p>
      <w:pPr>
        <w:spacing w:after="0" w:line="120" w:lineRule="exact"/>
        <w:rPr>
          <w:sz w:val="20"/>
          <w:szCs w:val="20"/>
          <w:color w:val="auto"/>
        </w:rPr>
      </w:pPr>
    </w:p>
    <w:p>
      <w:pPr>
        <w:jc w:val="both"/>
        <w:ind w:left="120" w:right="120" w:firstLine="747"/>
        <w:spacing w:after="0" w:line="244" w:lineRule="auto"/>
        <w:rPr>
          <w:sz w:val="20"/>
          <w:szCs w:val="20"/>
          <w:color w:val="auto"/>
        </w:rPr>
      </w:pPr>
      <w:r>
        <w:rPr>
          <w:rFonts w:ascii="Times New Roman" w:cs="Times New Roman" w:eastAsia="Times New Roman" w:hAnsi="Times New Roman"/>
          <w:sz w:val="22"/>
          <w:szCs w:val="22"/>
          <w:color w:val="auto"/>
        </w:rPr>
        <w:t xml:space="preserve">The undersigned hereby irrevocably elects to convert a portion of the outstanding and unpaid Conversion Amount of Note No. </w:t>
      </w:r>
      <w:r>
        <w:rPr>
          <w:rFonts w:ascii="Times New Roman" w:cs="Times New Roman" w:eastAsia="Times New Roman" w:hAnsi="Times New Roman"/>
          <w:sz w:val="22"/>
          <w:szCs w:val="22"/>
          <w:u w:val="single" w:color="auto"/>
          <w:color w:val="auto"/>
        </w:rPr>
        <w:t>RZLV-2</w:t>
      </w:r>
      <w:r>
        <w:rPr>
          <w:rFonts w:ascii="Times New Roman" w:cs="Times New Roman" w:eastAsia="Times New Roman" w:hAnsi="Times New Roman"/>
          <w:sz w:val="22"/>
          <w:szCs w:val="22"/>
          <w:color w:val="auto"/>
        </w:rPr>
        <w:t xml:space="preserve"> into Common Shares of </w:t>
      </w:r>
      <w:r>
        <w:rPr>
          <w:rFonts w:ascii="Times New Roman" w:cs="Times New Roman" w:eastAsia="Times New Roman" w:hAnsi="Times New Roman"/>
          <w:sz w:val="22"/>
          <w:szCs w:val="22"/>
          <w:b w:val="1"/>
          <w:bCs w:val="1"/>
          <w:color w:val="auto"/>
        </w:rPr>
        <w:t>Rezolve AI Limited.</w:t>
      </w:r>
      <w:r>
        <w:rPr>
          <w:rFonts w:ascii="Times New Roman" w:cs="Times New Roman" w:eastAsia="Times New Roman" w:hAnsi="Times New Roman"/>
          <w:sz w:val="22"/>
          <w:szCs w:val="22"/>
          <w:color w:val="auto"/>
        </w:rPr>
        <w:t>, according to the conditions stated therein, as of the Conversion Date written below.</w:t>
      </w:r>
    </w:p>
    <w:p>
      <w:pPr>
        <w:spacing w:after="0" w:line="200" w:lineRule="exact"/>
        <w:rPr>
          <w:sz w:val="20"/>
          <w:szCs w:val="20"/>
          <w:color w:val="auto"/>
        </w:rPr>
      </w:pPr>
    </w:p>
    <w:p>
      <w:pPr>
        <w:spacing w:after="0" w:line="3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Conversion Date:</w:t>
      </w:r>
    </w:p>
    <w:p>
      <w:pPr>
        <w:spacing w:after="0" w:line="1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Principal Amount to be Converted:</w:t>
      </w:r>
    </w:p>
    <w:p>
      <w:pPr>
        <w:spacing w:after="0" w:line="1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Accrued Interest to be Converted:</w:t>
      </w:r>
    </w:p>
    <w:p>
      <w:pPr>
        <w:spacing w:after="0" w:line="1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Total Conversion Amount to be converted:</w:t>
      </w:r>
    </w:p>
    <w:p>
      <w:pPr>
        <w:spacing w:after="0" w:line="1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Fixed Price:</w:t>
      </w:r>
    </w:p>
    <w:p>
      <w:pPr>
        <w:spacing w:after="0" w:line="1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Variable Price:</w:t>
      </w:r>
    </w:p>
    <w:p>
      <w:pPr>
        <w:spacing w:after="0" w:line="1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Applicable Conversion Price:</w:t>
      </w:r>
    </w:p>
    <w:p>
      <w:pPr>
        <w:spacing w:after="0" w:line="1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Number of Common Shares to be issued:</w:t>
      </w: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Please issue the Common Shares in the following name and deliver them to the following account: Issue to:</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Broker DTC Participant Code:</w:t>
      </w:r>
    </w:p>
    <w:p>
      <w:pPr>
        <w:spacing w:after="0" w:line="1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Account Number:</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Authorized Signature:</w:t>
            </w:r>
          </w:p>
        </w:tc>
        <w:tc>
          <w:tcPr>
            <w:tcW w:w="400" w:type="dxa"/>
            <w:vAlign w:val="bottom"/>
          </w:tcPr>
          <w:p>
            <w:pPr>
              <w:spacing w:after="0"/>
              <w:rPr>
                <w:sz w:val="19"/>
                <w:szCs w:val="19"/>
                <w:color w:val="auto"/>
              </w:rPr>
            </w:pPr>
          </w:p>
        </w:tc>
        <w:tc>
          <w:tcPr>
            <w:tcW w:w="864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Name:</w:t>
            </w:r>
          </w:p>
        </w:tc>
      </w:tr>
      <w:tr>
        <w:trPr>
          <w:trHeight w:val="209"/>
        </w:trPr>
        <w:tc>
          <w:tcPr>
            <w:tcW w:w="2200" w:type="dxa"/>
            <w:vAlign w:val="bottom"/>
            <w:gridSpan w:val="3"/>
          </w:tcPr>
          <w:p>
            <w:pPr>
              <w:ind w:left="220"/>
              <w:spacing w:after="0" w:line="209" w:lineRule="exact"/>
              <w:rPr>
                <w:sz w:val="20"/>
                <w:szCs w:val="20"/>
                <w:color w:val="auto"/>
              </w:rPr>
            </w:pPr>
            <w:r>
              <w:rPr>
                <w:rFonts w:ascii="Times New Roman" w:cs="Times New Roman" w:eastAsia="Times New Roman" w:hAnsi="Times New Roman"/>
                <w:sz w:val="20"/>
                <w:szCs w:val="20"/>
                <w:b w:val="1"/>
                <w:bCs w:val="1"/>
                <w:color w:val="auto"/>
              </w:rPr>
              <w:t>Title:</w:t>
            </w:r>
          </w:p>
        </w:tc>
        <w:tc>
          <w:tcPr>
            <w:tcW w:w="40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60" w:type="dxa"/>
            <w:vAlign w:val="bottom"/>
          </w:tcPr>
          <w:p>
            <w:pPr>
              <w:spacing w:after="0"/>
              <w:rPr>
                <w:sz w:val="18"/>
                <w:szCs w:val="18"/>
                <w:color w:val="auto"/>
              </w:rPr>
            </w:pPr>
          </w:p>
        </w:tc>
      </w:tr>
      <w:tr>
        <w:trPr>
          <w:trHeight w:val="379"/>
        </w:trPr>
        <w:tc>
          <w:tcPr>
            <w:tcW w:w="1020" w:type="dxa"/>
            <w:vAlign w:val="bottom"/>
            <w:tcBorders>
              <w:bottom w:val="single" w:sz="8" w:color="9A9A9A"/>
            </w:tcBorders>
          </w:tcPr>
          <w:p>
            <w:pPr>
              <w:spacing w:after="0"/>
              <w:rPr>
                <w:sz w:val="24"/>
                <w:szCs w:val="24"/>
                <w:color w:val="auto"/>
              </w:rPr>
            </w:pPr>
          </w:p>
        </w:tc>
        <w:tc>
          <w:tcPr>
            <w:tcW w:w="400" w:type="dxa"/>
            <w:vAlign w:val="bottom"/>
            <w:tcBorders>
              <w:top w:val="single" w:sz="8" w:color="auto"/>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upperLetter"/>
      <w:start w:val="1"/>
    </w:lvl>
  </w:abstractNum>
  <w:abstractNum w:abstractNumId="1">
    <w:nsid w:val="8EDBDAB"/>
    <w:multiLevelType w:val="hybridMultilevel"/>
    <w:lvl w:ilvl="0">
      <w:lvlJc w:val="left"/>
      <w:lvlText w:val="(%1)"/>
      <w:numFmt w:val="lowerRoman"/>
      <w:start w:val="2"/>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8"/>
    </w:lvl>
  </w:abstractNum>
  <w:abstractNum w:abstractNumId="5">
    <w:nsid w:val="189A769B"/>
    <w:multiLevelType w:val="hybridMultilevel"/>
    <w:lvl w:ilvl="0">
      <w:lvlJc w:val="left"/>
      <w:lvlText w:val="%1."/>
      <w:numFmt w:val="decimal"/>
      <w:start w:val="10"/>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lowerRoman"/>
      <w:start w:val="2"/>
    </w:lvl>
  </w:abstractNum>
  <w:abstractNum w:abstractNumId="9">
    <w:nsid w:val="836C40E"/>
    <w:multiLevelType w:val="hybridMultilevel"/>
    <w:lvl w:ilvl="0">
      <w:lvlJc w:val="left"/>
      <w:lvlText w:val="(%1)"/>
      <w:numFmt w:val="decimal"/>
      <w:start w:val="2"/>
    </w:lvl>
  </w:abstractNum>
  <w:abstractNum w:abstractNumId="10">
    <w:nsid w:val="2901D82"/>
    <w:multiLevelType w:val="hybridMultilevel"/>
    <w:lvl w:ilvl="0">
      <w:lvlJc w:val="left"/>
      <w:lvlText w:val="(%1)"/>
      <w:numFmt w:val="lowerRoman"/>
      <w:start w:val="1"/>
    </w:lvl>
  </w:abstractNum>
  <w:abstractNum w:abstractNumId="11">
    <w:nsid w:val="3A95F874"/>
    <w:multiLevelType w:val="hybridMultilevel"/>
    <w:lvl w:ilvl="0">
      <w:lvlJc w:val="left"/>
      <w:lvlText w:val="(%1)"/>
      <w:numFmt w:val="lowerRoman"/>
      <w:start w:val="3"/>
    </w:lvl>
  </w:abstractNum>
  <w:abstractNum w:abstractNumId="12">
    <w:nsid w:val="8138641"/>
    <w:multiLevelType w:val="hybridMultilevel"/>
    <w:lvl w:ilvl="0">
      <w:lvlJc w:val="left"/>
      <w:lvlText w:val="(%1)"/>
      <w:numFmt w:val="lowerRoman"/>
      <w:start w:val="9"/>
    </w:lvl>
  </w:abstractNum>
  <w:abstractNum w:abstractNumId="13">
    <w:nsid w:val="1E7FF521"/>
    <w:multiLevelType w:val="hybridMultilevel"/>
    <w:lvl w:ilvl="0">
      <w:lvlJc w:val="left"/>
      <w:lvlText w:val="(%1)"/>
      <w:numFmt w:val="decimal"/>
      <w:start w:val="3"/>
    </w:lvl>
    <w:lvl w:ilvl="1">
      <w:lvlJc w:val="left"/>
      <w:lvlText w:val="(%2)"/>
      <w:numFmt w:val="decimal"/>
      <w:start w:val="3"/>
    </w:lvl>
  </w:abstractNum>
  <w:abstractNum w:abstractNumId="14">
    <w:nsid w:val="7C3DBD3D"/>
    <w:multiLevelType w:val="hybridMultilevel"/>
    <w:lvl w:ilvl="0">
      <w:lvlJc w:val="left"/>
      <w:lvlText w:val="(%1)"/>
      <w:numFmt w:val="lowerLetter"/>
      <w:start w:val="2"/>
    </w:lvl>
    <w:lvl w:ilvl="1">
      <w:lvlJc w:val="left"/>
      <w:lvlText w:val="(%2)"/>
      <w:numFmt w:val="lowerLetter"/>
      <w:start w:val="9"/>
    </w:lvl>
  </w:abstractNum>
  <w:abstractNum w:abstractNumId="15">
    <w:nsid w:val="737B8DDC"/>
    <w:multiLevelType w:val="hybridMultilevel"/>
    <w:lvl w:ilvl="0">
      <w:lvlJc w:val="left"/>
      <w:lvlText w:val="%1"/>
      <w:numFmt w:val="lowerLetter"/>
      <w:start w:val="1"/>
    </w:lvl>
    <w:lvl w:ilvl="1">
      <w:lvlJc w:val="left"/>
      <w:lvlText w:val="(%2)"/>
      <w:numFmt w:val="lowerLetter"/>
      <w:start w:val="35"/>
    </w:lvl>
  </w:abstractNum>
  <w:abstractNum w:abstractNumId="16">
    <w:nsid w:val="6CEAF087"/>
    <w:multiLevelType w:val="hybridMultilevel"/>
    <w:lvl w:ilvl="0">
      <w:lvlJc w:val="left"/>
      <w:lvlText w:val="(%1)"/>
      <w:numFmt w:val="lowerLetter"/>
      <w:start w:val="3"/>
    </w:lvl>
    <w:lvl w:ilvl="1">
      <w:lvlJc w:val="left"/>
      <w:lvlText w:val="(%2)"/>
      <w:numFmt w:val="lowerLetter"/>
      <w:start w:val="9"/>
    </w:lvl>
  </w:abstractNum>
  <w:abstractNum w:abstractNumId="17">
    <w:nsid w:val="22221A70"/>
    <w:multiLevelType w:val="hybridMultilevel"/>
    <w:lvl w:ilvl="0">
      <w:lvlJc w:val="left"/>
      <w:lvlText w:val="(%1)"/>
      <w:numFmt w:val="lowerRoman"/>
      <w:start w:val="2"/>
    </w:lvl>
  </w:abstractNum>
  <w:abstractNum w:abstractNumId="18">
    <w:nsid w:val="4516DDE9"/>
    <w:multiLevelType w:val="hybridMultilevel"/>
    <w:lvl w:ilvl="0">
      <w:lvlJc w:val="left"/>
      <w:lvlText w:val="(%1)"/>
      <w:numFmt w:val="lowerLetter"/>
      <w:start w:val="4"/>
    </w:lvl>
    <w:lvl w:ilvl="1">
      <w:lvlJc w:val="left"/>
      <w:lvlText w:val="(%2)"/>
      <w:numFmt w:val="lowerLetter"/>
      <w:start w:val="9"/>
    </w:lvl>
  </w:abstractNum>
  <w:abstractNum w:abstractNumId="19">
    <w:nsid w:val="3006C83E"/>
    <w:multiLevelType w:val="hybridMultilevel"/>
    <w:lvl w:ilvl="0">
      <w:lvlJc w:val="left"/>
      <w:lvlText w:val="(%1)"/>
      <w:numFmt w:val="lowerRoman"/>
      <w:start w:val="2"/>
    </w:lvl>
  </w:abstractNum>
  <w:abstractNum w:abstractNumId="20">
    <w:nsid w:val="614FD4A1"/>
    <w:multiLevelType w:val="hybridMultilevel"/>
    <w:lvl w:ilvl="0">
      <w:lvlJc w:val="left"/>
      <w:lvlText w:val="(%1)"/>
      <w:numFmt w:val="lowerRoman"/>
      <w:start w:val="4"/>
    </w:lvl>
  </w:abstractNum>
  <w:abstractNum w:abstractNumId="21">
    <w:nsid w:val="419AC241"/>
    <w:multiLevelType w:val="hybridMultilevel"/>
    <w:lvl w:ilvl="0">
      <w:lvlJc w:val="left"/>
      <w:lvlText w:val="(%1)"/>
      <w:numFmt w:val="lowerLetter"/>
      <w:start w:val="2"/>
    </w:lvl>
  </w:abstractNum>
  <w:abstractNum w:abstractNumId="22">
    <w:nsid w:val="5577F8E1"/>
    <w:multiLevelType w:val="hybridMultilevel"/>
    <w:lvl w:ilvl="0">
      <w:lvlJc w:val="left"/>
      <w:lvlText w:val="(%1)"/>
      <w:numFmt w:val="upperLetter"/>
      <w:start w:val="2"/>
    </w:lvl>
    <w:lvl w:ilvl="1">
      <w:lvlJc w:val="left"/>
      <w:lvlText w:val="(%2)"/>
      <w:numFmt w:val="decimal"/>
      <w:start w:val="4"/>
    </w:lvl>
  </w:abstractNum>
  <w:abstractNum w:abstractNumId="23">
    <w:nsid w:val="440BADFC"/>
    <w:multiLevelType w:val="hybridMultilevel"/>
    <w:lvl w:ilvl="0">
      <w:lvlJc w:val="left"/>
      <w:lvlText w:val="(%1)"/>
      <w:numFmt w:val="lowerRoman"/>
      <w:start w:val="2"/>
    </w:lvl>
    <w:lvl w:ilvl="1">
      <w:lvlJc w:val="left"/>
      <w:lvlText w:val="(%2)"/>
      <w:numFmt w:val="decimal"/>
      <w:start w:val="5"/>
    </w:lvl>
  </w:abstractNum>
  <w:abstractNum w:abstractNumId="24">
    <w:nsid w:val="5072367"/>
    <w:multiLevelType w:val="hybridMultilevel"/>
    <w:lvl w:ilvl="0">
      <w:lvlJc w:val="left"/>
      <w:lvlText w:val="%1"/>
      <w:numFmt w:val="lowerRoman"/>
      <w:start w:val="1"/>
    </w:lvl>
    <w:lvl w:ilvl="1">
      <w:lvlJc w:val="left"/>
      <w:lvlText w:val="(%2)"/>
      <w:numFmt w:val="decimal"/>
      <w:start w:val="6"/>
    </w:lvl>
  </w:abstractNum>
  <w:abstractNum w:abstractNumId="25">
    <w:nsid w:val="3804823E"/>
    <w:multiLevelType w:val="hybridMultilevel"/>
    <w:lvl w:ilvl="0">
      <w:lvlJc w:val="left"/>
      <w:lvlText w:val="(%1)"/>
      <w:numFmt w:val="lowerRoman"/>
      <w:start w:val="3"/>
    </w:lvl>
    <w:lvl w:ilvl="1">
      <w:lvlJc w:val="left"/>
      <w:lvlText w:val="(%2)"/>
      <w:numFmt w:val="decimal"/>
      <w:start w:val="7"/>
    </w:lvl>
  </w:abstractNum>
  <w:abstractNum w:abstractNumId="26">
    <w:nsid w:val="77465F01"/>
    <w:multiLevelType w:val="hybridMultilevel"/>
    <w:lvl w:ilvl="0">
      <w:lvlJc w:val="left"/>
      <w:lvlText w:val="(%1)"/>
      <w:numFmt w:val="lowerLetter"/>
      <w:start w:val="2"/>
    </w:lvl>
    <w:lvl w:ilvl="1">
      <w:lvlJc w:val="left"/>
      <w:lvlText w:val="(%2)"/>
      <w:numFmt w:val="lowerLetter"/>
      <w:start w:val="9"/>
    </w:lvl>
  </w:abstractNum>
  <w:abstractNum w:abstractNumId="27">
    <w:nsid w:val="7724C67E"/>
    <w:multiLevelType w:val="hybridMultilevel"/>
    <w:lvl w:ilvl="0">
      <w:lvlJc w:val="left"/>
      <w:lvlText w:val="(%1)"/>
      <w:numFmt w:val="lowerRoman"/>
      <w:start w:val="2"/>
    </w:lvl>
  </w:abstractNum>
  <w:abstractNum w:abstractNumId="28">
    <w:nsid w:val="5C482A97"/>
    <w:multiLevelType w:val="hybridMultilevel"/>
    <w:lvl w:ilvl="0">
      <w:lvlJc w:val="left"/>
      <w:lvlText w:val="%1"/>
      <w:numFmt w:val="lowerRoman"/>
      <w:start w:val="1"/>
    </w:lvl>
    <w:lvl w:ilvl="1">
      <w:lvlJc w:val="left"/>
      <w:lvlText w:val="(%2)"/>
      <w:numFmt w:val="decimal"/>
      <w:start w:val="9"/>
    </w:lvl>
  </w:abstractNum>
  <w:abstractNum w:abstractNumId="29">
    <w:nsid w:val="2463B9EA"/>
    <w:multiLevelType w:val="hybridMultilevel"/>
    <w:lvl w:ilvl="0">
      <w:lvlJc w:val="left"/>
      <w:lvlText w:val="(%1)"/>
      <w:numFmt w:val="lowerRoman"/>
      <w:start w:val="2"/>
    </w:lvl>
    <w:lvl w:ilvl="1">
      <w:lvlJc w:val="left"/>
      <w:lvlText w:val="(%2)"/>
      <w:numFmt w:val="decimal"/>
      <w:start w:val="10"/>
    </w:lvl>
  </w:abstractNum>
  <w:abstractNum w:abstractNumId="30">
    <w:nsid w:val="5E884ADC"/>
    <w:multiLevelType w:val="hybridMultilevel"/>
    <w:lvl w:ilvl="0">
      <w:lvlJc w:val="left"/>
      <w:lvlText w:val="(%1)"/>
      <w:numFmt w:val="decimal"/>
      <w:start w:val="12"/>
    </w:lvl>
  </w:abstractNum>
  <w:abstractNum w:abstractNumId="31">
    <w:nsid w:val="51EAD36B"/>
    <w:multiLevelType w:val="hybridMultilevel"/>
    <w:lvl w:ilvl="0">
      <w:lvlJc w:val="left"/>
      <w:lvlText w:val="(%1)"/>
      <w:numFmt w:val="lowerLetter"/>
      <w:start w:val="1"/>
    </w:lvl>
  </w:abstractNum>
  <w:abstractNum w:abstractNumId="32">
    <w:nsid w:val="2D517796"/>
    <w:multiLevelType w:val="hybridMultilevel"/>
    <w:lvl w:ilvl="0">
      <w:lvlJc w:val="left"/>
      <w:lvlText w:val="(%1)"/>
      <w:numFmt w:val="lowerLetter"/>
      <w:start w:val="3"/>
    </w:lvl>
  </w:abstractNum>
  <w:abstractNum w:abstractNumId="33">
    <w:nsid w:val="580BD78F"/>
    <w:multiLevelType w:val="hybridMultilevel"/>
    <w:lvl w:ilvl="0">
      <w:lvlJc w:val="left"/>
      <w:lvlText w:val="(%1)"/>
      <w:numFmt w:val="lowerLetter"/>
      <w:start w:val="4"/>
    </w:lvl>
  </w:abstractNum>
  <w:abstractNum w:abstractNumId="34">
    <w:nsid w:val="153EA438"/>
    <w:multiLevelType w:val="hybridMultilevel"/>
    <w:lvl w:ilvl="0">
      <w:lvlJc w:val="left"/>
      <w:lvlText w:val="(%1)"/>
      <w:numFmt w:val="lowerLetter"/>
      <w:start w:val="3"/>
    </w:lvl>
  </w:abstractNum>
  <w:abstractNum w:abstractNumId="35">
    <w:nsid w:val="3855585C"/>
    <w:multiLevelType w:val="hybridMultilevel"/>
    <w:lvl w:ilvl="0">
      <w:lvlJc w:val="left"/>
      <w:lvlText w:val="(%1)"/>
      <w:numFmt w:val="lowerLetter"/>
      <w:start w:val="6"/>
    </w:lvl>
  </w:abstractNum>
  <w:abstractNum w:abstractNumId="36">
    <w:nsid w:val="70A64E2A"/>
    <w:multiLevelType w:val="hybridMultilevel"/>
    <w:lvl w:ilvl="0">
      <w:lvlJc w:val="left"/>
      <w:lvlText w:val="(%1)"/>
      <w:numFmt w:val="lowerRoman"/>
      <w:start w:val="1"/>
    </w:lvl>
  </w:abstractNum>
  <w:abstractNum w:abstractNumId="37">
    <w:nsid w:val="6A2342EC"/>
    <w:multiLevelType w:val="hybridMultilevel"/>
    <w:lvl w:ilvl="0">
      <w:lvlJc w:val="left"/>
      <w:lvlText w:val="(%1)"/>
      <w:numFmt w:val="lowerLetter"/>
      <w:start w:val="12"/>
    </w:lvl>
  </w:abstractNum>
  <w:abstractNum w:abstractNumId="38">
    <w:nsid w:val="2A487CB0"/>
    <w:multiLevelType w:val="hybridMultilevel"/>
    <w:lvl w:ilvl="0">
      <w:lvlJc w:val="left"/>
      <w:lvlText w:val="(%1)"/>
      <w:numFmt w:val="lowerLetter"/>
      <w:start w:val="13"/>
    </w:lvl>
  </w:abstractNum>
  <w:abstractNum w:abstractNumId="39">
    <w:nsid w:val="1D4ED43B"/>
    <w:multiLevelType w:val="hybridMultilevel"/>
    <w:lvl w:ilvl="0">
      <w:lvlJc w:val="left"/>
      <w:lvlText w:val="(%1)"/>
      <w:numFmt w:val="lowerLetter"/>
      <w:start w:val="17"/>
    </w:lvl>
  </w:abstractNum>
  <w:abstractNum w:abstractNumId="40">
    <w:nsid w:val="725A06FB"/>
    <w:multiLevelType w:val="hybridMultilevel"/>
    <w:lvl w:ilvl="0">
      <w:lvlJc w:val="left"/>
      <w:lvlText w:val="%1)"/>
      <w:numFmt w:val="upperLetter"/>
      <w:start w:val="11"/>
    </w:lvl>
  </w:abstractNum>
  <w:abstractNum w:abstractNumId="41">
    <w:nsid w:val="2CD89A32"/>
    <w:multiLevelType w:val="hybridMultilevel"/>
    <w:lvl w:ilvl="0">
      <w:lvlJc w:val="left"/>
      <w:lvlText w:val="(%1)"/>
      <w:numFmt w:val="lowerRoman"/>
      <w:start w:val="5"/>
    </w:lvl>
  </w:abstractNum>
  <w:abstractNum w:abstractNumId="42">
    <w:nsid w:val="57E4CCAF"/>
    <w:multiLevelType w:val="hybridMultilevel"/>
    <w:lvl w:ilvl="0">
      <w:lvlJc w:val="left"/>
      <w:lvlText w:val="(%1)"/>
      <w:numFmt w:val="lowerLetter"/>
      <w:start w:val="23"/>
    </w:lvl>
  </w:abstractNum>
  <w:abstractNum w:abstractNumId="43">
    <w:nsid w:val="7A6D8D3C"/>
    <w:multiLevelType w:val="hybridMultilevel"/>
    <w:lvl w:ilvl="0">
      <w:lvlJc w:val="left"/>
      <w:lvlText w:val="(%1)"/>
      <w:numFmt w:val="lowerLetter"/>
      <w:start w:val="26"/>
    </w:lvl>
  </w:abstractNum>
  <w:abstractNum w:abstractNumId="44">
    <w:nsid w:val="4B588F54"/>
    <w:multiLevelType w:val="hybridMultilevel"/>
    <w:lvl w:ilvl="0">
      <w:lvlJc w:val="left"/>
      <w:lvlText w:val="(%1)"/>
      <w:numFmt w:val="lowerRoman"/>
      <w:start w:val="1"/>
    </w:lvl>
  </w:abstractNum>
  <w:abstractNum w:abstractNumId="45">
    <w:nsid w:val="542289EC"/>
    <w:multiLevelType w:val="hybridMultilevel"/>
    <w:lvl w:ilvl="0">
      <w:lvlJc w:val="left"/>
      <w:lvlText w:val="(%1)"/>
      <w:numFmt w:val="lowerLetter"/>
      <w:start w:val="28"/>
    </w:lvl>
  </w:abstractNum>
  <w:abstractNum w:abstractNumId="46">
    <w:nsid w:val="6DE91B18"/>
    <w:multiLevelType w:val="hybridMultilevel"/>
    <w:lvl w:ilvl="0">
      <w:lvlJc w:val="left"/>
      <w:lvlText w:val="(%1)"/>
      <w:numFmt w:val="lowerLetter"/>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2024-09-13T16:23:36Z</dcterms:created>
  <dcterms:modified xsi:type="dcterms:W3CDTF">2024-09-13T16:23:36Z</dcterms:modified>
</cp:coreProperties>
</file>