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docProps/core.xml" ContentType="application/vnd.openxmlformats-package.core-properties+xml"/>
  <Override PartName="/docProps/app.xml" ContentType="application/vnd.openxmlformats-officedocument.extended-properties+xml"/>
  <Override PartName="/word/numbering.xml" ContentType="application/vnd.openxmlformats-officedocument.wordprocessingml.numbering+xml"/>
</Types>
</file>

<file path=_rels/.rels><?xml version="1.0" encoding="UTF-8" standalone="yes"?>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mc="http://schemas.openxmlformats.org/markup-compatibility/2006" xmlns:o="urn:schemas-microsoft-com:office:office" xmlns:r="http://schemas.openxmlformats.org/officeDocument/2006/relationships" xmlns:v="urn:schemas-microsoft-com:vml" xmlns:wp="http://schemas.openxmlformats.org/drawingml/2006/wordprocessingDrawing" xmlns:w10="urn:schemas-microsoft-com:office:word" xmlns:w="http://schemas.openxmlformats.org/wordprocessingml/2006/main" xmlns:wps="http://schemas.microsoft.com/office/word/2010/wordprocessingShape">
  <w:body>
    <w:bookmarkStart w:id="0" w:name="page1"/>
    <w:bookmarkEnd w:id="0"/>
    <w:p>
      <w:pPr>
        <w:spacing w:after="0" w:line="16" w:lineRule="exact"/>
        <w:rPr>
          <w:sz w:val="24"/>
          <w:szCs w:val="24"/>
          <w:color w:val="auto"/>
        </w:rPr>
      </w:pPr>
    </w:p>
    <w:p>
      <w:pPr>
        <w:spacing w:after="0"/>
        <w:rPr>
          <w:sz w:val="20"/>
          <w:szCs w:val="20"/>
          <w:color w:val="auto"/>
        </w:rPr>
      </w:pPr>
      <w:r>
        <w:rPr>
          <w:rFonts w:ascii="Courier New" w:cs="Courier New" w:eastAsia="Courier New" w:hAnsi="Courier New"/>
          <w:sz w:val="18"/>
          <w:szCs w:val="18"/>
          <w:color w:val="auto"/>
        </w:rPr>
        <w:t>United States securities and exchange commission logo</w:t>
      </w:r>
    </w:p>
    <w:p>
      <w:pPr>
        <w:spacing w:after="0" w:line="200" w:lineRule="exact"/>
        <w:rPr>
          <w:sz w:val="24"/>
          <w:szCs w:val="24"/>
          <w:color w:val="auto"/>
        </w:rPr>
      </w:pPr>
    </w:p>
    <w:p>
      <w:pPr>
        <w:spacing w:after="0" w:line="200" w:lineRule="exact"/>
        <w:rPr>
          <w:sz w:val="24"/>
          <w:szCs w:val="24"/>
          <w:color w:val="auto"/>
        </w:rPr>
      </w:pPr>
    </w:p>
    <w:p>
      <w:pPr>
        <w:spacing w:after="0" w:line="200" w:lineRule="exact"/>
        <w:rPr>
          <w:sz w:val="24"/>
          <w:szCs w:val="24"/>
          <w:color w:val="auto"/>
        </w:rPr>
      </w:pPr>
    </w:p>
    <w:p>
      <w:pPr>
        <w:spacing w:after="0" w:line="200" w:lineRule="exact"/>
        <w:rPr>
          <w:sz w:val="24"/>
          <w:szCs w:val="24"/>
          <w:color w:val="auto"/>
        </w:rPr>
      </w:pPr>
    </w:p>
    <w:p>
      <w:pPr>
        <w:spacing w:after="0" w:line="211" w:lineRule="exact"/>
        <w:rPr>
          <w:sz w:val="24"/>
          <w:szCs w:val="24"/>
          <w:color w:val="auto"/>
        </w:rPr>
      </w:pPr>
    </w:p>
    <w:p>
      <w:pPr>
        <w:ind w:left="3160"/>
        <w:spacing w:after="0"/>
        <w:rPr>
          <w:sz w:val="20"/>
          <w:szCs w:val="20"/>
          <w:color w:val="auto"/>
        </w:rPr>
      </w:pPr>
      <w:r>
        <w:rPr>
          <w:rFonts w:ascii="Courier New" w:cs="Courier New" w:eastAsia="Courier New" w:hAnsi="Courier New"/>
          <w:sz w:val="18"/>
          <w:szCs w:val="18"/>
          <w:color w:val="auto"/>
        </w:rPr>
        <w:t>October 10, 2023</w:t>
      </w:r>
    </w:p>
    <w:p>
      <w:pPr>
        <w:spacing w:after="0" w:line="201" w:lineRule="exact"/>
        <w:rPr>
          <w:sz w:val="24"/>
          <w:szCs w:val="24"/>
          <w:color w:val="auto"/>
        </w:rPr>
      </w:pPr>
    </w:p>
    <w:p>
      <w:pPr>
        <w:ind w:left="740"/>
        <w:spacing w:after="0"/>
        <w:rPr>
          <w:sz w:val="20"/>
          <w:szCs w:val="20"/>
          <w:color w:val="auto"/>
        </w:rPr>
      </w:pPr>
      <w:r>
        <w:rPr>
          <w:rFonts w:ascii="Courier New" w:cs="Courier New" w:eastAsia="Courier New" w:hAnsi="Courier New"/>
          <w:sz w:val="18"/>
          <w:szCs w:val="18"/>
          <w:color w:val="auto"/>
        </w:rPr>
        <w:t>Stephen Herbert</w:t>
      </w:r>
    </w:p>
    <w:p>
      <w:pPr>
        <w:spacing w:after="0" w:line="29" w:lineRule="exact"/>
        <w:rPr>
          <w:sz w:val="24"/>
          <w:szCs w:val="24"/>
          <w:color w:val="auto"/>
        </w:rPr>
      </w:pPr>
    </w:p>
    <w:p>
      <w:pPr>
        <w:ind w:left="740"/>
        <w:spacing w:after="0"/>
        <w:rPr>
          <w:sz w:val="20"/>
          <w:szCs w:val="20"/>
          <w:color w:val="auto"/>
        </w:rPr>
      </w:pPr>
      <w:r>
        <w:rPr>
          <w:rFonts w:ascii="Courier New" w:cs="Courier New" w:eastAsia="Courier New" w:hAnsi="Courier New"/>
          <w:sz w:val="18"/>
          <w:szCs w:val="18"/>
          <w:color w:val="auto"/>
        </w:rPr>
        <w:t>Chief Executive Officer</w:t>
      </w:r>
    </w:p>
    <w:p>
      <w:pPr>
        <w:ind w:left="740"/>
        <w:spacing w:after="0" w:line="238" w:lineRule="auto"/>
        <w:rPr>
          <w:sz w:val="20"/>
          <w:szCs w:val="20"/>
          <w:color w:val="auto"/>
        </w:rPr>
      </w:pPr>
      <w:r>
        <w:rPr>
          <w:rFonts w:ascii="Courier New" w:cs="Courier New" w:eastAsia="Courier New" w:hAnsi="Courier New"/>
          <w:sz w:val="18"/>
          <w:szCs w:val="18"/>
          <w:color w:val="auto"/>
        </w:rPr>
        <w:t>Rezolve AI Limited</w:t>
      </w:r>
    </w:p>
    <w:p>
      <w:pPr>
        <w:ind w:left="740"/>
        <w:spacing w:after="0" w:line="238" w:lineRule="auto"/>
        <w:rPr>
          <w:sz w:val="20"/>
          <w:szCs w:val="20"/>
          <w:color w:val="auto"/>
        </w:rPr>
      </w:pPr>
      <w:r>
        <w:rPr>
          <w:rFonts w:ascii="Courier New" w:cs="Courier New" w:eastAsia="Courier New" w:hAnsi="Courier New"/>
          <w:sz w:val="18"/>
          <w:szCs w:val="18"/>
          <w:color w:val="auto"/>
        </w:rPr>
        <w:t>3rd Floor, 80 New Bond Street</w:t>
      </w:r>
    </w:p>
    <w:p>
      <w:pPr>
        <w:ind w:left="740"/>
        <w:spacing w:after="0"/>
        <w:rPr>
          <w:sz w:val="20"/>
          <w:szCs w:val="20"/>
          <w:color w:val="auto"/>
        </w:rPr>
      </w:pPr>
      <w:r>
        <w:rPr>
          <w:rFonts w:ascii="Courier New" w:cs="Courier New" w:eastAsia="Courier New" w:hAnsi="Courier New"/>
          <w:sz w:val="18"/>
          <w:szCs w:val="18"/>
          <w:color w:val="auto"/>
        </w:rPr>
        <w:t>London, W1S 1SB</w:t>
      </w:r>
    </w:p>
    <w:p>
      <w:pPr>
        <w:ind w:left="740"/>
        <w:spacing w:after="0"/>
        <w:rPr>
          <w:sz w:val="20"/>
          <w:szCs w:val="20"/>
          <w:color w:val="auto"/>
        </w:rPr>
      </w:pPr>
      <w:r>
        <w:rPr>
          <w:rFonts w:ascii="Courier New" w:cs="Courier New" w:eastAsia="Courier New" w:hAnsi="Courier New"/>
          <w:sz w:val="18"/>
          <w:szCs w:val="18"/>
          <w:color w:val="auto"/>
        </w:rPr>
        <w:t>United Kingdom</w:t>
      </w:r>
    </w:p>
    <w:p>
      <w:pPr>
        <w:spacing w:after="0" w:line="169" w:lineRule="exact"/>
        <w:rPr>
          <w:sz w:val="24"/>
          <w:szCs w:val="24"/>
          <w:color w:val="auto"/>
        </w:rPr>
      </w:pPr>
    </w:p>
    <w:p>
      <w:pPr>
        <w:jc w:val="right"/>
        <w:ind w:right="1919"/>
        <w:spacing w:after="0"/>
        <w:rPr>
          <w:sz w:val="20"/>
          <w:szCs w:val="20"/>
          <w:color w:val="auto"/>
        </w:rPr>
      </w:pPr>
      <w:r>
        <w:rPr>
          <w:rFonts w:ascii="Courier New" w:cs="Courier New" w:eastAsia="Courier New" w:hAnsi="Courier New"/>
          <w:sz w:val="18"/>
          <w:szCs w:val="18"/>
          <w:color w:val="auto"/>
        </w:rPr>
        <w:t>Re: Rezolve AI Limited</w:t>
      </w:r>
    </w:p>
    <w:p>
      <w:pPr>
        <w:spacing w:after="0" w:line="29" w:lineRule="exact"/>
        <w:rPr>
          <w:sz w:val="24"/>
          <w:szCs w:val="24"/>
          <w:color w:val="auto"/>
        </w:rPr>
      </w:pPr>
    </w:p>
    <w:p>
      <w:pPr>
        <w:jc w:val="right"/>
        <w:ind w:right="1919"/>
        <w:spacing w:after="0"/>
        <w:rPr>
          <w:sz w:val="20"/>
          <w:szCs w:val="20"/>
          <w:color w:val="auto"/>
        </w:rPr>
      </w:pPr>
      <w:r>
        <w:rPr>
          <w:rFonts w:ascii="Courier New" w:cs="Courier New" w:eastAsia="Courier New" w:hAnsi="Courier New"/>
          <w:sz w:val="18"/>
          <w:szCs w:val="18"/>
          <w:color w:val="auto"/>
        </w:rPr>
        <w:t>Amendment No. 2 to</w:t>
      </w:r>
    </w:p>
    <w:p>
      <w:pPr>
        <w:spacing w:after="0" w:line="238" w:lineRule="auto"/>
        <w:rPr>
          <w:sz w:val="20"/>
          <w:szCs w:val="20"/>
          <w:color w:val="auto"/>
        </w:rPr>
      </w:pPr>
      <w:r>
        <w:rPr>
          <w:rFonts w:ascii="Courier New" w:cs="Courier New" w:eastAsia="Courier New" w:hAnsi="Courier New"/>
          <w:sz w:val="18"/>
          <w:szCs w:val="18"/>
          <w:color w:val="auto"/>
        </w:rPr>
        <w:t>Registration Statement on Form F-4</w:t>
      </w:r>
    </w:p>
    <w:p>
      <w:pPr>
        <w:jc w:val="right"/>
        <w:ind w:right="1819"/>
        <w:spacing w:after="0" w:line="238" w:lineRule="auto"/>
        <w:rPr>
          <w:sz w:val="20"/>
          <w:szCs w:val="20"/>
          <w:color w:val="auto"/>
        </w:rPr>
      </w:pPr>
      <w:r>
        <w:rPr>
          <w:rFonts w:ascii="Courier New" w:cs="Courier New" w:eastAsia="Courier New" w:hAnsi="Courier New"/>
          <w:sz w:val="18"/>
          <w:szCs w:val="18"/>
          <w:color w:val="auto"/>
        </w:rPr>
        <w:t>Filed September 25,</w:t>
      </w:r>
    </w:p>
    <w:p>
      <w:pPr>
        <w:spacing w:after="0"/>
        <w:rPr>
          <w:sz w:val="20"/>
          <w:szCs w:val="20"/>
          <w:color w:val="auto"/>
        </w:rPr>
      </w:pPr>
      <w:r>
        <w:rPr>
          <w:rFonts w:ascii="Courier New" w:cs="Courier New" w:eastAsia="Courier New" w:hAnsi="Courier New"/>
          <w:sz w:val="18"/>
          <w:szCs w:val="18"/>
          <w:color w:val="auto"/>
        </w:rPr>
        <w:t>2023</w:t>
      </w:r>
    </w:p>
    <w:p>
      <w:pPr>
        <w:jc w:val="right"/>
        <w:ind w:right="1819"/>
        <w:spacing w:after="0"/>
        <w:rPr>
          <w:sz w:val="20"/>
          <w:szCs w:val="20"/>
          <w:color w:val="auto"/>
        </w:rPr>
      </w:pPr>
      <w:r>
        <w:rPr>
          <w:rFonts w:ascii="Courier New" w:cs="Courier New" w:eastAsia="Courier New" w:hAnsi="Courier New"/>
          <w:sz w:val="18"/>
          <w:szCs w:val="18"/>
          <w:color w:val="auto"/>
        </w:rPr>
        <w:t>File No. 333-272751</w:t>
      </w:r>
    </w:p>
    <w:p>
      <w:pPr>
        <w:spacing w:after="0" w:line="169" w:lineRule="exact"/>
        <w:rPr>
          <w:sz w:val="24"/>
          <w:szCs w:val="24"/>
          <w:color w:val="auto"/>
        </w:rPr>
      </w:pPr>
    </w:p>
    <w:p>
      <w:pPr>
        <w:ind w:left="740"/>
        <w:spacing w:after="0"/>
        <w:rPr>
          <w:sz w:val="20"/>
          <w:szCs w:val="20"/>
          <w:color w:val="auto"/>
        </w:rPr>
      </w:pPr>
      <w:r>
        <w:rPr>
          <w:rFonts w:ascii="Courier New" w:cs="Courier New" w:eastAsia="Courier New" w:hAnsi="Courier New"/>
          <w:sz w:val="18"/>
          <w:szCs w:val="18"/>
          <w:color w:val="auto"/>
        </w:rPr>
        <w:t>Dear Stephen Herbert:</w:t>
      </w:r>
    </w:p>
    <w:p>
      <w:pPr>
        <w:spacing w:after="0" w:line="201" w:lineRule="exact"/>
        <w:rPr>
          <w:sz w:val="24"/>
          <w:szCs w:val="24"/>
          <w:color w:val="auto"/>
        </w:rPr>
      </w:pPr>
    </w:p>
    <w:p>
      <w:pPr>
        <w:ind w:left="1280"/>
        <w:spacing w:after="0"/>
        <w:rPr>
          <w:sz w:val="20"/>
          <w:szCs w:val="20"/>
          <w:color w:val="auto"/>
        </w:rPr>
      </w:pPr>
      <w:r>
        <w:rPr>
          <w:rFonts w:ascii="Courier New" w:cs="Courier New" w:eastAsia="Courier New" w:hAnsi="Courier New"/>
          <w:sz w:val="18"/>
          <w:szCs w:val="18"/>
          <w:color w:val="auto"/>
        </w:rPr>
        <w:t>We have reviewed your amended registration statement and have the</w:t>
      </w:r>
    </w:p>
    <w:p>
      <w:pPr>
        <w:spacing w:after="0" w:line="29" w:lineRule="exact"/>
        <w:rPr>
          <w:sz w:val="24"/>
          <w:szCs w:val="24"/>
          <w:color w:val="auto"/>
        </w:rPr>
      </w:pPr>
    </w:p>
    <w:p>
      <w:pPr>
        <w:spacing w:after="0"/>
        <w:rPr>
          <w:sz w:val="20"/>
          <w:szCs w:val="20"/>
          <w:color w:val="auto"/>
        </w:rPr>
      </w:pPr>
      <w:r>
        <w:rPr>
          <w:rFonts w:ascii="Courier New" w:cs="Courier New" w:eastAsia="Courier New" w:hAnsi="Courier New"/>
          <w:sz w:val="18"/>
          <w:szCs w:val="18"/>
          <w:color w:val="auto"/>
        </w:rPr>
        <w:t>following</w:t>
      </w:r>
    </w:p>
    <w:p>
      <w:pPr>
        <w:ind w:left="740"/>
        <w:spacing w:after="0"/>
        <w:rPr>
          <w:sz w:val="20"/>
          <w:szCs w:val="20"/>
          <w:color w:val="auto"/>
        </w:rPr>
      </w:pPr>
      <w:r>
        <w:rPr>
          <w:rFonts w:ascii="Courier New" w:cs="Courier New" w:eastAsia="Courier New" w:hAnsi="Courier New"/>
          <w:sz w:val="18"/>
          <w:szCs w:val="18"/>
          <w:color w:val="auto"/>
        </w:rPr>
        <w:t>comments.</w:t>
      </w:r>
    </w:p>
    <w:p>
      <w:pPr>
        <w:spacing w:after="0" w:line="169" w:lineRule="exact"/>
        <w:rPr>
          <w:sz w:val="24"/>
          <w:szCs w:val="24"/>
          <w:color w:val="auto"/>
        </w:rPr>
      </w:pPr>
    </w:p>
    <w:p>
      <w:pPr>
        <w:ind w:right="2439" w:firstLine="1474"/>
        <w:spacing w:after="0" w:line="257" w:lineRule="auto"/>
        <w:rPr>
          <w:sz w:val="20"/>
          <w:szCs w:val="20"/>
          <w:color w:val="auto"/>
        </w:rPr>
      </w:pPr>
      <w:r>
        <w:rPr>
          <w:rFonts w:ascii="Courier New" w:cs="Courier New" w:eastAsia="Courier New" w:hAnsi="Courier New"/>
          <w:sz w:val="18"/>
          <w:szCs w:val="18"/>
          <w:color w:val="auto"/>
        </w:rPr>
        <w:t>Please respond to this letter by amending your registration statement and providing the</w:t>
      </w:r>
    </w:p>
    <w:p>
      <w:pPr>
        <w:ind w:right="2019" w:firstLine="737"/>
        <w:spacing w:after="0" w:line="238" w:lineRule="auto"/>
        <w:rPr>
          <w:sz w:val="20"/>
          <w:szCs w:val="20"/>
          <w:color w:val="auto"/>
        </w:rPr>
      </w:pPr>
      <w:r>
        <w:rPr>
          <w:rFonts w:ascii="Courier New" w:cs="Courier New" w:eastAsia="Courier New" w:hAnsi="Courier New"/>
          <w:sz w:val="18"/>
          <w:szCs w:val="18"/>
          <w:color w:val="auto"/>
        </w:rPr>
        <w:t>requested information. If you do not believe a comment applies to your facts and circumstances</w:t>
      </w:r>
    </w:p>
    <w:p>
      <w:pPr>
        <w:spacing w:after="0" w:line="1" w:lineRule="exact"/>
        <w:rPr>
          <w:sz w:val="24"/>
          <w:szCs w:val="24"/>
          <w:color w:val="auto"/>
        </w:rPr>
      </w:pPr>
    </w:p>
    <w:p>
      <w:pPr>
        <w:ind w:right="2239" w:firstLine="737"/>
        <w:spacing w:after="0" w:line="309" w:lineRule="auto"/>
        <w:rPr>
          <w:sz w:val="20"/>
          <w:szCs w:val="20"/>
          <w:color w:val="auto"/>
        </w:rPr>
      </w:pPr>
      <w:r>
        <w:rPr>
          <w:rFonts w:ascii="Courier New" w:cs="Courier New" w:eastAsia="Courier New" w:hAnsi="Courier New"/>
          <w:sz w:val="18"/>
          <w:szCs w:val="18"/>
          <w:color w:val="auto"/>
        </w:rPr>
        <w:t>or do not believe an amendment is appropriate, please tell us why in your response.</w:t>
      </w:r>
    </w:p>
    <w:p>
      <w:pPr>
        <w:spacing w:after="0" w:line="50" w:lineRule="exact"/>
        <w:rPr>
          <w:sz w:val="24"/>
          <w:szCs w:val="24"/>
          <w:color w:val="auto"/>
        </w:rPr>
      </w:pPr>
    </w:p>
    <w:p>
      <w:pPr>
        <w:ind w:right="1919" w:firstLine="1474"/>
        <w:spacing w:after="0" w:line="257" w:lineRule="auto"/>
        <w:rPr>
          <w:sz w:val="20"/>
          <w:szCs w:val="20"/>
          <w:color w:val="auto"/>
        </w:rPr>
      </w:pPr>
      <w:r>
        <w:rPr>
          <w:rFonts w:ascii="Courier New" w:cs="Courier New" w:eastAsia="Courier New" w:hAnsi="Courier New"/>
          <w:sz w:val="18"/>
          <w:szCs w:val="18"/>
          <w:color w:val="auto"/>
        </w:rPr>
        <w:t>After reviewing any amendment to your registration statement and the information you</w:t>
      </w:r>
    </w:p>
    <w:p>
      <w:pPr>
        <w:ind w:left="740"/>
        <w:spacing w:after="0" w:line="238" w:lineRule="auto"/>
        <w:rPr>
          <w:sz w:val="20"/>
          <w:szCs w:val="20"/>
          <w:color w:val="auto"/>
        </w:rPr>
      </w:pPr>
      <w:r>
        <w:rPr>
          <w:rFonts w:ascii="Courier New" w:cs="Courier New" w:eastAsia="Courier New" w:hAnsi="Courier New"/>
          <w:sz w:val="18"/>
          <w:szCs w:val="18"/>
          <w:color w:val="auto"/>
        </w:rPr>
        <w:t>provide in response to this letter, we may have additional comments.</w:t>
      </w:r>
    </w:p>
    <w:p>
      <w:pPr>
        <w:spacing w:after="0"/>
        <w:rPr>
          <w:sz w:val="20"/>
          <w:szCs w:val="20"/>
          <w:color w:val="auto"/>
        </w:rPr>
      </w:pPr>
      <w:r>
        <w:rPr>
          <w:rFonts w:ascii="Courier New" w:cs="Courier New" w:eastAsia="Courier New" w:hAnsi="Courier New"/>
          <w:sz w:val="18"/>
          <w:szCs w:val="18"/>
          <w:color w:val="auto"/>
        </w:rPr>
        <w:t>Unless we note otherwise,</w:t>
      </w:r>
    </w:p>
    <w:p>
      <w:pPr>
        <w:ind w:left="740"/>
        <w:spacing w:after="0"/>
        <w:rPr>
          <w:sz w:val="20"/>
          <w:szCs w:val="20"/>
          <w:color w:val="auto"/>
        </w:rPr>
      </w:pPr>
      <w:r>
        <w:rPr>
          <w:rFonts w:ascii="Courier New" w:cs="Courier New" w:eastAsia="Courier New" w:hAnsi="Courier New"/>
          <w:sz w:val="16"/>
          <w:szCs w:val="16"/>
          <w:color w:val="auto"/>
        </w:rPr>
        <w:t>any references to prior comments are to comments in our August 28, 2023</w:t>
      </w:r>
    </w:p>
    <w:p>
      <w:pPr>
        <w:spacing w:after="0" w:line="21" w:lineRule="exact"/>
        <w:rPr>
          <w:sz w:val="24"/>
          <w:szCs w:val="24"/>
          <w:color w:val="auto"/>
        </w:rPr>
      </w:pPr>
    </w:p>
    <w:p>
      <w:pPr>
        <w:spacing w:after="0"/>
        <w:rPr>
          <w:sz w:val="20"/>
          <w:szCs w:val="20"/>
          <w:color w:val="auto"/>
        </w:rPr>
      </w:pPr>
      <w:r>
        <w:rPr>
          <w:rFonts w:ascii="Courier New" w:cs="Courier New" w:eastAsia="Courier New" w:hAnsi="Courier New"/>
          <w:sz w:val="18"/>
          <w:szCs w:val="18"/>
          <w:color w:val="auto"/>
        </w:rPr>
        <w:t>letter.</w:t>
      </w:r>
    </w:p>
    <w:p>
      <w:pPr>
        <w:spacing w:after="0" w:line="169" w:lineRule="exact"/>
        <w:rPr>
          <w:sz w:val="24"/>
          <w:szCs w:val="24"/>
          <w:color w:val="auto"/>
        </w:rPr>
      </w:pPr>
    </w:p>
    <w:p>
      <w:pPr>
        <w:ind w:left="740"/>
        <w:spacing w:after="0"/>
        <w:rPr>
          <w:sz w:val="20"/>
          <w:szCs w:val="20"/>
          <w:color w:val="auto"/>
        </w:rPr>
      </w:pPr>
      <w:r>
        <w:rPr>
          <w:rFonts w:ascii="Courier New" w:cs="Courier New" w:eastAsia="Courier New" w:hAnsi="Courier New"/>
          <w:sz w:val="18"/>
          <w:szCs w:val="18"/>
          <w:color w:val="auto"/>
        </w:rPr>
        <w:t>Amendment No. 2 to Registration Statement on Form F-4</w:t>
      </w:r>
    </w:p>
    <w:p>
      <w:pPr>
        <w:spacing w:after="0" w:line="201" w:lineRule="exact"/>
        <w:rPr>
          <w:sz w:val="24"/>
          <w:szCs w:val="24"/>
          <w:color w:val="auto"/>
        </w:rPr>
      </w:pPr>
    </w:p>
    <w:p>
      <w:pPr>
        <w:ind w:left="740" w:right="2979"/>
        <w:spacing w:after="0" w:line="289" w:lineRule="auto"/>
        <w:rPr>
          <w:sz w:val="20"/>
          <w:szCs w:val="20"/>
          <w:color w:val="auto"/>
        </w:rPr>
      </w:pPr>
      <w:r>
        <w:rPr>
          <w:rFonts w:ascii="Courier New" w:cs="Courier New" w:eastAsia="Courier New" w:hAnsi="Courier New"/>
          <w:sz w:val="16"/>
          <w:szCs w:val="16"/>
          <w:color w:val="auto"/>
        </w:rPr>
        <w:t>Unaudited Pro Forma Condensed Combined Financial Information Note 2 - Unaudited pro forma condensed combined balance sheet</w:t>
      </w:r>
    </w:p>
    <w:p>
      <w:pPr>
        <w:spacing w:after="0"/>
        <w:rPr>
          <w:sz w:val="20"/>
          <w:szCs w:val="20"/>
          <w:color w:val="auto"/>
        </w:rPr>
      </w:pPr>
      <w:r>
        <w:rPr>
          <w:rFonts w:ascii="Courier New" w:cs="Courier New" w:eastAsia="Courier New" w:hAnsi="Courier New"/>
          <w:sz w:val="18"/>
          <w:szCs w:val="18"/>
          <w:color w:val="auto"/>
        </w:rPr>
        <w:t>adjustments, page 107</w:t>
      </w:r>
    </w:p>
    <w:p>
      <w:pPr>
        <w:spacing w:after="0" w:line="168" w:lineRule="exact"/>
        <w:rPr>
          <w:sz w:val="24"/>
          <w:szCs w:val="24"/>
          <w:color w:val="auto"/>
        </w:rPr>
      </w:pPr>
    </w:p>
    <w:tbl>
      <w:tblPr>
        <w:tblLayout w:type="fixed"/>
        <w:tblInd w:w="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204"/>
        </w:trPr>
        <w:tc>
          <w:tcPr>
            <w:tcW w:w="2380" w:type="dxa"/>
            <w:vAlign w:val="bottom"/>
          </w:tcPr>
          <w:p>
            <w:pPr>
              <w:ind w:left="3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8"/>
                <w:szCs w:val="18"/>
                <w:color w:val="auto"/>
              </w:rPr>
              <w:t>1.</w:t>
            </w:r>
          </w:p>
        </w:tc>
        <w:tc>
          <w:tcPr>
            <w:tcW w:w="5940" w:type="dxa"/>
            <w:vAlign w:val="bottom"/>
          </w:tcPr>
          <w:p>
            <w:pPr>
              <w:ind w:left="35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8"/>
                <w:szCs w:val="18"/>
                <w:color w:val="auto"/>
              </w:rPr>
              <w:t>We note your disclose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03"/>
        </w:trPr>
        <w:tc>
          <w:tcPr>
            <w:tcW w:w="8320" w:type="dxa"/>
            <w:vAlign w:val="bottom"/>
            <w:gridSpan w:val="2"/>
          </w:tcPr>
          <w:p>
            <w:pPr>
              <w:spacing w:after="0" w:line="203" w:lineRule="exact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8"/>
                <w:szCs w:val="18"/>
                <w:color w:val="auto"/>
              </w:rPr>
              <w:t>in footnote (b) and (p) which refers to negotiations of a facility of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03"/>
        </w:trPr>
        <w:tc>
          <w:tcPr>
            <w:tcW w:w="238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5940" w:type="dxa"/>
            <w:vAlign w:val="bottom"/>
          </w:tcPr>
          <w:p>
            <w:pPr>
              <w:ind w:left="3520"/>
              <w:spacing w:after="0" w:line="203" w:lineRule="exact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8"/>
                <w:szCs w:val="18"/>
                <w:color w:val="auto"/>
              </w:rPr>
              <w:t>up to $50 million.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03"/>
        </w:trPr>
        <w:tc>
          <w:tcPr>
            <w:tcW w:w="8320" w:type="dxa"/>
            <w:vAlign w:val="bottom"/>
            <w:gridSpan w:val="2"/>
          </w:tcPr>
          <w:p>
            <w:pPr>
              <w:spacing w:after="0" w:line="203" w:lineRule="exact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8"/>
                <w:szCs w:val="18"/>
                <w:color w:val="auto"/>
              </w:rPr>
              <w:t>Please revise the disclosure to state the basis for your belief that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03"/>
        </w:trPr>
        <w:tc>
          <w:tcPr>
            <w:tcW w:w="238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5940" w:type="dxa"/>
            <w:vAlign w:val="bottom"/>
          </w:tcPr>
          <w:p>
            <w:pPr>
              <w:ind w:left="3520"/>
              <w:spacing w:after="0" w:line="203" w:lineRule="exact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8"/>
                <w:szCs w:val="18"/>
                <w:color w:val="auto"/>
                <w:w w:val="96"/>
              </w:rPr>
              <w:t>obtaining this facility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02"/>
        </w:trPr>
        <w:tc>
          <w:tcPr>
            <w:tcW w:w="8320" w:type="dxa"/>
            <w:vAlign w:val="bottom"/>
            <w:gridSpan w:val="2"/>
          </w:tcPr>
          <w:p>
            <w:pPr>
              <w:spacing w:after="0" w:line="203" w:lineRule="exact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8"/>
                <w:szCs w:val="18"/>
                <w:color w:val="auto"/>
              </w:rPr>
              <w:t>is probable or delete the amount of the adjustment in the pro forma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03"/>
        </w:trPr>
        <w:tc>
          <w:tcPr>
            <w:tcW w:w="238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5940" w:type="dxa"/>
            <w:vAlign w:val="bottom"/>
          </w:tcPr>
          <w:p>
            <w:pPr>
              <w:ind w:left="3520"/>
              <w:spacing w:after="0" w:line="203" w:lineRule="exact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8"/>
                <w:szCs w:val="18"/>
                <w:color w:val="auto"/>
              </w:rPr>
              <w:t>balance sheet and only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03"/>
        </w:trPr>
        <w:tc>
          <w:tcPr>
            <w:tcW w:w="8320" w:type="dxa"/>
            <w:vAlign w:val="bottom"/>
            <w:gridSpan w:val="2"/>
          </w:tcPr>
          <w:p>
            <w:pPr>
              <w:spacing w:after="0" w:line="203" w:lineRule="exact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8"/>
                <w:szCs w:val="18"/>
                <w:color w:val="auto"/>
              </w:rPr>
              <w:t>include note disclosure of the current status of funding negotiations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03"/>
        </w:trPr>
        <w:tc>
          <w:tcPr>
            <w:tcW w:w="238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5940" w:type="dxa"/>
            <w:vAlign w:val="bottom"/>
          </w:tcPr>
          <w:p>
            <w:pPr>
              <w:ind w:left="3520"/>
              <w:spacing w:after="0" w:line="203" w:lineRule="exact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8"/>
                <w:szCs w:val="18"/>
                <w:color w:val="auto"/>
                <w:w w:val="96"/>
              </w:rPr>
              <w:t>and the type of funding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03"/>
        </w:trPr>
        <w:tc>
          <w:tcPr>
            <w:tcW w:w="8320" w:type="dxa"/>
            <w:vAlign w:val="bottom"/>
            <w:gridSpan w:val="2"/>
          </w:tcPr>
          <w:p>
            <w:pPr>
              <w:spacing w:after="0" w:line="203" w:lineRule="exact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8"/>
                <w:szCs w:val="18"/>
                <w:color w:val="auto"/>
              </w:rPr>
              <w:t>being negotiated, i.e. convertible notes and the currently proposed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03"/>
        </w:trPr>
        <w:tc>
          <w:tcPr>
            <w:tcW w:w="238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5940" w:type="dxa"/>
            <w:vAlign w:val="bottom"/>
          </w:tcPr>
          <w:p>
            <w:pPr>
              <w:ind w:left="3520"/>
              <w:spacing w:after="0" w:line="203" w:lineRule="exact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8"/>
                <w:szCs w:val="18"/>
                <w:color w:val="auto"/>
              </w:rPr>
              <w:t>conversion terms as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03"/>
        </w:trPr>
        <w:tc>
          <w:tcPr>
            <w:tcW w:w="8320" w:type="dxa"/>
            <w:vAlign w:val="bottom"/>
            <w:gridSpan w:val="2"/>
          </w:tcPr>
          <w:p>
            <w:pPr>
              <w:spacing w:after="0" w:line="203" w:lineRule="exact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8"/>
                <w:szCs w:val="18"/>
                <w:color w:val="auto"/>
              </w:rPr>
              <w:t>they relate to the IPO price. n the event that the funding is not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02"/>
        </w:trPr>
        <w:tc>
          <w:tcPr>
            <w:tcW w:w="238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5940" w:type="dxa"/>
            <w:vAlign w:val="bottom"/>
          </w:tcPr>
          <w:p>
            <w:pPr>
              <w:ind w:left="3520"/>
              <w:spacing w:after="0" w:line="203" w:lineRule="exact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8"/>
                <w:szCs w:val="18"/>
                <w:color w:val="auto"/>
              </w:rPr>
              <w:t>probable at this time,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03"/>
        </w:trPr>
        <w:tc>
          <w:tcPr>
            <w:tcW w:w="8320" w:type="dxa"/>
            <w:vAlign w:val="bottom"/>
            <w:gridSpan w:val="2"/>
          </w:tcPr>
          <w:p>
            <w:pPr>
              <w:spacing w:after="0" w:line="203" w:lineRule="exact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8"/>
                <w:szCs w:val="18"/>
                <w:color w:val="auto"/>
              </w:rPr>
              <w:t>please revise the pro forma balance sheet to prominently present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03"/>
        </w:trPr>
        <w:tc>
          <w:tcPr>
            <w:tcW w:w="238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5940" w:type="dxa"/>
            <w:vAlign w:val="bottom"/>
          </w:tcPr>
          <w:p>
            <w:pPr>
              <w:ind w:left="3520"/>
              <w:spacing w:after="0" w:line="203" w:lineRule="exact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8"/>
                <w:szCs w:val="18"/>
                <w:color w:val="auto"/>
              </w:rPr>
              <w:t>your negative cash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03"/>
        </w:trPr>
        <w:tc>
          <w:tcPr>
            <w:tcW w:w="8320" w:type="dxa"/>
            <w:vAlign w:val="bottom"/>
            <w:gridSpan w:val="2"/>
          </w:tcPr>
          <w:p>
            <w:pPr>
              <w:spacing w:after="0" w:line="203" w:lineRule="exact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8"/>
                <w:szCs w:val="18"/>
                <w:color w:val="auto"/>
              </w:rPr>
              <w:t>position prior to any future funding.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03"/>
        </w:trPr>
        <w:tc>
          <w:tcPr>
            <w:tcW w:w="2380" w:type="dxa"/>
            <w:vAlign w:val="bottom"/>
          </w:tcPr>
          <w:p>
            <w:pPr>
              <w:jc w:val="right"/>
              <w:ind w:right="592"/>
              <w:spacing w:after="0" w:line="203" w:lineRule="exact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8"/>
                <w:szCs w:val="18"/>
                <w:color w:val="auto"/>
              </w:rPr>
              <w:t>Stephen Herbert</w:t>
            </w:r>
          </w:p>
        </w:tc>
        <w:tc>
          <w:tcPr>
            <w:tcW w:w="594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03"/>
        </w:trPr>
        <w:tc>
          <w:tcPr>
            <w:tcW w:w="2380" w:type="dxa"/>
            <w:vAlign w:val="bottom"/>
          </w:tcPr>
          <w:p>
            <w:pPr>
              <w:spacing w:after="0" w:line="203" w:lineRule="exact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8"/>
                <w:szCs w:val="18"/>
                <w:color w:val="auto"/>
              </w:rPr>
              <w:t>FirstName</w:t>
            </w:r>
          </w:p>
        </w:tc>
        <w:tc>
          <w:tcPr>
            <w:tcW w:w="594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03"/>
        </w:trPr>
        <w:tc>
          <w:tcPr>
            <w:tcW w:w="8320" w:type="dxa"/>
            <w:vAlign w:val="bottom"/>
            <w:gridSpan w:val="2"/>
          </w:tcPr>
          <w:p>
            <w:pPr>
              <w:spacing w:after="0" w:line="203" w:lineRule="exact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8"/>
                <w:szCs w:val="18"/>
                <w:color w:val="auto"/>
              </w:rPr>
              <w:t>Rezolve AILastNameStephen Herbert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03"/>
        </w:trPr>
        <w:tc>
          <w:tcPr>
            <w:tcW w:w="2380" w:type="dxa"/>
            <w:vAlign w:val="bottom"/>
          </w:tcPr>
          <w:p>
            <w:pPr>
              <w:ind w:left="1160"/>
              <w:spacing w:after="0" w:line="203" w:lineRule="exact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8"/>
                <w:szCs w:val="18"/>
                <w:color w:val="auto"/>
              </w:rPr>
              <w:t>Limited</w:t>
            </w:r>
          </w:p>
        </w:tc>
        <w:tc>
          <w:tcPr>
            <w:tcW w:w="594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03"/>
        </w:trPr>
        <w:tc>
          <w:tcPr>
            <w:tcW w:w="2380" w:type="dxa"/>
            <w:vAlign w:val="bottom"/>
          </w:tcPr>
          <w:p>
            <w:pPr>
              <w:spacing w:after="0" w:line="203" w:lineRule="exact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8"/>
                <w:szCs w:val="18"/>
                <w:color w:val="auto"/>
              </w:rPr>
              <w:t>Comapany</w:t>
            </w:r>
          </w:p>
        </w:tc>
        <w:tc>
          <w:tcPr>
            <w:tcW w:w="594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03"/>
        </w:trPr>
        <w:tc>
          <w:tcPr>
            <w:tcW w:w="2380" w:type="dxa"/>
            <w:vAlign w:val="bottom"/>
          </w:tcPr>
          <w:p>
            <w:pPr>
              <w:spacing w:after="0" w:line="203" w:lineRule="exact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8"/>
                <w:szCs w:val="18"/>
                <w:color w:val="auto"/>
                <w:w w:val="99"/>
              </w:rPr>
              <w:t>October 10,NameRezolve</w:t>
            </w:r>
          </w:p>
        </w:tc>
        <w:tc>
          <w:tcPr>
            <w:tcW w:w="5940" w:type="dxa"/>
            <w:vAlign w:val="bottom"/>
            <w:vMerge w:val="restart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8"/>
                <w:szCs w:val="18"/>
                <w:color w:val="auto"/>
              </w:rPr>
              <w:t>AI Limited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02"/>
        </w:trPr>
        <w:tc>
          <w:tcPr>
            <w:tcW w:w="2380" w:type="dxa"/>
            <w:vAlign w:val="bottom"/>
          </w:tcPr>
          <w:p>
            <w:pPr>
              <w:jc w:val="right"/>
              <w:ind w:right="592"/>
              <w:spacing w:after="0" w:line="203" w:lineRule="exact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8"/>
                <w:szCs w:val="18"/>
                <w:color w:val="auto"/>
              </w:rPr>
              <w:t>2023</w:t>
            </w:r>
          </w:p>
        </w:tc>
        <w:tc>
          <w:tcPr>
            <w:tcW w:w="5940" w:type="dxa"/>
            <w:vAlign w:val="bottom"/>
            <w:vMerge w:val="continue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03"/>
        </w:trPr>
        <w:tc>
          <w:tcPr>
            <w:tcW w:w="2380" w:type="dxa"/>
            <w:vAlign w:val="bottom"/>
          </w:tcPr>
          <w:p>
            <w:pPr>
              <w:spacing w:after="0" w:line="203" w:lineRule="exact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8"/>
                <w:szCs w:val="18"/>
                <w:color w:val="auto"/>
              </w:rPr>
              <w:t>October</w:t>
            </w:r>
          </w:p>
        </w:tc>
        <w:tc>
          <w:tcPr>
            <w:tcW w:w="594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03"/>
        </w:trPr>
        <w:tc>
          <w:tcPr>
            <w:tcW w:w="2380" w:type="dxa"/>
            <w:vAlign w:val="bottom"/>
          </w:tcPr>
          <w:p>
            <w:pPr>
              <w:spacing w:after="0" w:line="203" w:lineRule="exact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8"/>
                <w:szCs w:val="18"/>
                <w:color w:val="auto"/>
                <w:w w:val="99"/>
              </w:rPr>
              <w:t>Page 2 10, 2023 Page 2</w:t>
            </w:r>
          </w:p>
        </w:tc>
        <w:tc>
          <w:tcPr>
            <w:tcW w:w="594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34"/>
        </w:trPr>
        <w:tc>
          <w:tcPr>
            <w:tcW w:w="23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8"/>
                <w:szCs w:val="18"/>
                <w:color w:val="auto"/>
              </w:rPr>
              <w:t>FirstName LastName</w:t>
            </w:r>
          </w:p>
        </w:tc>
        <w:tc>
          <w:tcPr>
            <w:tcW w:w="59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</w:tbl>
    <w:p>
      <w:pPr>
        <w:ind w:right="2339" w:firstLine="8"/>
        <w:spacing w:after="0" w:line="238" w:lineRule="auto"/>
        <w:tabs>
          <w:tab w:leader="none" w:pos="948" w:val="left"/>
        </w:tabs>
        <w:numPr>
          <w:ilvl w:val="0"/>
          <w:numId w:val="1"/>
        </w:numPr>
        <w:rPr>
          <w:rFonts w:ascii="Courier New" w:cs="Courier New" w:eastAsia="Courier New" w:hAnsi="Courier New"/>
          <w:sz w:val="18"/>
          <w:szCs w:val="18"/>
          <w:color w:val="auto"/>
        </w:rPr>
      </w:pPr>
      <w:r>
        <w:rPr>
          <w:rFonts w:ascii="Courier New" w:cs="Courier New" w:eastAsia="Courier New" w:hAnsi="Courier New"/>
          <w:sz w:val="18"/>
          <w:szCs w:val="18"/>
          <w:color w:val="auto"/>
        </w:rPr>
        <w:t>We note based on disclosure on page F-102 that on August 2, 2023, Armada held a special</w:t>
      </w:r>
    </w:p>
    <w:p>
      <w:pPr>
        <w:ind w:right="2119" w:firstLine="948"/>
        <w:spacing w:after="0" w:line="238" w:lineRule="auto"/>
        <w:rPr>
          <w:rFonts w:ascii="Courier New" w:cs="Courier New" w:eastAsia="Courier New" w:hAnsi="Courier New"/>
          <w:sz w:val="18"/>
          <w:szCs w:val="18"/>
          <w:color w:val="auto"/>
        </w:rPr>
      </w:pPr>
      <w:r>
        <w:rPr>
          <w:rFonts w:ascii="Courier New" w:cs="Courier New" w:eastAsia="Courier New" w:hAnsi="Courier New"/>
          <w:sz w:val="18"/>
          <w:szCs w:val="18"/>
          <w:color w:val="auto"/>
        </w:rPr>
        <w:t>meeting of its stockholders to approve an amendment to its Charter. Tell us how</w:t>
      </w:r>
    </w:p>
    <w:p>
      <w:pPr>
        <w:ind w:right="2019" w:firstLine="948"/>
        <w:spacing w:after="0" w:line="238" w:lineRule="auto"/>
        <w:rPr>
          <w:rFonts w:ascii="Courier New" w:cs="Courier New" w:eastAsia="Courier New" w:hAnsi="Courier New"/>
          <w:sz w:val="18"/>
          <w:szCs w:val="18"/>
          <w:color w:val="auto"/>
        </w:rPr>
      </w:pPr>
      <w:r>
        <w:rPr>
          <w:rFonts w:ascii="Courier New" w:cs="Courier New" w:eastAsia="Courier New" w:hAnsi="Courier New"/>
          <w:sz w:val="18"/>
          <w:szCs w:val="18"/>
          <w:color w:val="auto"/>
        </w:rPr>
        <w:t>the changes to the Charter, including additional redemptions and new loans are reflected</w:t>
      </w:r>
    </w:p>
    <w:p>
      <w:pPr>
        <w:ind w:left="960"/>
        <w:spacing w:after="0"/>
        <w:rPr>
          <w:rFonts w:ascii="Courier New" w:cs="Courier New" w:eastAsia="Courier New" w:hAnsi="Courier New"/>
          <w:sz w:val="18"/>
          <w:szCs w:val="18"/>
          <w:color w:val="auto"/>
        </w:rPr>
      </w:pPr>
      <w:r>
        <w:rPr>
          <w:rFonts w:ascii="Courier New" w:cs="Courier New" w:eastAsia="Courier New" w:hAnsi="Courier New"/>
          <w:sz w:val="18"/>
          <w:szCs w:val="18"/>
          <w:color w:val="auto"/>
        </w:rPr>
        <w:t>in the pro forma financial statements and disclosure. Revise the</w:t>
      </w:r>
    </w:p>
    <w:p>
      <w:pPr>
        <w:sectPr>
          <w:pgSz w:w="11900" w:h="16854" w:orient="portrait"/>
          <w:cols w:equalWidth="0" w:num="1">
            <w:col w:w="10139"/>
          </w:cols>
          <w:pgMar w:left="320" w:top="218" w:right="1440" w:bottom="0" w:gutter="0" w:footer="0" w:header="0"/>
        </w:sectPr>
      </w:pPr>
    </w:p>
    <w:bookmarkStart w:id="1" w:name="page2"/>
    <w:bookmarkEnd w:id="1"/>
    <w:p>
      <w:pPr>
        <w:spacing w:after="0"/>
        <w:rPr>
          <w:sz w:val="20"/>
          <w:szCs w:val="20"/>
          <w:color w:val="auto"/>
        </w:rPr>
      </w:pPr>
      <w:r>
        <w:rPr>
          <w:rFonts w:ascii="Courier New" w:cs="Courier New" w:eastAsia="Courier New" w:hAnsi="Courier New"/>
          <w:sz w:val="18"/>
          <w:szCs w:val="18"/>
          <w:color w:val="auto"/>
        </w:rPr>
        <w:t>disclosure in footnote (g)</w:t>
      </w:r>
    </w:p>
    <w:p>
      <w:pPr>
        <w:spacing w:after="0" w:line="31" w:lineRule="exact"/>
        <w:rPr>
          <w:sz w:val="20"/>
          <w:szCs w:val="20"/>
          <w:color w:val="auto"/>
        </w:rPr>
      </w:pPr>
    </w:p>
    <w:p>
      <w:pPr>
        <w:ind w:right="2019" w:firstLine="948"/>
        <w:spacing w:after="0" w:line="238" w:lineRule="auto"/>
        <w:rPr>
          <w:sz w:val="20"/>
          <w:szCs w:val="20"/>
          <w:color w:val="auto"/>
        </w:rPr>
      </w:pPr>
      <w:r>
        <w:rPr>
          <w:rFonts w:ascii="Courier New" w:cs="Courier New" w:eastAsia="Courier New" w:hAnsi="Courier New"/>
          <w:sz w:val="18"/>
          <w:szCs w:val="18"/>
          <w:color w:val="auto"/>
        </w:rPr>
        <w:t>and the adjustment amount to include redemptions up to July 31, 2023 of $129,174,304</w:t>
      </w:r>
    </w:p>
    <w:p>
      <w:pPr>
        <w:spacing w:after="0" w:line="1" w:lineRule="exact"/>
        <w:rPr>
          <w:sz w:val="20"/>
          <w:szCs w:val="20"/>
          <w:color w:val="auto"/>
        </w:rPr>
      </w:pPr>
    </w:p>
    <w:p>
      <w:pPr>
        <w:ind w:right="2019" w:firstLine="948"/>
        <w:spacing w:after="0" w:line="238" w:lineRule="auto"/>
        <w:rPr>
          <w:sz w:val="20"/>
          <w:szCs w:val="20"/>
          <w:color w:val="auto"/>
        </w:rPr>
      </w:pPr>
      <w:r>
        <w:rPr>
          <w:rFonts w:ascii="Courier New" w:cs="Courier New" w:eastAsia="Courier New" w:hAnsi="Courier New"/>
          <w:sz w:val="18"/>
          <w:szCs w:val="18"/>
          <w:color w:val="auto"/>
        </w:rPr>
        <w:t>and redemptions of $12,095,215 on August 2, 2023. Also, disclose why the Charter was</w:t>
      </w:r>
    </w:p>
    <w:p>
      <w:pPr>
        <w:spacing w:after="0" w:line="1" w:lineRule="exact"/>
        <w:rPr>
          <w:sz w:val="20"/>
          <w:szCs w:val="20"/>
          <w:color w:val="auto"/>
        </w:rPr>
      </w:pPr>
    </w:p>
    <w:p>
      <w:pPr>
        <w:ind w:right="3079" w:firstLine="948"/>
        <w:spacing w:after="0" w:line="238" w:lineRule="auto"/>
        <w:rPr>
          <w:sz w:val="20"/>
          <w:szCs w:val="20"/>
          <w:color w:val="auto"/>
        </w:rPr>
      </w:pPr>
      <w:r>
        <w:rPr>
          <w:rFonts w:ascii="Courier New" w:cs="Courier New" w:eastAsia="Courier New" w:hAnsi="Courier New"/>
          <w:sz w:val="18"/>
          <w:szCs w:val="18"/>
          <w:color w:val="auto"/>
        </w:rPr>
        <w:t>not amended to eliminate the $5,000,000 net tangible asset requirement.</w:t>
      </w:r>
    </w:p>
    <w:p>
      <w:pPr>
        <w:spacing w:after="0" w:line="1" w:lineRule="exact"/>
        <w:rPr>
          <w:sz w:val="20"/>
          <w:szCs w:val="20"/>
          <w:color w:val="auto"/>
        </w:rPr>
      </w:pPr>
    </w:p>
    <w:p>
      <w:pPr>
        <w:spacing w:after="0"/>
        <w:rPr>
          <w:sz w:val="20"/>
          <w:szCs w:val="20"/>
          <w:color w:val="auto"/>
        </w:rPr>
      </w:pPr>
      <w:r>
        <w:rPr>
          <w:rFonts w:ascii="Courier New" w:cs="Courier New" w:eastAsia="Courier New" w:hAnsi="Courier New"/>
          <w:sz w:val="18"/>
          <w:szCs w:val="18"/>
          <w:color w:val="auto"/>
        </w:rPr>
        <w:t>Business of Rezolve Limited, page 213</w:t>
      </w:r>
    </w:p>
    <w:p>
      <w:pPr>
        <w:spacing w:after="0" w:line="169" w:lineRule="exact"/>
        <w:rPr>
          <w:sz w:val="20"/>
          <w:szCs w:val="20"/>
          <w:color w:val="auto"/>
        </w:rPr>
      </w:pPr>
    </w:p>
    <w:p>
      <w:pPr>
        <w:ind w:right="2439" w:firstLine="8"/>
        <w:spacing w:after="0" w:line="257" w:lineRule="auto"/>
        <w:tabs>
          <w:tab w:leader="none" w:pos="948" w:val="left"/>
        </w:tabs>
        <w:numPr>
          <w:ilvl w:val="0"/>
          <w:numId w:val="2"/>
        </w:numPr>
        <w:rPr>
          <w:rFonts w:ascii="Courier New" w:cs="Courier New" w:eastAsia="Courier New" w:hAnsi="Courier New"/>
          <w:sz w:val="18"/>
          <w:szCs w:val="18"/>
          <w:color w:val="auto"/>
        </w:rPr>
      </w:pPr>
      <w:r>
        <w:rPr>
          <w:rFonts w:ascii="Courier New" w:cs="Courier New" w:eastAsia="Courier New" w:hAnsi="Courier New"/>
          <w:sz w:val="18"/>
          <w:szCs w:val="18"/>
          <w:color w:val="auto"/>
        </w:rPr>
        <w:t>We note your response to prior comment 7. To provide context for investors, please also</w:t>
      </w:r>
    </w:p>
    <w:p>
      <w:pPr>
        <w:ind w:right="2559" w:firstLine="948"/>
        <w:spacing w:after="0" w:line="238" w:lineRule="auto"/>
        <w:rPr>
          <w:rFonts w:ascii="Courier New" w:cs="Courier New" w:eastAsia="Courier New" w:hAnsi="Courier New"/>
          <w:sz w:val="18"/>
          <w:szCs w:val="18"/>
          <w:color w:val="auto"/>
        </w:rPr>
      </w:pPr>
      <w:r>
        <w:rPr>
          <w:rFonts w:ascii="Courier New" w:cs="Courier New" w:eastAsia="Courier New" w:hAnsi="Courier New"/>
          <w:sz w:val="18"/>
          <w:szCs w:val="18"/>
          <w:color w:val="auto"/>
        </w:rPr>
        <w:t>include this disclosure elsewhere throughout your filing. Rezolves Managements Discussion and Analysis of Financial Conditions and Results of</w:t>
      </w:r>
    </w:p>
    <w:p>
      <w:pPr>
        <w:spacing w:after="0"/>
        <w:rPr>
          <w:rFonts w:ascii="Courier New" w:cs="Courier New" w:eastAsia="Courier New" w:hAnsi="Courier New"/>
          <w:sz w:val="18"/>
          <w:szCs w:val="18"/>
          <w:color w:val="auto"/>
        </w:rPr>
      </w:pPr>
      <w:r>
        <w:rPr>
          <w:rFonts w:ascii="Courier New" w:cs="Courier New" w:eastAsia="Courier New" w:hAnsi="Courier New"/>
          <w:sz w:val="18"/>
          <w:szCs w:val="18"/>
          <w:color w:val="auto"/>
        </w:rPr>
        <w:t>Operations, page 230</w:t>
      </w:r>
    </w:p>
    <w:p>
      <w:pPr>
        <w:spacing w:after="0" w:line="169" w:lineRule="exact"/>
        <w:rPr>
          <w:rFonts w:ascii="Courier New" w:cs="Courier New" w:eastAsia="Courier New" w:hAnsi="Courier New"/>
          <w:sz w:val="18"/>
          <w:szCs w:val="18"/>
          <w:color w:val="auto"/>
        </w:rPr>
      </w:pPr>
    </w:p>
    <w:p>
      <w:pPr>
        <w:ind w:right="1819" w:firstLine="8"/>
        <w:spacing w:after="0" w:line="257" w:lineRule="auto"/>
        <w:tabs>
          <w:tab w:leader="none" w:pos="948" w:val="left"/>
        </w:tabs>
        <w:numPr>
          <w:ilvl w:val="0"/>
          <w:numId w:val="2"/>
        </w:numPr>
        <w:rPr>
          <w:rFonts w:ascii="Courier New" w:cs="Courier New" w:eastAsia="Courier New" w:hAnsi="Courier New"/>
          <w:sz w:val="18"/>
          <w:szCs w:val="18"/>
          <w:color w:val="auto"/>
        </w:rPr>
      </w:pPr>
      <w:r>
        <w:rPr>
          <w:rFonts w:ascii="Courier New" w:cs="Courier New" w:eastAsia="Courier New" w:hAnsi="Courier New"/>
          <w:sz w:val="18"/>
          <w:szCs w:val="18"/>
          <w:color w:val="auto"/>
        </w:rPr>
        <w:t>We note your response to comment 8 and continue to believe Radio Group is a related</w:t>
      </w:r>
    </w:p>
    <w:p>
      <w:pPr>
        <w:ind w:left="960"/>
        <w:spacing w:after="0"/>
        <w:rPr>
          <w:rFonts w:ascii="Courier New" w:cs="Courier New" w:eastAsia="Courier New" w:hAnsi="Courier New"/>
          <w:sz w:val="18"/>
          <w:szCs w:val="18"/>
          <w:color w:val="auto"/>
        </w:rPr>
      </w:pPr>
      <w:r>
        <w:rPr>
          <w:rFonts w:ascii="Courier New" w:cs="Courier New" w:eastAsia="Courier New" w:hAnsi="Courier New"/>
          <w:sz w:val="18"/>
          <w:szCs w:val="18"/>
          <w:color w:val="auto"/>
        </w:rPr>
        <w:t>party for the following reasons:</w:t>
      </w:r>
    </w:p>
    <w:p>
      <w:pPr>
        <w:spacing w:after="0" w:line="169" w:lineRule="exact"/>
        <w:rPr>
          <w:sz w:val="20"/>
          <w:szCs w:val="20"/>
          <w:color w:val="auto"/>
        </w:rPr>
      </w:pPr>
    </w:p>
    <w:p>
      <w:pPr>
        <w:ind w:left="1700"/>
        <w:spacing w:after="0"/>
        <w:rPr>
          <w:sz w:val="20"/>
          <w:szCs w:val="20"/>
          <w:color w:val="auto"/>
        </w:rPr>
      </w:pPr>
      <w:r>
        <w:rPr>
          <w:rFonts w:ascii="Courier New" w:cs="Courier New" w:eastAsia="Courier New" w:hAnsi="Courier New"/>
          <w:sz w:val="18"/>
          <w:szCs w:val="18"/>
          <w:color w:val="auto"/>
        </w:rPr>
        <w:t>Mr. Schwenk was the managing director of ANY during in 2021,</w:t>
      </w:r>
    </w:p>
    <w:p>
      <w:pPr>
        <w:spacing w:after="0" w:line="29" w:lineRule="exact"/>
        <w:rPr>
          <w:sz w:val="20"/>
          <w:szCs w:val="20"/>
          <w:color w:val="auto"/>
        </w:rPr>
      </w:pPr>
    </w:p>
    <w:p>
      <w:pPr>
        <w:spacing w:after="0"/>
        <w:rPr>
          <w:sz w:val="20"/>
          <w:szCs w:val="20"/>
          <w:color w:val="auto"/>
        </w:rPr>
      </w:pPr>
      <w:r>
        <w:rPr>
          <w:rFonts w:ascii="Courier New" w:cs="Courier New" w:eastAsia="Courier New" w:hAnsi="Courier New"/>
          <w:sz w:val="18"/>
          <w:szCs w:val="18"/>
          <w:color w:val="auto"/>
        </w:rPr>
        <w:t>one of the years</w:t>
      </w:r>
    </w:p>
    <w:tbl>
      <w:tblPr>
        <w:tblLayout w:type="fixed"/>
        <w:tblInd w:w="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296"/>
        </w:trPr>
        <w:tc>
          <w:tcPr>
            <w:tcW w:w="70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7420" w:type="dxa"/>
            <w:vAlign w:val="bottom"/>
            <w:gridSpan w:val="2"/>
          </w:tcPr>
          <w:p>
            <w:pPr>
              <w:ind w:left="7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8"/>
                <w:szCs w:val="18"/>
                <w:color w:val="auto"/>
              </w:rPr>
              <w:t>presented in your financial statements.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79"/>
        </w:trPr>
        <w:tc>
          <w:tcPr>
            <w:tcW w:w="70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7420" w:type="dxa"/>
            <w:vAlign w:val="bottom"/>
            <w:gridSpan w:val="2"/>
          </w:tcPr>
          <w:p>
            <w:pPr>
              <w:ind w:left="10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8"/>
                <w:szCs w:val="18"/>
                <w:color w:val="auto"/>
                <w:w w:val="97"/>
              </w:rPr>
              <w:t>In your current response you state, "the Radio Group may sell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03"/>
        </w:trPr>
        <w:tc>
          <w:tcPr>
            <w:tcW w:w="5060" w:type="dxa"/>
            <w:vAlign w:val="bottom"/>
            <w:gridSpan w:val="2"/>
          </w:tcPr>
          <w:p>
            <w:pPr>
              <w:spacing w:after="0" w:line="203" w:lineRule="exact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8"/>
                <w:szCs w:val="18"/>
                <w:color w:val="auto"/>
              </w:rPr>
              <w:t>unsold advertising</w:t>
            </w:r>
          </w:p>
        </w:tc>
        <w:tc>
          <w:tcPr>
            <w:tcW w:w="306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03"/>
        </w:trPr>
        <w:tc>
          <w:tcPr>
            <w:tcW w:w="70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7420" w:type="dxa"/>
            <w:vAlign w:val="bottom"/>
            <w:gridSpan w:val="2"/>
          </w:tcPr>
          <w:p>
            <w:pPr>
              <w:ind w:left="780"/>
              <w:spacing w:after="0" w:line="203" w:lineRule="exact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8"/>
                <w:szCs w:val="18"/>
                <w:color w:val="auto"/>
              </w:rPr>
              <w:t>slots to a third party if ANY chooses not to purchase them.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03"/>
        </w:trPr>
        <w:tc>
          <w:tcPr>
            <w:tcW w:w="5060" w:type="dxa"/>
            <w:vAlign w:val="bottom"/>
            <w:gridSpan w:val="2"/>
          </w:tcPr>
          <w:p>
            <w:pPr>
              <w:spacing w:after="0" w:line="203" w:lineRule="exact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8"/>
                <w:szCs w:val="18"/>
                <w:color w:val="auto"/>
              </w:rPr>
              <w:t>Therefore Radio Group</w:t>
            </w:r>
          </w:p>
        </w:tc>
        <w:tc>
          <w:tcPr>
            <w:tcW w:w="306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03"/>
        </w:trPr>
        <w:tc>
          <w:tcPr>
            <w:tcW w:w="70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7420" w:type="dxa"/>
            <w:vAlign w:val="bottom"/>
            <w:gridSpan w:val="2"/>
          </w:tcPr>
          <w:p>
            <w:pPr>
              <w:ind w:left="780"/>
              <w:spacing w:after="0" w:line="203" w:lineRule="exact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8"/>
                <w:szCs w:val="18"/>
                <w:color w:val="auto"/>
              </w:rPr>
              <w:t>may pursue its own separate interests." Since Radio Group can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03"/>
        </w:trPr>
        <w:tc>
          <w:tcPr>
            <w:tcW w:w="5060" w:type="dxa"/>
            <w:vAlign w:val="bottom"/>
            <w:gridSpan w:val="2"/>
          </w:tcPr>
          <w:p>
            <w:pPr>
              <w:spacing w:after="0" w:line="203" w:lineRule="exact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8"/>
                <w:szCs w:val="18"/>
                <w:color w:val="auto"/>
              </w:rPr>
              <w:t>only act if ANY</w:t>
            </w:r>
          </w:p>
        </w:tc>
        <w:tc>
          <w:tcPr>
            <w:tcW w:w="306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03"/>
        </w:trPr>
        <w:tc>
          <w:tcPr>
            <w:tcW w:w="70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7420" w:type="dxa"/>
            <w:vAlign w:val="bottom"/>
            <w:gridSpan w:val="2"/>
          </w:tcPr>
          <w:p>
            <w:pPr>
              <w:ind w:left="780"/>
              <w:spacing w:after="0" w:line="203" w:lineRule="exact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8"/>
                <w:szCs w:val="18"/>
                <w:color w:val="auto"/>
                <w:w w:val="97"/>
              </w:rPr>
              <w:t>chooses not to purchase advertising slots, we do not agree with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03"/>
        </w:trPr>
        <w:tc>
          <w:tcPr>
            <w:tcW w:w="5060" w:type="dxa"/>
            <w:vAlign w:val="bottom"/>
            <w:gridSpan w:val="2"/>
          </w:tcPr>
          <w:p>
            <w:pPr>
              <w:spacing w:after="0" w:line="203" w:lineRule="exact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8"/>
                <w:szCs w:val="18"/>
                <w:color w:val="auto"/>
              </w:rPr>
              <w:t>your assertion that</w:t>
            </w:r>
          </w:p>
        </w:tc>
        <w:tc>
          <w:tcPr>
            <w:tcW w:w="306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96"/>
        </w:trPr>
        <w:tc>
          <w:tcPr>
            <w:tcW w:w="70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7420" w:type="dxa"/>
            <w:vAlign w:val="bottom"/>
            <w:gridSpan w:val="2"/>
          </w:tcPr>
          <w:p>
            <w:pPr>
              <w:ind w:left="7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8"/>
                <w:szCs w:val="18"/>
                <w:color w:val="auto"/>
              </w:rPr>
              <w:t>Radio Group may pursue its own separate interests.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11"/>
        </w:trPr>
        <w:tc>
          <w:tcPr>
            <w:tcW w:w="70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4360" w:type="dxa"/>
            <w:vAlign w:val="bottom"/>
          </w:tcPr>
          <w:p>
            <w:pPr>
              <w:ind w:left="10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8"/>
                <w:szCs w:val="18"/>
                <w:color w:val="auto"/>
              </w:rPr>
              <w:t>Disclosure on page 231 states,</w:t>
            </w:r>
          </w:p>
        </w:tc>
        <w:tc>
          <w:tcPr>
            <w:tcW w:w="3060" w:type="dxa"/>
            <w:vAlign w:val="bottom"/>
          </w:tcPr>
          <w:p>
            <w:pPr>
              <w:ind w:left="2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8"/>
                <w:szCs w:val="18"/>
                <w:color w:val="auto"/>
              </w:rPr>
              <w:t>ANY was established to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03"/>
        </w:trPr>
        <w:tc>
          <w:tcPr>
            <w:tcW w:w="5060" w:type="dxa"/>
            <w:vAlign w:val="bottom"/>
            <w:gridSpan w:val="2"/>
          </w:tcPr>
          <w:p>
            <w:pPr>
              <w:spacing w:after="0" w:line="203" w:lineRule="exact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8"/>
                <w:szCs w:val="18"/>
                <w:color w:val="auto"/>
              </w:rPr>
              <w:t>purchase the rights to sell</w:t>
            </w:r>
          </w:p>
        </w:tc>
        <w:tc>
          <w:tcPr>
            <w:tcW w:w="306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03"/>
        </w:trPr>
        <w:tc>
          <w:tcPr>
            <w:tcW w:w="700" w:type="dxa"/>
            <w:vAlign w:val="bottom"/>
            <w:vMerge w:val="restart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8"/>
                <w:szCs w:val="18"/>
                <w:color w:val="auto"/>
              </w:rPr>
              <w:t>Group</w:t>
            </w:r>
          </w:p>
        </w:tc>
        <w:tc>
          <w:tcPr>
            <w:tcW w:w="7420" w:type="dxa"/>
            <w:vAlign w:val="bottom"/>
            <w:gridSpan w:val="2"/>
          </w:tcPr>
          <w:p>
            <w:pPr>
              <w:ind w:left="780"/>
              <w:spacing w:after="0" w:line="203" w:lineRule="exact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8"/>
                <w:szCs w:val="18"/>
                <w:color w:val="auto"/>
              </w:rPr>
              <w:t>services of the companies owned by Radio Group GmbH(   Radio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03"/>
        </w:trPr>
        <w:tc>
          <w:tcPr>
            <w:tcW w:w="700" w:type="dxa"/>
            <w:vAlign w:val="bottom"/>
            <w:vMerge w:val="continue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4360" w:type="dxa"/>
            <w:vAlign w:val="bottom"/>
          </w:tcPr>
          <w:p>
            <w:pPr>
              <w:ind w:left="160"/>
              <w:spacing w:after="0" w:line="203" w:lineRule="exact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8"/>
                <w:szCs w:val="18"/>
                <w:color w:val="auto"/>
              </w:rPr>
              <w:t>) such as</w:t>
            </w:r>
          </w:p>
        </w:tc>
        <w:tc>
          <w:tcPr>
            <w:tcW w:w="306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96"/>
        </w:trPr>
        <w:tc>
          <w:tcPr>
            <w:tcW w:w="70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4360" w:type="dxa"/>
            <w:vAlign w:val="bottom"/>
          </w:tcPr>
          <w:p>
            <w:pPr>
              <w:ind w:left="7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8"/>
                <w:szCs w:val="18"/>
                <w:color w:val="auto"/>
              </w:rPr>
              <w:t>airtime advertisements.</w:t>
            </w:r>
          </w:p>
        </w:tc>
        <w:tc>
          <w:tcPr>
            <w:tcW w:w="306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109" w:lineRule="exact"/>
        <w:rPr>
          <w:sz w:val="20"/>
          <w:szCs w:val="20"/>
          <w:color w:val="auto"/>
        </w:rPr>
      </w:pPr>
    </w:p>
    <w:p>
      <w:pPr>
        <w:ind w:right="2339" w:firstLine="948"/>
        <w:spacing w:after="0" w:line="257" w:lineRule="auto"/>
        <w:rPr>
          <w:sz w:val="20"/>
          <w:szCs w:val="20"/>
          <w:color w:val="auto"/>
        </w:rPr>
      </w:pPr>
      <w:r>
        <w:rPr>
          <w:rFonts w:ascii="Courier New" w:cs="Courier New" w:eastAsia="Courier New" w:hAnsi="Courier New"/>
          <w:sz w:val="18"/>
          <w:szCs w:val="18"/>
          <w:color w:val="auto"/>
        </w:rPr>
        <w:t>All these factors indicate that Radio Group is a related party in accordance with ASC 850.</w:t>
      </w:r>
    </w:p>
    <w:p>
      <w:pPr>
        <w:ind w:right="1919" w:firstLine="948"/>
        <w:spacing w:after="0" w:line="238" w:lineRule="auto"/>
        <w:rPr>
          <w:sz w:val="20"/>
          <w:szCs w:val="20"/>
          <w:color w:val="auto"/>
        </w:rPr>
      </w:pPr>
      <w:r>
        <w:rPr>
          <w:rFonts w:ascii="Courier New" w:cs="Courier New" w:eastAsia="Courier New" w:hAnsi="Courier New"/>
          <w:sz w:val="18"/>
          <w:szCs w:val="18"/>
          <w:color w:val="auto"/>
        </w:rPr>
        <w:t>Please revise to provide disclosure in accordance with ASC 850-10-50. Also, disclose</w:t>
      </w:r>
    </w:p>
    <w:p>
      <w:pPr>
        <w:spacing w:after="0" w:line="1" w:lineRule="exact"/>
        <w:rPr>
          <w:sz w:val="20"/>
          <w:szCs w:val="20"/>
          <w:color w:val="auto"/>
        </w:rPr>
      </w:pPr>
    </w:p>
    <w:p>
      <w:pPr>
        <w:ind w:right="2439" w:firstLine="948"/>
        <w:spacing w:after="0" w:line="238" w:lineRule="auto"/>
        <w:rPr>
          <w:sz w:val="20"/>
          <w:szCs w:val="20"/>
          <w:color w:val="auto"/>
        </w:rPr>
      </w:pPr>
      <w:r>
        <w:rPr>
          <w:rFonts w:ascii="Courier New" w:cs="Courier New" w:eastAsia="Courier New" w:hAnsi="Courier New"/>
          <w:sz w:val="18"/>
          <w:szCs w:val="18"/>
          <w:color w:val="auto"/>
        </w:rPr>
        <w:t>amounts of related party transactions on the face of the balance sheet, statement of</w:t>
      </w:r>
    </w:p>
    <w:p>
      <w:pPr>
        <w:spacing w:after="0" w:line="1" w:lineRule="exact"/>
        <w:rPr>
          <w:sz w:val="20"/>
          <w:szCs w:val="20"/>
          <w:color w:val="auto"/>
        </w:rPr>
      </w:pPr>
    </w:p>
    <w:p>
      <w:pPr>
        <w:ind w:right="2019" w:firstLine="948"/>
        <w:spacing w:after="0" w:line="238" w:lineRule="auto"/>
        <w:rPr>
          <w:sz w:val="20"/>
          <w:szCs w:val="20"/>
          <w:color w:val="auto"/>
        </w:rPr>
      </w:pPr>
      <w:r>
        <w:rPr>
          <w:rFonts w:ascii="Courier New" w:cs="Courier New" w:eastAsia="Courier New" w:hAnsi="Courier New"/>
          <w:sz w:val="18"/>
          <w:szCs w:val="18"/>
          <w:color w:val="auto"/>
        </w:rPr>
        <w:t>comprehensive income, and statement of cash flows in accordance with Rule 4-08(k) of</w:t>
      </w:r>
    </w:p>
    <w:p>
      <w:pPr>
        <w:ind w:left="960"/>
        <w:spacing w:after="0"/>
        <w:rPr>
          <w:sz w:val="20"/>
          <w:szCs w:val="20"/>
          <w:color w:val="auto"/>
        </w:rPr>
      </w:pPr>
      <w:r>
        <w:rPr>
          <w:rFonts w:ascii="Courier New" w:cs="Courier New" w:eastAsia="Courier New" w:hAnsi="Courier New"/>
          <w:sz w:val="18"/>
          <w:szCs w:val="18"/>
          <w:color w:val="auto"/>
        </w:rPr>
        <w:t>Regulation S-X.</w:t>
      </w:r>
    </w:p>
    <w:p>
      <w:pPr>
        <w:ind w:right="2339"/>
        <w:spacing w:after="0" w:line="238" w:lineRule="auto"/>
        <w:rPr>
          <w:sz w:val="20"/>
          <w:szCs w:val="20"/>
          <w:color w:val="auto"/>
        </w:rPr>
      </w:pPr>
      <w:r>
        <w:rPr>
          <w:rFonts w:ascii="Courier New" w:cs="Courier New" w:eastAsia="Courier New" w:hAnsi="Courier New"/>
          <w:sz w:val="18"/>
          <w:szCs w:val="18"/>
          <w:color w:val="auto"/>
        </w:rPr>
        <w:t>Management's Discussion and Analysis of Financial Condition and Results of Operations</w:t>
      </w:r>
    </w:p>
    <w:p>
      <w:pPr>
        <w:spacing w:after="0" w:line="1" w:lineRule="exact"/>
        <w:rPr>
          <w:sz w:val="20"/>
          <w:szCs w:val="20"/>
          <w:color w:val="auto"/>
        </w:rPr>
      </w:pPr>
    </w:p>
    <w:p>
      <w:pPr>
        <w:spacing w:after="0"/>
        <w:rPr>
          <w:sz w:val="20"/>
          <w:szCs w:val="20"/>
          <w:color w:val="auto"/>
        </w:rPr>
      </w:pPr>
      <w:r>
        <w:rPr>
          <w:rFonts w:ascii="Courier New" w:cs="Courier New" w:eastAsia="Courier New" w:hAnsi="Courier New"/>
          <w:sz w:val="18"/>
          <w:szCs w:val="18"/>
          <w:color w:val="auto"/>
        </w:rPr>
        <w:t>Results of Operations, page 234</w:t>
      </w:r>
    </w:p>
    <w:p>
      <w:pPr>
        <w:spacing w:after="0" w:line="169" w:lineRule="exact"/>
        <w:rPr>
          <w:sz w:val="20"/>
          <w:szCs w:val="20"/>
          <w:color w:val="auto"/>
        </w:rPr>
      </w:pPr>
    </w:p>
    <w:p>
      <w:pPr>
        <w:ind w:right="2019" w:firstLine="8"/>
        <w:spacing w:after="0" w:line="257" w:lineRule="auto"/>
        <w:tabs>
          <w:tab w:leader="none" w:pos="948" w:val="left"/>
        </w:tabs>
        <w:numPr>
          <w:ilvl w:val="0"/>
          <w:numId w:val="3"/>
        </w:numPr>
        <w:rPr>
          <w:rFonts w:ascii="Courier New" w:cs="Courier New" w:eastAsia="Courier New" w:hAnsi="Courier New"/>
          <w:sz w:val="18"/>
          <w:szCs w:val="18"/>
          <w:color w:val="auto"/>
        </w:rPr>
      </w:pPr>
      <w:r>
        <w:rPr>
          <w:rFonts w:ascii="Courier New" w:cs="Courier New" w:eastAsia="Courier New" w:hAnsi="Courier New"/>
          <w:sz w:val="18"/>
          <w:szCs w:val="18"/>
          <w:color w:val="auto"/>
        </w:rPr>
        <w:t>Please revise this section of your filing to include a discussion of changes in financial</w:t>
      </w:r>
    </w:p>
    <w:p>
      <w:pPr>
        <w:ind w:right="2859" w:firstLine="948"/>
        <w:spacing w:after="0" w:line="238" w:lineRule="auto"/>
        <w:rPr>
          <w:rFonts w:ascii="Courier New" w:cs="Courier New" w:eastAsia="Courier New" w:hAnsi="Courier New"/>
          <w:sz w:val="18"/>
          <w:szCs w:val="18"/>
          <w:color w:val="auto"/>
        </w:rPr>
      </w:pPr>
      <w:r>
        <w:rPr>
          <w:rFonts w:ascii="Courier New" w:cs="Courier New" w:eastAsia="Courier New" w:hAnsi="Courier New"/>
          <w:sz w:val="18"/>
          <w:szCs w:val="18"/>
          <w:color w:val="auto"/>
        </w:rPr>
        <w:t>position for each of the periods presented in your financial statements as required by Item</w:t>
      </w:r>
    </w:p>
    <w:p>
      <w:pPr>
        <w:ind w:left="120" w:right="6859" w:firstLine="842"/>
        <w:spacing w:after="0" w:line="238" w:lineRule="auto"/>
        <w:rPr>
          <w:rFonts w:ascii="Courier New" w:cs="Courier New" w:eastAsia="Courier New" w:hAnsi="Courier New"/>
          <w:sz w:val="18"/>
          <w:szCs w:val="18"/>
          <w:color w:val="auto"/>
        </w:rPr>
      </w:pPr>
      <w:r>
        <w:rPr>
          <w:rFonts w:ascii="Courier New" w:cs="Courier New" w:eastAsia="Courier New" w:hAnsi="Courier New"/>
          <w:sz w:val="18"/>
          <w:szCs w:val="18"/>
          <w:color w:val="auto"/>
        </w:rPr>
        <w:t>303 of Regulation S-K. Stephen Herbert</w:t>
      </w:r>
    </w:p>
    <w:p>
      <w:pPr>
        <w:spacing w:after="0" w:line="238" w:lineRule="auto"/>
        <w:rPr>
          <w:rFonts w:ascii="Courier New" w:cs="Courier New" w:eastAsia="Courier New" w:hAnsi="Courier New"/>
          <w:sz w:val="18"/>
          <w:szCs w:val="18"/>
          <w:color w:val="auto"/>
        </w:rPr>
      </w:pPr>
      <w:r>
        <w:rPr>
          <w:rFonts w:ascii="Courier New" w:cs="Courier New" w:eastAsia="Courier New" w:hAnsi="Courier New"/>
          <w:sz w:val="18"/>
          <w:szCs w:val="18"/>
          <w:color w:val="auto"/>
        </w:rPr>
        <w:t>FirstName</w:t>
      </w:r>
    </w:p>
    <w:p>
      <w:pPr>
        <w:ind w:left="1160" w:right="6659" w:hanging="1158"/>
        <w:spacing w:after="0" w:line="238" w:lineRule="auto"/>
        <w:rPr>
          <w:rFonts w:ascii="Courier New" w:cs="Courier New" w:eastAsia="Courier New" w:hAnsi="Courier New"/>
          <w:sz w:val="18"/>
          <w:szCs w:val="18"/>
          <w:color w:val="auto"/>
        </w:rPr>
      </w:pPr>
      <w:r>
        <w:rPr>
          <w:rFonts w:ascii="Courier New" w:cs="Courier New" w:eastAsia="Courier New" w:hAnsi="Courier New"/>
          <w:sz w:val="18"/>
          <w:szCs w:val="18"/>
          <w:color w:val="auto"/>
        </w:rPr>
        <w:t>Rezolve AILastNameStephen Herbert Limited</w:t>
      </w:r>
    </w:p>
    <w:p>
      <w:pPr>
        <w:spacing w:after="0" w:line="238" w:lineRule="auto"/>
        <w:rPr>
          <w:rFonts w:ascii="Courier New" w:cs="Courier New" w:eastAsia="Courier New" w:hAnsi="Courier New"/>
          <w:sz w:val="18"/>
          <w:szCs w:val="18"/>
          <w:color w:val="auto"/>
        </w:rPr>
      </w:pPr>
      <w:r>
        <w:rPr>
          <w:rFonts w:ascii="Courier New" w:cs="Courier New" w:eastAsia="Courier New" w:hAnsi="Courier New"/>
          <w:sz w:val="18"/>
          <w:szCs w:val="18"/>
          <w:color w:val="auto"/>
        </w:rPr>
        <w:t>Comapany</w:t>
      </w:r>
    </w:p>
    <w:p>
      <w:pPr>
        <w:spacing w:after="0"/>
        <w:rPr>
          <w:rFonts w:ascii="Courier New" w:cs="Courier New" w:eastAsia="Courier New" w:hAnsi="Courier New"/>
          <w:sz w:val="18"/>
          <w:szCs w:val="18"/>
          <w:color w:val="auto"/>
        </w:rPr>
      </w:pPr>
      <w:r>
        <w:rPr>
          <w:rFonts w:ascii="Courier New" w:cs="Courier New" w:eastAsia="Courier New" w:hAnsi="Courier New"/>
          <w:sz w:val="18"/>
          <w:szCs w:val="18"/>
          <w:color w:val="auto"/>
        </w:rPr>
        <w:t>October 10,NameRezolve</w:t>
      </w:r>
    </w:p>
    <w:p>
      <w:pPr>
        <w:sectPr>
          <w:pgSz w:w="11900" w:h="16838" w:orient="portrait"/>
          <w:cols w:equalWidth="0" w:num="1">
            <w:col w:w="10139"/>
          </w:cols>
          <w:pgMar w:left="320" w:top="110" w:right="1440" w:bottom="0" w:gutter="0" w:footer="0" w:header="0"/>
        </w:sectPr>
      </w:pPr>
    </w:p>
    <w:p>
      <w:pPr>
        <w:spacing w:after="0" w:line="60" w:lineRule="exact"/>
        <w:rPr>
          <w:sz w:val="20"/>
          <w:szCs w:val="20"/>
          <w:color w:val="auto"/>
        </w:rPr>
      </w:pPr>
    </w:p>
    <w:p>
      <w:pPr>
        <w:ind w:left="1280"/>
        <w:spacing w:after="0"/>
        <w:rPr>
          <w:sz w:val="20"/>
          <w:szCs w:val="20"/>
          <w:color w:val="auto"/>
        </w:rPr>
      </w:pPr>
      <w:r>
        <w:rPr>
          <w:rFonts w:ascii="Courier New" w:cs="Courier New" w:eastAsia="Courier New" w:hAnsi="Courier New"/>
          <w:sz w:val="16"/>
          <w:szCs w:val="16"/>
          <w:color w:val="auto"/>
        </w:rPr>
        <w:t>2023</w:t>
      </w:r>
    </w:p>
    <w:p>
      <w:pPr>
        <w:spacing w:after="0" w:line="20" w:lineRule="exact"/>
        <w:rPr>
          <w:sz w:val="20"/>
          <w:szCs w:val="20"/>
          <w:color w:val="auto"/>
        </w:rPr>
      </w:pPr>
      <w:r>
        <w:rPr>
          <w:sz w:val="20"/>
          <w:szCs w:val="20"/>
          <w:color w:val="auto"/>
        </w:rPr>
        <w:br w:type="column"/>
      </w:r>
    </w:p>
    <w:p>
      <w:pPr>
        <w:spacing w:after="0" w:line="40" w:lineRule="exact"/>
        <w:rPr>
          <w:sz w:val="20"/>
          <w:szCs w:val="20"/>
          <w:color w:val="auto"/>
        </w:rPr>
      </w:pPr>
    </w:p>
    <w:p>
      <w:pPr>
        <w:spacing w:after="0"/>
        <w:rPr>
          <w:sz w:val="20"/>
          <w:szCs w:val="20"/>
          <w:color w:val="auto"/>
        </w:rPr>
      </w:pPr>
      <w:r>
        <w:rPr>
          <w:rFonts w:ascii="Courier New" w:cs="Courier New" w:eastAsia="Courier New" w:hAnsi="Courier New"/>
          <w:sz w:val="16"/>
          <w:szCs w:val="16"/>
          <w:color w:val="auto"/>
        </w:rPr>
        <w:t>AI Limited</w:t>
      </w:r>
    </w:p>
    <w:p>
      <w:pPr>
        <w:spacing w:after="0" w:line="1" w:lineRule="exact"/>
        <w:rPr>
          <w:sz w:val="20"/>
          <w:szCs w:val="20"/>
          <w:color w:val="auto"/>
        </w:rPr>
      </w:pPr>
    </w:p>
    <w:p>
      <w:pPr>
        <w:sectPr>
          <w:pgSz w:w="11900" w:h="16838" w:orient="portrait"/>
          <w:cols w:equalWidth="0" w:num="2">
            <w:col w:w="1700" w:space="720"/>
            <w:col w:w="7719"/>
          </w:cols>
          <w:pgMar w:left="320" w:top="110" w:right="1440" w:bottom="0" w:gutter="0" w:footer="0" w:header="0"/>
          <w:type w:val="continuous"/>
        </w:sectPr>
      </w:pPr>
    </w:p>
    <w:p>
      <w:pPr>
        <w:spacing w:after="0" w:line="190" w:lineRule="auto"/>
        <w:rPr>
          <w:sz w:val="20"/>
          <w:szCs w:val="20"/>
          <w:color w:val="auto"/>
        </w:rPr>
      </w:pPr>
      <w:r>
        <w:rPr>
          <w:rFonts w:ascii="Courier New" w:cs="Courier New" w:eastAsia="Courier New" w:hAnsi="Courier New"/>
          <w:sz w:val="18"/>
          <w:szCs w:val="18"/>
          <w:color w:val="auto"/>
        </w:rPr>
        <w:t>October</w:t>
      </w:r>
    </w:p>
    <w:p>
      <w:pPr>
        <w:spacing w:after="0" w:line="1" w:lineRule="exact"/>
        <w:rPr>
          <w:sz w:val="20"/>
          <w:szCs w:val="20"/>
          <w:color w:val="auto"/>
        </w:rPr>
      </w:pPr>
    </w:p>
    <w:p>
      <w:pPr>
        <w:spacing w:after="0"/>
        <w:rPr>
          <w:sz w:val="20"/>
          <w:szCs w:val="20"/>
          <w:color w:val="auto"/>
        </w:rPr>
      </w:pPr>
      <w:r>
        <w:rPr>
          <w:rFonts w:ascii="Courier New" w:cs="Courier New" w:eastAsia="Courier New" w:hAnsi="Courier New"/>
          <w:sz w:val="16"/>
          <w:szCs w:val="16"/>
          <w:color w:val="auto"/>
        </w:rPr>
        <w:t>Page 3 10, 2023 Page 3</w:t>
      </w:r>
    </w:p>
    <w:p>
      <w:pPr>
        <w:spacing w:after="0" w:line="21" w:lineRule="exact"/>
        <w:rPr>
          <w:sz w:val="20"/>
          <w:szCs w:val="20"/>
          <w:color w:val="auto"/>
        </w:rPr>
      </w:pPr>
    </w:p>
    <w:p>
      <w:pPr>
        <w:spacing w:after="0"/>
        <w:rPr>
          <w:sz w:val="20"/>
          <w:szCs w:val="20"/>
          <w:color w:val="auto"/>
        </w:rPr>
      </w:pPr>
      <w:r>
        <w:rPr>
          <w:rFonts w:ascii="Courier New" w:cs="Courier New" w:eastAsia="Courier New" w:hAnsi="Courier New"/>
          <w:sz w:val="18"/>
          <w:szCs w:val="18"/>
          <w:color w:val="auto"/>
        </w:rPr>
        <w:t>FirstName LastName</w:t>
      </w:r>
    </w:p>
    <w:p>
      <w:pPr>
        <w:sectPr>
          <w:pgSz w:w="11900" w:h="16838" w:orient="portrait"/>
          <w:cols w:equalWidth="0" w:num="1">
            <w:col w:w="10139"/>
          </w:cols>
          <w:pgMar w:left="320" w:top="110" w:right="1440" w:bottom="0" w:gutter="0" w:footer="0" w:header="0"/>
          <w:type w:val="continuous"/>
        </w:sectPr>
      </w:pPr>
    </w:p>
    <w:p>
      <w:pPr>
        <w:spacing w:after="0" w:line="60" w:lineRule="exact"/>
        <w:rPr>
          <w:sz w:val="20"/>
          <w:szCs w:val="20"/>
          <w:color w:val="auto"/>
        </w:rPr>
      </w:pPr>
    </w:p>
    <w:p>
      <w:pPr>
        <w:ind w:right="4019"/>
        <w:spacing w:after="0" w:line="238" w:lineRule="auto"/>
        <w:rPr>
          <w:sz w:val="20"/>
          <w:szCs w:val="20"/>
          <w:color w:val="auto"/>
        </w:rPr>
      </w:pPr>
      <w:r>
        <w:rPr>
          <w:rFonts w:ascii="Courier New" w:cs="Courier New" w:eastAsia="Courier New" w:hAnsi="Courier New"/>
          <w:sz w:val="18"/>
          <w:szCs w:val="18"/>
          <w:color w:val="auto"/>
        </w:rPr>
        <w:t>Financial Statements - Rezolve AI Limited and Subsidiaries General, page F-3</w:t>
      </w:r>
    </w:p>
    <w:p>
      <w:pPr>
        <w:spacing w:after="0" w:line="109" w:lineRule="exact"/>
        <w:rPr>
          <w:sz w:val="20"/>
          <w:szCs w:val="20"/>
          <w:color w:val="auto"/>
        </w:rPr>
      </w:pPr>
    </w:p>
    <w:p>
      <w:pPr>
        <w:ind w:right="2119" w:firstLine="8"/>
        <w:spacing w:after="0" w:line="257" w:lineRule="auto"/>
        <w:tabs>
          <w:tab w:leader="none" w:pos="948" w:val="left"/>
        </w:tabs>
        <w:numPr>
          <w:ilvl w:val="0"/>
          <w:numId w:val="4"/>
        </w:numPr>
        <w:rPr>
          <w:rFonts w:ascii="Courier New" w:cs="Courier New" w:eastAsia="Courier New" w:hAnsi="Courier New"/>
          <w:sz w:val="18"/>
          <w:szCs w:val="18"/>
          <w:color w:val="auto"/>
        </w:rPr>
      </w:pPr>
      <w:r>
        <w:rPr>
          <w:rFonts w:ascii="Courier New" w:cs="Courier New" w:eastAsia="Courier New" w:hAnsi="Courier New"/>
          <w:sz w:val="18"/>
          <w:szCs w:val="18"/>
          <w:color w:val="auto"/>
        </w:rPr>
        <w:t>We note your response to comments 8 and 10. As previously requested please disclose</w:t>
      </w:r>
    </w:p>
    <w:p>
      <w:pPr>
        <w:ind w:right="2019" w:firstLine="948"/>
        <w:spacing w:after="0" w:line="238" w:lineRule="auto"/>
        <w:rPr>
          <w:rFonts w:ascii="Courier New" w:cs="Courier New" w:eastAsia="Courier New" w:hAnsi="Courier New"/>
          <w:sz w:val="18"/>
          <w:szCs w:val="18"/>
          <w:color w:val="auto"/>
        </w:rPr>
      </w:pPr>
      <w:r>
        <w:rPr>
          <w:rFonts w:ascii="Courier New" w:cs="Courier New" w:eastAsia="Courier New" w:hAnsi="Courier New"/>
          <w:sz w:val="18"/>
          <w:szCs w:val="18"/>
          <w:color w:val="auto"/>
        </w:rPr>
        <w:t>the amounts of related party transactions on the face of the balance sheet, statement of</w:t>
      </w:r>
    </w:p>
    <w:p>
      <w:pPr>
        <w:ind w:right="2019" w:firstLine="948"/>
        <w:spacing w:after="0" w:line="238" w:lineRule="auto"/>
        <w:rPr>
          <w:rFonts w:ascii="Courier New" w:cs="Courier New" w:eastAsia="Courier New" w:hAnsi="Courier New"/>
          <w:sz w:val="18"/>
          <w:szCs w:val="18"/>
          <w:color w:val="auto"/>
        </w:rPr>
      </w:pPr>
      <w:r>
        <w:rPr>
          <w:rFonts w:ascii="Courier New" w:cs="Courier New" w:eastAsia="Courier New" w:hAnsi="Courier New"/>
          <w:sz w:val="18"/>
          <w:szCs w:val="18"/>
          <w:color w:val="auto"/>
        </w:rPr>
        <w:t>comprehensive income, and statement of cash flows in accordance with Rule 4-08(k) of</w:t>
      </w:r>
    </w:p>
    <w:p>
      <w:pPr>
        <w:ind w:left="960"/>
        <w:spacing w:after="0" w:line="238" w:lineRule="auto"/>
        <w:rPr>
          <w:rFonts w:ascii="Courier New" w:cs="Courier New" w:eastAsia="Courier New" w:hAnsi="Courier New"/>
          <w:sz w:val="18"/>
          <w:szCs w:val="18"/>
          <w:color w:val="auto"/>
        </w:rPr>
      </w:pPr>
      <w:r>
        <w:rPr>
          <w:rFonts w:ascii="Courier New" w:cs="Courier New" w:eastAsia="Courier New" w:hAnsi="Courier New"/>
          <w:sz w:val="18"/>
          <w:szCs w:val="18"/>
          <w:color w:val="auto"/>
        </w:rPr>
        <w:t>Regulation S-X.</w:t>
      </w:r>
    </w:p>
    <w:p>
      <w:pPr>
        <w:ind w:right="2119" w:firstLine="8"/>
        <w:spacing w:after="0" w:line="238" w:lineRule="auto"/>
        <w:tabs>
          <w:tab w:leader="none" w:pos="948" w:val="left"/>
        </w:tabs>
        <w:numPr>
          <w:ilvl w:val="0"/>
          <w:numId w:val="4"/>
        </w:numPr>
        <w:rPr>
          <w:rFonts w:ascii="Courier New" w:cs="Courier New" w:eastAsia="Courier New" w:hAnsi="Courier New"/>
          <w:sz w:val="18"/>
          <w:szCs w:val="18"/>
          <w:color w:val="auto"/>
        </w:rPr>
      </w:pPr>
      <w:r>
        <w:rPr>
          <w:rFonts w:ascii="Courier New" w:cs="Courier New" w:eastAsia="Courier New" w:hAnsi="Courier New"/>
          <w:sz w:val="18"/>
          <w:szCs w:val="18"/>
          <w:color w:val="auto"/>
        </w:rPr>
        <w:t>Please update Rezolve AI Limited financial statements and pro forma financial statements</w:t>
      </w:r>
    </w:p>
    <w:p>
      <w:pPr>
        <w:ind w:left="960"/>
        <w:spacing w:after="0"/>
        <w:rPr>
          <w:rFonts w:ascii="Courier New" w:cs="Courier New" w:eastAsia="Courier New" w:hAnsi="Courier New"/>
          <w:sz w:val="18"/>
          <w:szCs w:val="18"/>
          <w:color w:val="auto"/>
        </w:rPr>
      </w:pPr>
      <w:r>
        <w:rPr>
          <w:rFonts w:ascii="Courier New" w:cs="Courier New" w:eastAsia="Courier New" w:hAnsi="Courier New"/>
          <w:sz w:val="18"/>
          <w:szCs w:val="18"/>
          <w:color w:val="auto"/>
        </w:rPr>
        <w:t>for the six months ended June 30, 2023.</w:t>
      </w:r>
    </w:p>
    <w:p>
      <w:pPr>
        <w:sectPr>
          <w:pgSz w:w="11900" w:h="16838" w:orient="portrait"/>
          <w:cols w:equalWidth="0" w:num="1">
            <w:col w:w="10139"/>
          </w:cols>
          <w:pgMar w:left="320" w:top="110" w:right="1440" w:bottom="0" w:gutter="0" w:footer="0" w:header="0"/>
          <w:type w:val="continuous"/>
        </w:sectPr>
      </w:pPr>
    </w:p>
    <w:bookmarkStart w:id="2" w:name="page3"/>
    <w:bookmarkEnd w:id="2"/>
    <w:p>
      <w:pPr>
        <w:ind w:right="2119" w:firstLine="8"/>
        <w:spacing w:after="0" w:line="257" w:lineRule="auto"/>
        <w:tabs>
          <w:tab w:leader="none" w:pos="948" w:val="left"/>
        </w:tabs>
        <w:numPr>
          <w:ilvl w:val="0"/>
          <w:numId w:val="5"/>
        </w:numPr>
        <w:rPr>
          <w:rFonts w:ascii="Courier New" w:cs="Courier New" w:eastAsia="Courier New" w:hAnsi="Courier New"/>
          <w:sz w:val="18"/>
          <w:szCs w:val="18"/>
          <w:color w:val="auto"/>
        </w:rPr>
      </w:pPr>
      <w:r>
        <w:rPr>
          <w:rFonts w:ascii="Courier New" w:cs="Courier New" w:eastAsia="Courier New" w:hAnsi="Courier New"/>
          <w:sz w:val="18"/>
          <w:szCs w:val="18"/>
          <w:color w:val="auto"/>
        </w:rPr>
        <w:t>We note that the Report of Independent Registered Public Accounting Firm on page F-3</w:t>
      </w:r>
    </w:p>
    <w:p>
      <w:pPr>
        <w:ind w:right="1819" w:firstLine="948"/>
        <w:spacing w:after="0" w:line="238" w:lineRule="auto"/>
        <w:rPr>
          <w:rFonts w:ascii="Courier New" w:cs="Courier New" w:eastAsia="Courier New" w:hAnsi="Courier New"/>
          <w:sz w:val="18"/>
          <w:szCs w:val="18"/>
          <w:color w:val="auto"/>
        </w:rPr>
      </w:pPr>
      <w:r>
        <w:rPr>
          <w:rFonts w:ascii="Courier New" w:cs="Courier New" w:eastAsia="Courier New" w:hAnsi="Courier New"/>
          <w:sz w:val="18"/>
          <w:szCs w:val="18"/>
          <w:color w:val="auto"/>
        </w:rPr>
        <w:t>does not include an explanatory paragraph for going concern issues and that disclosure in</w:t>
      </w:r>
    </w:p>
    <w:p>
      <w:pPr>
        <w:ind w:right="1919" w:firstLine="948"/>
        <w:spacing w:after="0" w:line="238" w:lineRule="auto"/>
        <w:rPr>
          <w:rFonts w:ascii="Courier New" w:cs="Courier New" w:eastAsia="Courier New" w:hAnsi="Courier New"/>
          <w:sz w:val="18"/>
          <w:szCs w:val="18"/>
          <w:color w:val="auto"/>
        </w:rPr>
      </w:pPr>
      <w:r>
        <w:rPr>
          <w:rFonts w:ascii="Courier New" w:cs="Courier New" w:eastAsia="Courier New" w:hAnsi="Courier New"/>
          <w:sz w:val="18"/>
          <w:szCs w:val="18"/>
          <w:color w:val="auto"/>
        </w:rPr>
        <w:t>Note 2.4 Liquidity on page F-12 states that "management's plans serve to alleviate such</w:t>
      </w:r>
    </w:p>
    <w:p>
      <w:pPr>
        <w:ind w:right="1919" w:firstLine="948"/>
        <w:spacing w:after="0" w:line="238" w:lineRule="auto"/>
        <w:rPr>
          <w:rFonts w:ascii="Courier New" w:cs="Courier New" w:eastAsia="Courier New" w:hAnsi="Courier New"/>
          <w:sz w:val="18"/>
          <w:szCs w:val="18"/>
          <w:color w:val="auto"/>
        </w:rPr>
      </w:pPr>
      <w:r>
        <w:rPr>
          <w:rFonts w:ascii="Courier New" w:cs="Courier New" w:eastAsia="Courier New" w:hAnsi="Courier New"/>
          <w:sz w:val="18"/>
          <w:szCs w:val="18"/>
          <w:color w:val="auto"/>
        </w:rPr>
        <w:t>doubt" despite a working capital deficit and operating losses for the periods presented.</w:t>
      </w:r>
    </w:p>
    <w:p>
      <w:pPr>
        <w:ind w:right="2339" w:firstLine="948"/>
        <w:spacing w:after="0" w:line="238" w:lineRule="auto"/>
        <w:rPr>
          <w:rFonts w:ascii="Courier New" w:cs="Courier New" w:eastAsia="Courier New" w:hAnsi="Courier New"/>
          <w:sz w:val="18"/>
          <w:szCs w:val="18"/>
          <w:color w:val="auto"/>
        </w:rPr>
      </w:pPr>
      <w:r>
        <w:rPr>
          <w:rFonts w:ascii="Courier New" w:cs="Courier New" w:eastAsia="Courier New" w:hAnsi="Courier New"/>
          <w:sz w:val="18"/>
          <w:szCs w:val="18"/>
          <w:color w:val="auto"/>
        </w:rPr>
        <w:t>Please expand the disclosure on page F-12 to describe, in detail, management's plans and</w:t>
      </w:r>
    </w:p>
    <w:p>
      <w:pPr>
        <w:ind w:right="1919" w:firstLine="948"/>
        <w:spacing w:after="0" w:line="238" w:lineRule="auto"/>
        <w:rPr>
          <w:rFonts w:ascii="Courier New" w:cs="Courier New" w:eastAsia="Courier New" w:hAnsi="Courier New"/>
          <w:sz w:val="18"/>
          <w:szCs w:val="18"/>
          <w:color w:val="auto"/>
        </w:rPr>
      </w:pPr>
      <w:r>
        <w:rPr>
          <w:rFonts w:ascii="Courier New" w:cs="Courier New" w:eastAsia="Courier New" w:hAnsi="Courier New"/>
          <w:sz w:val="18"/>
          <w:szCs w:val="18"/>
          <w:color w:val="auto"/>
        </w:rPr>
        <w:t>have your accounting firm tell us the basis for their conclusion that the factors noted do</w:t>
      </w:r>
    </w:p>
    <w:p>
      <w:pPr>
        <w:ind w:left="960"/>
        <w:spacing w:after="0"/>
        <w:rPr>
          <w:rFonts w:ascii="Courier New" w:cs="Courier New" w:eastAsia="Courier New" w:hAnsi="Courier New"/>
          <w:sz w:val="18"/>
          <w:szCs w:val="18"/>
          <w:color w:val="auto"/>
        </w:rPr>
      </w:pPr>
      <w:r>
        <w:rPr>
          <w:rFonts w:ascii="Courier New" w:cs="Courier New" w:eastAsia="Courier New" w:hAnsi="Courier New"/>
          <w:sz w:val="16"/>
          <w:szCs w:val="16"/>
          <w:color w:val="auto"/>
        </w:rPr>
        <w:t>not raise substantial doubt about your ability to continue as a going</w:t>
      </w:r>
    </w:p>
    <w:p>
      <w:pPr>
        <w:spacing w:after="0" w:line="21" w:lineRule="exact"/>
        <w:rPr>
          <w:rFonts w:ascii="Courier New" w:cs="Courier New" w:eastAsia="Courier New" w:hAnsi="Courier New"/>
          <w:sz w:val="18"/>
          <w:szCs w:val="18"/>
          <w:color w:val="auto"/>
        </w:rPr>
      </w:pPr>
    </w:p>
    <w:p>
      <w:pPr>
        <w:spacing w:after="0" w:line="238" w:lineRule="auto"/>
        <w:rPr>
          <w:rFonts w:ascii="Courier New" w:cs="Courier New" w:eastAsia="Courier New" w:hAnsi="Courier New"/>
          <w:sz w:val="18"/>
          <w:szCs w:val="18"/>
          <w:color w:val="auto"/>
        </w:rPr>
      </w:pPr>
      <w:r>
        <w:rPr>
          <w:rFonts w:ascii="Courier New" w:cs="Courier New" w:eastAsia="Courier New" w:hAnsi="Courier New"/>
          <w:sz w:val="18"/>
          <w:szCs w:val="18"/>
          <w:color w:val="auto"/>
        </w:rPr>
        <w:t>concern.</w:t>
      </w:r>
    </w:p>
    <w:p>
      <w:pPr>
        <w:ind w:right="2119" w:firstLine="8"/>
        <w:spacing w:after="0" w:line="238" w:lineRule="auto"/>
        <w:tabs>
          <w:tab w:leader="none" w:pos="948" w:val="left"/>
        </w:tabs>
        <w:numPr>
          <w:ilvl w:val="0"/>
          <w:numId w:val="5"/>
        </w:numPr>
        <w:rPr>
          <w:rFonts w:ascii="Courier New" w:cs="Courier New" w:eastAsia="Courier New" w:hAnsi="Courier New"/>
          <w:sz w:val="18"/>
          <w:szCs w:val="18"/>
          <w:color w:val="auto"/>
        </w:rPr>
      </w:pPr>
      <w:r>
        <w:rPr>
          <w:rFonts w:ascii="Courier New" w:cs="Courier New" w:eastAsia="Courier New" w:hAnsi="Courier New"/>
          <w:sz w:val="18"/>
          <w:szCs w:val="18"/>
          <w:color w:val="auto"/>
        </w:rPr>
        <w:t>Please tell us whether the filed carve-out financial statements are for Resolve Limited or</w:t>
      </w:r>
    </w:p>
    <w:p>
      <w:pPr>
        <w:ind w:right="2339" w:firstLine="948"/>
        <w:spacing w:after="0" w:line="238" w:lineRule="auto"/>
        <w:rPr>
          <w:rFonts w:ascii="Courier New" w:cs="Courier New" w:eastAsia="Courier New" w:hAnsi="Courier New"/>
          <w:sz w:val="18"/>
          <w:szCs w:val="18"/>
          <w:color w:val="auto"/>
        </w:rPr>
      </w:pPr>
      <w:r>
        <w:rPr>
          <w:rFonts w:ascii="Courier New" w:cs="Courier New" w:eastAsia="Courier New" w:hAnsi="Courier New"/>
          <w:sz w:val="18"/>
          <w:szCs w:val="18"/>
          <w:color w:val="auto"/>
        </w:rPr>
        <w:t>Resolve AI Limited. It appears from disclosure on page 6 that the reorganization that will</w:t>
      </w:r>
    </w:p>
    <w:p>
      <w:pPr>
        <w:ind w:right="2019" w:firstLine="948"/>
        <w:spacing w:after="0" w:line="238" w:lineRule="auto"/>
        <w:rPr>
          <w:rFonts w:ascii="Courier New" w:cs="Courier New" w:eastAsia="Courier New" w:hAnsi="Courier New"/>
          <w:sz w:val="18"/>
          <w:szCs w:val="18"/>
          <w:color w:val="auto"/>
        </w:rPr>
      </w:pPr>
      <w:r>
        <w:rPr>
          <w:rFonts w:ascii="Courier New" w:cs="Courier New" w:eastAsia="Courier New" w:hAnsi="Courier New"/>
          <w:sz w:val="18"/>
          <w:szCs w:val="18"/>
          <w:color w:val="auto"/>
        </w:rPr>
        <w:t>result in Resolve AI Limited having the interests in Resolve Limited s subsidiary has not</w:t>
      </w:r>
    </w:p>
    <w:p>
      <w:pPr>
        <w:ind w:right="2339" w:firstLine="948"/>
        <w:spacing w:after="0" w:line="238" w:lineRule="auto"/>
        <w:rPr>
          <w:rFonts w:ascii="Courier New" w:cs="Courier New" w:eastAsia="Courier New" w:hAnsi="Courier New"/>
          <w:sz w:val="18"/>
          <w:szCs w:val="18"/>
          <w:color w:val="auto"/>
        </w:rPr>
      </w:pPr>
      <w:r>
        <w:rPr>
          <w:rFonts w:ascii="Courier New" w:cs="Courier New" w:eastAsia="Courier New" w:hAnsi="Courier New"/>
          <w:sz w:val="18"/>
          <w:szCs w:val="18"/>
          <w:color w:val="auto"/>
        </w:rPr>
        <w:t>yet occurred. If that is the case, then please recharacterize the entity for whose financial</w:t>
      </w:r>
    </w:p>
    <w:p>
      <w:pPr>
        <w:ind w:right="2339" w:firstLine="948"/>
        <w:spacing w:after="0" w:line="238" w:lineRule="auto"/>
        <w:rPr>
          <w:rFonts w:ascii="Courier New" w:cs="Courier New" w:eastAsia="Courier New" w:hAnsi="Courier New"/>
          <w:sz w:val="18"/>
          <w:szCs w:val="18"/>
          <w:color w:val="auto"/>
        </w:rPr>
      </w:pPr>
      <w:r>
        <w:rPr>
          <w:rFonts w:ascii="Courier New" w:cs="Courier New" w:eastAsia="Courier New" w:hAnsi="Courier New"/>
          <w:sz w:val="18"/>
          <w:szCs w:val="18"/>
          <w:color w:val="auto"/>
        </w:rPr>
        <w:t>statements are provided and file the financial statements for the issuer, Rezolve AI</w:t>
      </w:r>
    </w:p>
    <w:p>
      <w:pPr>
        <w:ind w:left="960"/>
        <w:spacing w:after="0" w:line="238" w:lineRule="auto"/>
        <w:rPr>
          <w:rFonts w:ascii="Courier New" w:cs="Courier New" w:eastAsia="Courier New" w:hAnsi="Courier New"/>
          <w:sz w:val="18"/>
          <w:szCs w:val="18"/>
          <w:color w:val="auto"/>
        </w:rPr>
      </w:pPr>
      <w:r>
        <w:rPr>
          <w:rFonts w:ascii="Courier New" w:cs="Courier New" w:eastAsia="Courier New" w:hAnsi="Courier New"/>
          <w:sz w:val="18"/>
          <w:szCs w:val="18"/>
          <w:color w:val="auto"/>
        </w:rPr>
        <w:t>Limited.</w:t>
      </w:r>
    </w:p>
    <w:p>
      <w:pPr>
        <w:ind w:right="2019"/>
        <w:spacing w:after="0" w:line="309" w:lineRule="auto"/>
        <w:rPr>
          <w:rFonts w:ascii="Courier New" w:cs="Courier New" w:eastAsia="Courier New" w:hAnsi="Courier New"/>
          <w:sz w:val="18"/>
          <w:szCs w:val="18"/>
          <w:color w:val="auto"/>
        </w:rPr>
      </w:pPr>
      <w:r>
        <w:rPr>
          <w:rFonts w:ascii="Courier New" w:cs="Courier New" w:eastAsia="Courier New" w:hAnsi="Courier New"/>
          <w:sz w:val="18"/>
          <w:szCs w:val="18"/>
          <w:color w:val="auto"/>
        </w:rPr>
        <w:t>Note 2. Basis of presentation and summary of significant accounting policies, page F-10</w:t>
      </w:r>
    </w:p>
    <w:p>
      <w:pPr>
        <w:spacing w:after="0" w:line="50" w:lineRule="exact"/>
        <w:rPr>
          <w:rFonts w:ascii="Courier New" w:cs="Courier New" w:eastAsia="Courier New" w:hAnsi="Courier New"/>
          <w:sz w:val="18"/>
          <w:szCs w:val="18"/>
          <w:color w:val="auto"/>
        </w:rPr>
      </w:pPr>
    </w:p>
    <w:p>
      <w:pPr>
        <w:ind w:right="2019" w:firstLine="8"/>
        <w:spacing w:after="0" w:line="257" w:lineRule="auto"/>
        <w:tabs>
          <w:tab w:leader="none" w:pos="948" w:val="left"/>
        </w:tabs>
        <w:numPr>
          <w:ilvl w:val="0"/>
          <w:numId w:val="5"/>
        </w:numPr>
        <w:rPr>
          <w:rFonts w:ascii="Courier New" w:cs="Courier New" w:eastAsia="Courier New" w:hAnsi="Courier New"/>
          <w:sz w:val="18"/>
          <w:szCs w:val="18"/>
          <w:color w:val="auto"/>
        </w:rPr>
      </w:pPr>
      <w:r>
        <w:rPr>
          <w:rFonts w:ascii="Courier New" w:cs="Courier New" w:eastAsia="Courier New" w:hAnsi="Courier New"/>
          <w:sz w:val="18"/>
          <w:szCs w:val="18"/>
          <w:color w:val="auto"/>
        </w:rPr>
        <w:t>Refer to your accounting policy for credit and foreign currency risk on pages F-17 and F-</w:t>
      </w:r>
    </w:p>
    <w:p>
      <w:pPr>
        <w:ind w:right="1819" w:firstLine="948"/>
        <w:spacing w:after="0" w:line="238" w:lineRule="auto"/>
        <w:rPr>
          <w:rFonts w:ascii="Courier New" w:cs="Courier New" w:eastAsia="Courier New" w:hAnsi="Courier New"/>
          <w:sz w:val="18"/>
          <w:szCs w:val="18"/>
          <w:color w:val="auto"/>
        </w:rPr>
      </w:pPr>
      <w:r>
        <w:rPr>
          <w:rFonts w:ascii="Courier New" w:cs="Courier New" w:eastAsia="Courier New" w:hAnsi="Courier New"/>
          <w:sz w:val="18"/>
          <w:szCs w:val="18"/>
          <w:color w:val="auto"/>
        </w:rPr>
        <w:t>18 and your responses to comments 11-14. Please expand your disclosure to include a</w:t>
      </w:r>
    </w:p>
    <w:p>
      <w:pPr>
        <w:ind w:right="2019" w:firstLine="948"/>
        <w:spacing w:after="0" w:line="238" w:lineRule="auto"/>
        <w:rPr>
          <w:rFonts w:ascii="Courier New" w:cs="Courier New" w:eastAsia="Courier New" w:hAnsi="Courier New"/>
          <w:sz w:val="18"/>
          <w:szCs w:val="18"/>
          <w:color w:val="auto"/>
        </w:rPr>
      </w:pPr>
      <w:r>
        <w:rPr>
          <w:rFonts w:ascii="Courier New" w:cs="Courier New" w:eastAsia="Courier New" w:hAnsi="Courier New"/>
          <w:sz w:val="18"/>
          <w:szCs w:val="18"/>
          <w:color w:val="auto"/>
        </w:rPr>
        <w:t>fullsome description of the risks and uncertainties inherent in your significant reliance on</w:t>
      </w:r>
    </w:p>
    <w:p>
      <w:pPr>
        <w:ind w:right="1819" w:firstLine="948"/>
        <w:spacing w:after="0" w:line="238" w:lineRule="auto"/>
        <w:rPr>
          <w:rFonts w:ascii="Courier New" w:cs="Courier New" w:eastAsia="Courier New" w:hAnsi="Courier New"/>
          <w:sz w:val="18"/>
          <w:szCs w:val="18"/>
          <w:color w:val="auto"/>
        </w:rPr>
      </w:pPr>
      <w:r>
        <w:rPr>
          <w:rFonts w:ascii="Courier New" w:cs="Courier New" w:eastAsia="Courier New" w:hAnsi="Courier New"/>
          <w:sz w:val="18"/>
          <w:szCs w:val="18"/>
          <w:color w:val="auto"/>
        </w:rPr>
        <w:t>the Radio Group as your sole provider of air time inventory during the periods presented.</w:t>
      </w:r>
    </w:p>
    <w:p>
      <w:pPr>
        <w:ind w:right="2019" w:firstLine="948"/>
        <w:spacing w:after="0" w:line="238" w:lineRule="auto"/>
        <w:rPr>
          <w:rFonts w:ascii="Courier New" w:cs="Courier New" w:eastAsia="Courier New" w:hAnsi="Courier New"/>
          <w:sz w:val="18"/>
          <w:szCs w:val="18"/>
          <w:color w:val="auto"/>
        </w:rPr>
      </w:pPr>
      <w:r>
        <w:rPr>
          <w:rFonts w:ascii="Courier New" w:cs="Courier New" w:eastAsia="Courier New" w:hAnsi="Courier New"/>
          <w:sz w:val="18"/>
          <w:szCs w:val="18"/>
          <w:color w:val="auto"/>
        </w:rPr>
        <w:t>The various terms and relationship described in response to comments 11-14 should be</w:t>
      </w:r>
    </w:p>
    <w:p>
      <w:pPr>
        <w:ind w:right="2239" w:firstLine="948"/>
        <w:spacing w:after="0" w:line="238" w:lineRule="auto"/>
        <w:rPr>
          <w:rFonts w:ascii="Courier New" w:cs="Courier New" w:eastAsia="Courier New" w:hAnsi="Courier New"/>
          <w:sz w:val="18"/>
          <w:szCs w:val="18"/>
          <w:color w:val="auto"/>
        </w:rPr>
      </w:pPr>
      <w:r>
        <w:rPr>
          <w:rFonts w:ascii="Courier New" w:cs="Courier New" w:eastAsia="Courier New" w:hAnsi="Courier New"/>
          <w:sz w:val="18"/>
          <w:szCs w:val="18"/>
          <w:color w:val="auto"/>
        </w:rPr>
        <w:t>included in your disclosure to ensure a clear understanding of the risk to your revenues in</w:t>
      </w:r>
    </w:p>
    <w:p>
      <w:pPr>
        <w:ind w:right="2119" w:firstLine="948"/>
        <w:spacing w:after="0" w:line="238" w:lineRule="auto"/>
        <w:rPr>
          <w:rFonts w:ascii="Courier New" w:cs="Courier New" w:eastAsia="Courier New" w:hAnsi="Courier New"/>
          <w:sz w:val="18"/>
          <w:szCs w:val="18"/>
          <w:color w:val="auto"/>
        </w:rPr>
      </w:pPr>
      <w:r>
        <w:rPr>
          <w:rFonts w:ascii="Courier New" w:cs="Courier New" w:eastAsia="Courier New" w:hAnsi="Courier New"/>
          <w:sz w:val="18"/>
          <w:szCs w:val="18"/>
          <w:color w:val="auto"/>
        </w:rPr>
        <w:t>the event that the Radio Group air time is not available for you to sell to your customers in</w:t>
      </w:r>
    </w:p>
    <w:p>
      <w:pPr>
        <w:ind w:right="4659" w:firstLine="948"/>
        <w:spacing w:after="0" w:line="377" w:lineRule="auto"/>
        <w:rPr>
          <w:rFonts w:ascii="Courier New" w:cs="Courier New" w:eastAsia="Courier New" w:hAnsi="Courier New"/>
          <w:sz w:val="18"/>
          <w:szCs w:val="18"/>
          <w:color w:val="auto"/>
        </w:rPr>
      </w:pPr>
      <w:r>
        <w:rPr>
          <w:rFonts w:ascii="Courier New" w:cs="Courier New" w:eastAsia="Courier New" w:hAnsi="Courier New"/>
          <w:sz w:val="16"/>
          <w:szCs w:val="16"/>
          <w:color w:val="auto"/>
        </w:rPr>
        <w:t>the future. Please expand MD&amp;A accordingly. Note 15. Business Combinations, page F-31</w:t>
      </w:r>
    </w:p>
    <w:p>
      <w:pPr>
        <w:spacing w:after="0" w:line="6" w:lineRule="exact"/>
        <w:rPr>
          <w:rFonts w:ascii="Courier New" w:cs="Courier New" w:eastAsia="Courier New" w:hAnsi="Courier New"/>
          <w:sz w:val="18"/>
          <w:szCs w:val="18"/>
          <w:color w:val="auto"/>
        </w:rPr>
      </w:pPr>
    </w:p>
    <w:p>
      <w:pPr>
        <w:ind w:right="2019" w:firstLine="8"/>
        <w:spacing w:after="0" w:line="257" w:lineRule="auto"/>
        <w:tabs>
          <w:tab w:leader="none" w:pos="948" w:val="left"/>
        </w:tabs>
        <w:numPr>
          <w:ilvl w:val="0"/>
          <w:numId w:val="5"/>
        </w:numPr>
        <w:rPr>
          <w:rFonts w:ascii="Courier New" w:cs="Courier New" w:eastAsia="Courier New" w:hAnsi="Courier New"/>
          <w:sz w:val="18"/>
          <w:szCs w:val="18"/>
          <w:color w:val="auto"/>
        </w:rPr>
      </w:pPr>
      <w:r>
        <w:rPr>
          <w:rFonts w:ascii="Courier New" w:cs="Courier New" w:eastAsia="Courier New" w:hAnsi="Courier New"/>
          <w:sz w:val="18"/>
          <w:szCs w:val="18"/>
          <w:color w:val="auto"/>
        </w:rPr>
        <w:t>We note from your response to comment 17 the reasons why Peter Vesco was provided</w:t>
      </w:r>
    </w:p>
    <w:p>
      <w:pPr>
        <w:ind w:right="1819" w:firstLine="948"/>
        <w:spacing w:after="0" w:line="238" w:lineRule="auto"/>
        <w:rPr>
          <w:rFonts w:ascii="Courier New" w:cs="Courier New" w:eastAsia="Courier New" w:hAnsi="Courier New"/>
          <w:sz w:val="18"/>
          <w:szCs w:val="18"/>
          <w:color w:val="auto"/>
        </w:rPr>
      </w:pPr>
      <w:r>
        <w:rPr>
          <w:rFonts w:ascii="Courier New" w:cs="Courier New" w:eastAsia="Courier New" w:hAnsi="Courier New"/>
          <w:sz w:val="18"/>
          <w:szCs w:val="18"/>
          <w:color w:val="auto"/>
        </w:rPr>
        <w:t>Power of Attorney. Please tell us why Rezolve Limited was not provided with power of</w:t>
      </w:r>
    </w:p>
    <w:p>
      <w:pPr>
        <w:ind w:right="2659" w:firstLine="948"/>
        <w:spacing w:after="0" w:line="238" w:lineRule="auto"/>
        <w:rPr>
          <w:rFonts w:ascii="Courier New" w:cs="Courier New" w:eastAsia="Courier New" w:hAnsi="Courier New"/>
          <w:sz w:val="18"/>
          <w:szCs w:val="18"/>
          <w:color w:val="auto"/>
        </w:rPr>
      </w:pPr>
      <w:r>
        <w:rPr>
          <w:rFonts w:ascii="Courier New" w:cs="Courier New" w:eastAsia="Courier New" w:hAnsi="Courier New"/>
          <w:sz w:val="18"/>
          <w:szCs w:val="18"/>
          <w:color w:val="auto"/>
        </w:rPr>
        <w:t>attorney. In addition, tell us whether Rezolve Limited has the unilateral ability to replace</w:t>
      </w:r>
    </w:p>
    <w:p>
      <w:pPr>
        <w:ind w:right="2339" w:firstLine="948"/>
        <w:spacing w:after="0" w:line="238" w:lineRule="auto"/>
        <w:rPr>
          <w:rFonts w:ascii="Courier New" w:cs="Courier New" w:eastAsia="Courier New" w:hAnsi="Courier New"/>
          <w:sz w:val="18"/>
          <w:szCs w:val="18"/>
          <w:color w:val="auto"/>
        </w:rPr>
      </w:pPr>
      <w:r>
        <w:rPr>
          <w:rFonts w:ascii="Courier New" w:cs="Courier New" w:eastAsia="Courier New" w:hAnsi="Courier New"/>
          <w:sz w:val="18"/>
          <w:szCs w:val="18"/>
          <w:color w:val="auto"/>
        </w:rPr>
        <w:t>Peter Vesco with another individual as the holder of the power of attorney, and if so, the</w:t>
      </w:r>
    </w:p>
    <w:p>
      <w:pPr>
        <w:ind w:left="120" w:right="6659" w:firstLine="842"/>
        <w:spacing w:after="0" w:line="238" w:lineRule="auto"/>
        <w:rPr>
          <w:rFonts w:ascii="Courier New" w:cs="Courier New" w:eastAsia="Courier New" w:hAnsi="Courier New"/>
          <w:sz w:val="18"/>
          <w:szCs w:val="18"/>
          <w:color w:val="auto"/>
        </w:rPr>
      </w:pPr>
      <w:r>
        <w:rPr>
          <w:rFonts w:ascii="Courier New" w:cs="Courier New" w:eastAsia="Courier New" w:hAnsi="Courier New"/>
          <w:sz w:val="18"/>
          <w:szCs w:val="18"/>
          <w:color w:val="auto"/>
        </w:rPr>
        <w:t>basis for your response. Stephen Herbert</w:t>
      </w:r>
    </w:p>
    <w:p>
      <w:pPr>
        <w:ind w:right="8239"/>
        <w:spacing w:after="0" w:line="238" w:lineRule="auto"/>
        <w:rPr>
          <w:rFonts w:ascii="Courier New" w:cs="Courier New" w:eastAsia="Courier New" w:hAnsi="Courier New"/>
          <w:sz w:val="18"/>
          <w:szCs w:val="18"/>
          <w:color w:val="auto"/>
        </w:rPr>
      </w:pPr>
      <w:r>
        <w:rPr>
          <w:rFonts w:ascii="Courier New" w:cs="Courier New" w:eastAsia="Courier New" w:hAnsi="Courier New"/>
          <w:sz w:val="18"/>
          <w:szCs w:val="18"/>
          <w:color w:val="auto"/>
        </w:rPr>
        <w:t>Rezolve AI Limited October 10, 2023 Page 4</w:t>
      </w:r>
    </w:p>
    <w:p>
      <w:pPr>
        <w:ind w:right="1819" w:firstLine="8"/>
        <w:spacing w:after="0" w:line="238" w:lineRule="auto"/>
        <w:tabs>
          <w:tab w:leader="none" w:pos="632" w:val="left"/>
        </w:tabs>
        <w:numPr>
          <w:ilvl w:val="0"/>
          <w:numId w:val="5"/>
        </w:numPr>
        <w:rPr>
          <w:rFonts w:ascii="Courier New" w:cs="Courier New" w:eastAsia="Courier New" w:hAnsi="Courier New"/>
          <w:sz w:val="18"/>
          <w:szCs w:val="18"/>
          <w:color w:val="auto"/>
        </w:rPr>
      </w:pPr>
      <w:r>
        <w:rPr>
          <w:rFonts w:ascii="Courier New" w:cs="Courier New" w:eastAsia="Courier New" w:hAnsi="Courier New"/>
          <w:sz w:val="18"/>
          <w:szCs w:val="18"/>
          <w:color w:val="auto"/>
        </w:rPr>
        <w:t>We note the power of attorney agreement you provided to us under Rule 83. Please tell us</w:t>
      </w:r>
    </w:p>
    <w:p>
      <w:pPr>
        <w:ind w:right="1819" w:firstLine="632"/>
        <w:spacing w:after="0" w:line="238" w:lineRule="auto"/>
        <w:rPr>
          <w:rFonts w:ascii="Courier New" w:cs="Courier New" w:eastAsia="Courier New" w:hAnsi="Courier New"/>
          <w:sz w:val="18"/>
          <w:szCs w:val="18"/>
          <w:color w:val="auto"/>
        </w:rPr>
      </w:pPr>
      <w:r>
        <w:rPr>
          <w:rFonts w:ascii="Courier New" w:cs="Courier New" w:eastAsia="Courier New" w:hAnsi="Courier New"/>
          <w:sz w:val="18"/>
          <w:szCs w:val="18"/>
          <w:color w:val="auto"/>
        </w:rPr>
        <w:t>if this is the agreement relied upon in order to assert that you have the power to make the</w:t>
      </w:r>
    </w:p>
    <w:p>
      <w:pPr>
        <w:ind w:right="1819" w:firstLine="632"/>
        <w:spacing w:after="0" w:line="238" w:lineRule="auto"/>
        <w:rPr>
          <w:rFonts w:ascii="Courier New" w:cs="Courier New" w:eastAsia="Courier New" w:hAnsi="Courier New"/>
          <w:sz w:val="18"/>
          <w:szCs w:val="18"/>
          <w:color w:val="auto"/>
        </w:rPr>
      </w:pPr>
      <w:r>
        <w:rPr>
          <w:rFonts w:ascii="Courier New" w:cs="Courier New" w:eastAsia="Courier New" w:hAnsi="Courier New"/>
          <w:sz w:val="18"/>
          <w:szCs w:val="18"/>
          <w:color w:val="auto"/>
        </w:rPr>
        <w:t>decisions that most significantly impact the economic performance of ANY. If not, please</w:t>
      </w:r>
    </w:p>
    <w:p>
      <w:pPr>
        <w:ind w:right="2239" w:firstLine="632"/>
        <w:spacing w:after="0" w:line="238" w:lineRule="auto"/>
        <w:rPr>
          <w:rFonts w:ascii="Courier New" w:cs="Courier New" w:eastAsia="Courier New" w:hAnsi="Courier New"/>
          <w:sz w:val="18"/>
          <w:szCs w:val="18"/>
          <w:color w:val="auto"/>
        </w:rPr>
      </w:pPr>
      <w:r>
        <w:rPr>
          <w:rFonts w:ascii="Courier New" w:cs="Courier New" w:eastAsia="Courier New" w:hAnsi="Courier New"/>
          <w:sz w:val="18"/>
          <w:szCs w:val="18"/>
          <w:color w:val="auto"/>
        </w:rPr>
        <w:t>provide us with such agreement or tell us how the submitted agreement provides you with</w:t>
      </w:r>
    </w:p>
    <w:p>
      <w:pPr>
        <w:ind w:left="640"/>
        <w:spacing w:after="0" w:line="238" w:lineRule="auto"/>
        <w:rPr>
          <w:rFonts w:ascii="Courier New" w:cs="Courier New" w:eastAsia="Courier New" w:hAnsi="Courier New"/>
          <w:sz w:val="18"/>
          <w:szCs w:val="18"/>
          <w:color w:val="auto"/>
        </w:rPr>
      </w:pPr>
      <w:r>
        <w:rPr>
          <w:rFonts w:ascii="Courier New" w:cs="Courier New" w:eastAsia="Courier New" w:hAnsi="Courier New"/>
          <w:sz w:val="18"/>
          <w:szCs w:val="18"/>
          <w:color w:val="auto"/>
        </w:rPr>
        <w:t>such power.</w:t>
      </w:r>
    </w:p>
    <w:p>
      <w:pPr>
        <w:ind w:left="640" w:hanging="632"/>
        <w:spacing w:after="0"/>
        <w:tabs>
          <w:tab w:leader="none" w:pos="640" w:val="left"/>
        </w:tabs>
        <w:numPr>
          <w:ilvl w:val="0"/>
          <w:numId w:val="5"/>
        </w:numPr>
        <w:rPr>
          <w:rFonts w:ascii="Courier New" w:cs="Courier New" w:eastAsia="Courier New" w:hAnsi="Courier New"/>
          <w:sz w:val="16"/>
          <w:szCs w:val="16"/>
          <w:color w:val="auto"/>
        </w:rPr>
      </w:pPr>
      <w:r>
        <w:rPr>
          <w:rFonts w:ascii="Courier New" w:cs="Courier New" w:eastAsia="Courier New" w:hAnsi="Courier New"/>
          <w:sz w:val="16"/>
          <w:szCs w:val="16"/>
          <w:color w:val="auto"/>
        </w:rPr>
        <w:t>We note from your response to comment 18 regarding how the decisions that</w:t>
      </w:r>
    </w:p>
    <w:p>
      <w:pPr>
        <w:spacing w:after="0" w:line="21" w:lineRule="exact"/>
        <w:rPr>
          <w:rFonts w:ascii="Courier New" w:cs="Courier New" w:eastAsia="Courier New" w:hAnsi="Courier New"/>
          <w:sz w:val="16"/>
          <w:szCs w:val="16"/>
          <w:color w:val="auto"/>
        </w:rPr>
      </w:pPr>
    </w:p>
    <w:p>
      <w:pPr>
        <w:spacing w:after="0" w:line="238" w:lineRule="auto"/>
        <w:rPr>
          <w:rFonts w:ascii="Courier New" w:cs="Courier New" w:eastAsia="Courier New" w:hAnsi="Courier New"/>
          <w:sz w:val="16"/>
          <w:szCs w:val="16"/>
          <w:color w:val="auto"/>
        </w:rPr>
      </w:pPr>
      <w:r>
        <w:rPr>
          <w:rFonts w:ascii="Courier New" w:cs="Courier New" w:eastAsia="Courier New" w:hAnsi="Courier New"/>
          <w:sz w:val="18"/>
          <w:szCs w:val="18"/>
          <w:color w:val="auto"/>
        </w:rPr>
        <w:t>most</w:t>
      </w:r>
    </w:p>
    <w:p>
      <w:pPr>
        <w:ind w:right="2239" w:firstLine="632"/>
        <w:spacing w:after="0" w:line="238" w:lineRule="auto"/>
        <w:rPr>
          <w:rFonts w:ascii="Courier New" w:cs="Courier New" w:eastAsia="Courier New" w:hAnsi="Courier New"/>
          <w:sz w:val="16"/>
          <w:szCs w:val="16"/>
          <w:color w:val="auto"/>
        </w:rPr>
      </w:pPr>
      <w:r>
        <w:rPr>
          <w:rFonts w:ascii="Courier New" w:cs="Courier New" w:eastAsia="Courier New" w:hAnsi="Courier New"/>
          <w:sz w:val="18"/>
          <w:szCs w:val="18"/>
          <w:color w:val="auto"/>
        </w:rPr>
        <w:t>significantly affect the economic performance of ANY are made. Please tell us whether</w:t>
      </w:r>
    </w:p>
    <w:tbl>
      <w:tblPr>
        <w:tblLayout w:type="fixed"/>
        <w:tblInd w:w="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171"/>
        </w:trPr>
        <w:tc>
          <w:tcPr>
            <w:tcW w:w="1000" w:type="dxa"/>
            <w:vAlign w:val="bottom"/>
          </w:tcPr>
          <w:p>
            <w:pPr>
              <w:ind w:left="640"/>
              <w:spacing w:after="0" w:line="171" w:lineRule="exact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8"/>
                <w:szCs w:val="18"/>
                <w:color w:val="auto"/>
              </w:rPr>
              <w:t>ANY</w:t>
            </w:r>
          </w:p>
        </w:tc>
        <w:tc>
          <w:tcPr>
            <w:tcW w:w="7320" w:type="dxa"/>
            <w:vAlign w:val="bottom"/>
            <w:gridSpan w:val="2"/>
          </w:tcPr>
          <w:p>
            <w:pPr>
              <w:ind w:left="280"/>
              <w:spacing w:after="0" w:line="171" w:lineRule="exact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8"/>
                <w:szCs w:val="18"/>
                <w:color w:val="auto"/>
              </w:rPr>
              <w:t>s management has the right to participate in the significant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02"/>
        </w:trPr>
        <w:tc>
          <w:tcPr>
            <w:tcW w:w="1000" w:type="dxa"/>
            <w:vAlign w:val="bottom"/>
          </w:tcPr>
          <w:p>
            <w:pPr>
              <w:spacing w:after="0" w:line="203" w:lineRule="exact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8"/>
                <w:szCs w:val="18"/>
                <w:color w:val="auto"/>
              </w:rPr>
              <w:t>decisions</w:t>
            </w:r>
          </w:p>
        </w:tc>
        <w:tc>
          <w:tcPr>
            <w:tcW w:w="860" w:type="dxa"/>
            <w:vAlign w:val="bottom"/>
          </w:tcPr>
          <w:p>
            <w:pPr>
              <w:ind w:left="60"/>
              <w:spacing w:after="0" w:line="203" w:lineRule="exact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8"/>
                <w:szCs w:val="18"/>
                <w:color w:val="auto"/>
              </w:rPr>
              <w:t>and the</w:t>
            </w:r>
          </w:p>
        </w:tc>
        <w:tc>
          <w:tcPr>
            <w:tcW w:w="6460" w:type="dxa"/>
            <w:vAlign w:val="bottom"/>
          </w:tcPr>
          <w:p>
            <w:pPr>
              <w:ind w:left="40"/>
              <w:spacing w:after="0" w:line="203" w:lineRule="exact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8"/>
                <w:szCs w:val="18"/>
                <w:color w:val="auto"/>
              </w:rPr>
              <w:t>rights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03"/>
        </w:trPr>
        <w:tc>
          <w:tcPr>
            <w:tcW w:w="1000" w:type="dxa"/>
            <w:vAlign w:val="bottom"/>
          </w:tcPr>
          <w:p>
            <w:pPr>
              <w:ind w:left="640"/>
              <w:spacing w:after="0" w:line="203" w:lineRule="exact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8"/>
                <w:szCs w:val="18"/>
                <w:color w:val="auto"/>
              </w:rPr>
              <w:t>ANY</w:t>
            </w:r>
          </w:p>
        </w:tc>
        <w:tc>
          <w:tcPr>
            <w:tcW w:w="7320" w:type="dxa"/>
            <w:vAlign w:val="bottom"/>
            <w:gridSpan w:val="2"/>
          </w:tcPr>
          <w:p>
            <w:pPr>
              <w:ind w:left="60"/>
              <w:spacing w:after="0" w:line="203" w:lineRule="exact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8"/>
                <w:szCs w:val="18"/>
                <w:color w:val="auto"/>
              </w:rPr>
              <w:t>shareholders have with respect to appointing or terminating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03"/>
        </w:trPr>
        <w:tc>
          <w:tcPr>
            <w:tcW w:w="1860" w:type="dxa"/>
            <w:vAlign w:val="bottom"/>
            <w:gridSpan w:val="2"/>
          </w:tcPr>
          <w:p>
            <w:pPr>
              <w:spacing w:after="0" w:line="203" w:lineRule="exact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8"/>
                <w:szCs w:val="18"/>
                <w:color w:val="auto"/>
              </w:rPr>
              <w:t>management. Last,</w:t>
            </w:r>
          </w:p>
        </w:tc>
        <w:tc>
          <w:tcPr>
            <w:tcW w:w="6460" w:type="dxa"/>
            <w:vAlign w:val="bottom"/>
            <w:vMerge w:val="restart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8"/>
                <w:szCs w:val="18"/>
                <w:color w:val="auto"/>
              </w:rPr>
              <w:t>us the rights ANY shareholders have, such as an ability to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03"/>
        </w:trPr>
        <w:tc>
          <w:tcPr>
            <w:tcW w:w="1860" w:type="dxa"/>
            <w:vAlign w:val="bottom"/>
            <w:gridSpan w:val="2"/>
          </w:tcPr>
          <w:p>
            <w:pPr>
              <w:ind w:left="640"/>
              <w:spacing w:after="0" w:line="203" w:lineRule="exact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8"/>
                <w:szCs w:val="18"/>
                <w:color w:val="auto"/>
              </w:rPr>
              <w:t>describe to</w:t>
            </w:r>
          </w:p>
        </w:tc>
        <w:tc>
          <w:tcPr>
            <w:tcW w:w="6460" w:type="dxa"/>
            <w:vAlign w:val="bottom"/>
            <w:vMerge w:val="continue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03"/>
        </w:trPr>
        <w:tc>
          <w:tcPr>
            <w:tcW w:w="1000" w:type="dxa"/>
            <w:vAlign w:val="bottom"/>
          </w:tcPr>
          <w:p>
            <w:pPr>
              <w:spacing w:after="0" w:line="203" w:lineRule="exact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8"/>
                <w:szCs w:val="18"/>
                <w:color w:val="auto"/>
              </w:rPr>
              <w:t>terminate</w:t>
            </w:r>
          </w:p>
        </w:tc>
        <w:tc>
          <w:tcPr>
            <w:tcW w:w="7320" w:type="dxa"/>
            <w:vAlign w:val="bottom"/>
            <w:gridSpan w:val="2"/>
          </w:tcPr>
          <w:p>
            <w:pPr>
              <w:ind w:left="60"/>
              <w:spacing w:after="0" w:line="203" w:lineRule="exact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8"/>
                <w:szCs w:val="18"/>
                <w:color w:val="auto"/>
              </w:rPr>
              <w:t>the power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02"/>
        </w:trPr>
        <w:tc>
          <w:tcPr>
            <w:tcW w:w="1860" w:type="dxa"/>
            <w:vAlign w:val="bottom"/>
            <w:gridSpan w:val="2"/>
          </w:tcPr>
          <w:p>
            <w:pPr>
              <w:ind w:left="640"/>
              <w:spacing w:after="0" w:line="203" w:lineRule="exact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8"/>
                <w:szCs w:val="18"/>
                <w:color w:val="auto"/>
              </w:rPr>
              <w:t>of attorney</w:t>
            </w:r>
          </w:p>
        </w:tc>
        <w:tc>
          <w:tcPr>
            <w:tcW w:w="6460" w:type="dxa"/>
            <w:vAlign w:val="bottom"/>
          </w:tcPr>
          <w:p>
            <w:pPr>
              <w:ind w:left="40"/>
              <w:spacing w:after="0" w:line="203" w:lineRule="exact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8"/>
                <w:szCs w:val="18"/>
                <w:color w:val="auto"/>
              </w:rPr>
              <w:t>or otherwise frustrate your decision-making over ANY,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03"/>
        </w:trPr>
        <w:tc>
          <w:tcPr>
            <w:tcW w:w="8320" w:type="dxa"/>
            <w:vAlign w:val="bottom"/>
            <w:gridSpan w:val="3"/>
          </w:tcPr>
          <w:p>
            <w:pPr>
              <w:spacing w:after="0" w:line="203" w:lineRule="exact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8"/>
                <w:szCs w:val="18"/>
                <w:color w:val="auto"/>
              </w:rPr>
              <w:t>particularly in light of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02"/>
        </w:trPr>
        <w:tc>
          <w:tcPr>
            <w:tcW w:w="1000" w:type="dxa"/>
            <w:vAlign w:val="bottom"/>
          </w:tcPr>
          <w:p>
            <w:pPr>
              <w:ind w:left="640"/>
              <w:spacing w:after="0" w:line="203" w:lineRule="exact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8"/>
                <w:szCs w:val="18"/>
                <w:color w:val="auto"/>
              </w:rPr>
              <w:t>the</w:t>
            </w:r>
          </w:p>
        </w:tc>
        <w:tc>
          <w:tcPr>
            <w:tcW w:w="7320" w:type="dxa"/>
            <w:vAlign w:val="bottom"/>
            <w:gridSpan w:val="2"/>
          </w:tcPr>
          <w:p>
            <w:pPr>
              <w:ind w:left="60"/>
              <w:spacing w:after="0" w:line="203" w:lineRule="exact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8"/>
                <w:szCs w:val="18"/>
                <w:color w:val="auto"/>
                <w:w w:val="97"/>
              </w:rPr>
              <w:t>inability to consummate the business combination through the exchange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96"/>
        </w:trPr>
        <w:tc>
          <w:tcPr>
            <w:tcW w:w="186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8"/>
                <w:szCs w:val="18"/>
                <w:color w:val="auto"/>
              </w:rPr>
              <w:t>of ownership</w:t>
            </w:r>
          </w:p>
        </w:tc>
        <w:tc>
          <w:tcPr>
            <w:tcW w:w="646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</w:tbl>
    <w:p>
      <w:pPr>
        <w:sectPr>
          <w:pgSz w:w="11900" w:h="16838" w:orient="portrait"/>
          <w:cols w:equalWidth="0" w:num="1">
            <w:col w:w="10139"/>
          </w:cols>
          <w:pgMar w:left="320" w:top="110" w:right="1440" w:bottom="0" w:gutter="0" w:footer="0" w:header="0"/>
        </w:sectPr>
      </w:pPr>
    </w:p>
    <w:bookmarkStart w:id="3" w:name="page4"/>
    <w:bookmarkEnd w:id="3"/>
    <w:p>
      <w:pPr>
        <w:ind w:left="640"/>
        <w:spacing w:after="0"/>
        <w:rPr>
          <w:sz w:val="20"/>
          <w:szCs w:val="20"/>
          <w:color w:val="auto"/>
        </w:rPr>
      </w:pPr>
      <w:r>
        <w:rPr>
          <w:rFonts w:ascii="Courier New" w:cs="Courier New" w:eastAsia="Courier New" w:hAnsi="Courier New"/>
          <w:sz w:val="18"/>
          <w:szCs w:val="18"/>
          <w:color w:val="auto"/>
        </w:rPr>
        <w:t>interests.</w:t>
      </w:r>
    </w:p>
    <w:p>
      <w:pPr>
        <w:spacing w:after="0" w:line="31" w:lineRule="exact"/>
        <w:rPr>
          <w:sz w:val="20"/>
          <w:szCs w:val="20"/>
          <w:color w:val="auto"/>
        </w:rPr>
      </w:pPr>
    </w:p>
    <w:p>
      <w:pPr>
        <w:ind w:right="2019" w:firstLine="8"/>
        <w:spacing w:after="0" w:line="238" w:lineRule="auto"/>
        <w:tabs>
          <w:tab w:leader="none" w:pos="632" w:val="left"/>
        </w:tabs>
        <w:numPr>
          <w:ilvl w:val="0"/>
          <w:numId w:val="6"/>
        </w:numPr>
        <w:rPr>
          <w:rFonts w:ascii="Courier New" w:cs="Courier New" w:eastAsia="Courier New" w:hAnsi="Courier New"/>
          <w:sz w:val="18"/>
          <w:szCs w:val="18"/>
          <w:color w:val="auto"/>
        </w:rPr>
      </w:pPr>
      <w:r>
        <w:rPr>
          <w:rFonts w:ascii="Courier New" w:cs="Courier New" w:eastAsia="Courier New" w:hAnsi="Courier New"/>
          <w:sz w:val="18"/>
          <w:szCs w:val="18"/>
          <w:color w:val="auto"/>
        </w:rPr>
        <w:t>We note from your response to comment 20 that Rezolve has an obligation to ANY to</w:t>
      </w:r>
    </w:p>
    <w:p>
      <w:pPr>
        <w:ind w:right="1819" w:firstLine="632"/>
        <w:spacing w:after="0" w:line="238" w:lineRule="auto"/>
        <w:rPr>
          <w:rFonts w:ascii="Courier New" w:cs="Courier New" w:eastAsia="Courier New" w:hAnsi="Courier New"/>
          <w:sz w:val="18"/>
          <w:szCs w:val="18"/>
          <w:color w:val="auto"/>
        </w:rPr>
      </w:pPr>
      <w:r>
        <w:rPr>
          <w:rFonts w:ascii="Courier New" w:cs="Courier New" w:eastAsia="Courier New" w:hAnsi="Courier New"/>
          <w:sz w:val="18"/>
          <w:szCs w:val="18"/>
          <w:color w:val="auto"/>
        </w:rPr>
        <w:t>fund working capital shortfalls by virtue of an oral arrangement, and ANY owes Radio</w:t>
      </w:r>
    </w:p>
    <w:tbl>
      <w:tblPr>
        <w:tblLayout w:type="fixed"/>
        <w:tblInd w:w="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171"/>
        </w:trPr>
        <w:tc>
          <w:tcPr>
            <w:tcW w:w="3860" w:type="dxa"/>
            <w:vAlign w:val="bottom"/>
            <w:gridSpan w:val="2"/>
          </w:tcPr>
          <w:p>
            <w:pPr>
              <w:ind w:left="640"/>
              <w:spacing w:after="0" w:line="171" w:lineRule="exact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8"/>
                <w:szCs w:val="18"/>
                <w:color w:val="auto"/>
              </w:rPr>
              <w:t>Group $793,356. Given Rezolve</w:t>
            </w:r>
          </w:p>
        </w:tc>
        <w:tc>
          <w:tcPr>
            <w:tcW w:w="4160" w:type="dxa"/>
            <w:vAlign w:val="bottom"/>
            <w:gridSpan w:val="2"/>
          </w:tcPr>
          <w:p>
            <w:pPr>
              <w:ind w:left="140"/>
              <w:spacing w:after="0" w:line="171" w:lineRule="exact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8"/>
                <w:szCs w:val="18"/>
                <w:color w:val="auto"/>
                <w:w w:val="97"/>
              </w:rPr>
              <w:t>s liquidity situation, in which it has</w:t>
            </w: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03"/>
        </w:trPr>
        <w:tc>
          <w:tcPr>
            <w:tcW w:w="1480" w:type="dxa"/>
            <w:vAlign w:val="bottom"/>
          </w:tcPr>
          <w:p>
            <w:pPr>
              <w:spacing w:after="0" w:line="203" w:lineRule="exact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8"/>
                <w:szCs w:val="18"/>
                <w:color w:val="auto"/>
              </w:rPr>
              <w:t>approximately</w:t>
            </w:r>
          </w:p>
        </w:tc>
        <w:tc>
          <w:tcPr>
            <w:tcW w:w="6540" w:type="dxa"/>
            <w:vAlign w:val="bottom"/>
            <w:gridSpan w:val="3"/>
            <w:vMerge w:val="restart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8"/>
                <w:szCs w:val="18"/>
                <w:color w:val="auto"/>
              </w:rPr>
              <w:t>in cash and experienced net operating cash outflows of $26.8</w:t>
            </w: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03"/>
        </w:trPr>
        <w:tc>
          <w:tcPr>
            <w:tcW w:w="1480" w:type="dxa"/>
            <w:vAlign w:val="bottom"/>
          </w:tcPr>
          <w:p>
            <w:pPr>
              <w:ind w:left="640"/>
              <w:spacing w:after="0" w:line="203" w:lineRule="exact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8"/>
                <w:szCs w:val="18"/>
                <w:color w:val="auto"/>
              </w:rPr>
              <w:t>$41,000</w:t>
            </w:r>
          </w:p>
        </w:tc>
        <w:tc>
          <w:tcPr>
            <w:tcW w:w="654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03"/>
        </w:trPr>
        <w:tc>
          <w:tcPr>
            <w:tcW w:w="1480" w:type="dxa"/>
            <w:vAlign w:val="bottom"/>
          </w:tcPr>
          <w:p>
            <w:pPr>
              <w:spacing w:after="0" w:line="203" w:lineRule="exact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8"/>
                <w:szCs w:val="18"/>
                <w:color w:val="auto"/>
                <w:w w:val="96"/>
              </w:rPr>
              <w:t>million during</w:t>
            </w:r>
          </w:p>
        </w:tc>
        <w:tc>
          <w:tcPr>
            <w:tcW w:w="238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184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2320" w:type="dxa"/>
            <w:vAlign w:val="bottom"/>
            <w:vMerge w:val="restart"/>
          </w:tcPr>
          <w:p>
            <w:pPr>
              <w:ind w:left="2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8"/>
                <w:szCs w:val="18"/>
                <w:color w:val="auto"/>
              </w:rPr>
              <w:t>oral arrangement</w:t>
            </w:r>
          </w:p>
        </w:tc>
        <w:tc>
          <w:tcPr>
            <w:tcW w:w="200" w:type="dxa"/>
            <w:vAlign w:val="bottom"/>
            <w:vMerge w:val="restart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8"/>
                <w:szCs w:val="18"/>
                <w:color w:val="auto"/>
                <w:w w:val="83"/>
              </w:rPr>
              <w:t>is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03"/>
        </w:trPr>
        <w:tc>
          <w:tcPr>
            <w:tcW w:w="5700" w:type="dxa"/>
            <w:vAlign w:val="bottom"/>
            <w:gridSpan w:val="3"/>
          </w:tcPr>
          <w:p>
            <w:pPr>
              <w:ind w:left="640"/>
              <w:spacing w:after="0" w:line="203" w:lineRule="exact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8"/>
                <w:szCs w:val="18"/>
                <w:color w:val="auto"/>
              </w:rPr>
              <w:t>2022, please explain to us why you believe the</w:t>
            </w:r>
          </w:p>
        </w:tc>
        <w:tc>
          <w:tcPr>
            <w:tcW w:w="2320" w:type="dxa"/>
            <w:vAlign w:val="bottom"/>
            <w:vMerge w:val="continue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200" w:type="dxa"/>
            <w:vAlign w:val="bottom"/>
            <w:vMerge w:val="continue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34"/>
        </w:trPr>
        <w:tc>
          <w:tcPr>
            <w:tcW w:w="14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8"/>
                <w:szCs w:val="18"/>
                <w:color w:val="auto"/>
              </w:rPr>
              <w:t>substantive.</w:t>
            </w:r>
          </w:p>
        </w:tc>
        <w:tc>
          <w:tcPr>
            <w:tcW w:w="23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8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23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</w:tbl>
    <w:p>
      <w:pPr>
        <w:ind w:left="640" w:hanging="632"/>
        <w:spacing w:after="0"/>
        <w:tabs>
          <w:tab w:leader="none" w:pos="640" w:val="left"/>
        </w:tabs>
        <w:numPr>
          <w:ilvl w:val="0"/>
          <w:numId w:val="7"/>
        </w:numPr>
        <w:rPr>
          <w:rFonts w:ascii="Courier New" w:cs="Courier New" w:eastAsia="Courier New" w:hAnsi="Courier New"/>
          <w:sz w:val="16"/>
          <w:szCs w:val="16"/>
          <w:color w:val="auto"/>
        </w:rPr>
      </w:pPr>
      <w:r>
        <w:rPr>
          <w:rFonts w:ascii="Courier New" w:cs="Courier New" w:eastAsia="Courier New" w:hAnsi="Courier New"/>
          <w:sz w:val="16"/>
          <w:szCs w:val="16"/>
          <w:color w:val="auto"/>
        </w:rPr>
        <w:t>We note from your response to comment 20 that on August 30th, 2021, Radio</w:t>
      </w:r>
    </w:p>
    <w:p>
      <w:pPr>
        <w:spacing w:after="0" w:line="21" w:lineRule="exact"/>
        <w:rPr>
          <w:rFonts w:ascii="Courier New" w:cs="Courier New" w:eastAsia="Courier New" w:hAnsi="Courier New"/>
          <w:sz w:val="16"/>
          <w:szCs w:val="16"/>
          <w:color w:val="auto"/>
        </w:rPr>
      </w:pPr>
    </w:p>
    <w:p>
      <w:pPr>
        <w:spacing w:after="0" w:line="238" w:lineRule="auto"/>
        <w:rPr>
          <w:rFonts w:ascii="Courier New" w:cs="Courier New" w:eastAsia="Courier New" w:hAnsi="Courier New"/>
          <w:sz w:val="16"/>
          <w:szCs w:val="16"/>
          <w:color w:val="auto"/>
        </w:rPr>
      </w:pPr>
      <w:r>
        <w:rPr>
          <w:rFonts w:ascii="Courier New" w:cs="Courier New" w:eastAsia="Courier New" w:hAnsi="Courier New"/>
          <w:sz w:val="18"/>
          <w:szCs w:val="18"/>
          <w:color w:val="auto"/>
        </w:rPr>
        <w:t>Group</w:t>
      </w:r>
    </w:p>
    <w:p>
      <w:pPr>
        <w:ind w:left="640"/>
        <w:spacing w:after="0"/>
        <w:tabs>
          <w:tab w:leader="none" w:pos="2200" w:val="left"/>
        </w:tabs>
        <w:rPr>
          <w:sz w:val="20"/>
          <w:szCs w:val="20"/>
          <w:color w:val="auto"/>
        </w:rPr>
      </w:pPr>
      <w:r>
        <w:rPr>
          <w:rFonts w:ascii="Courier New" w:cs="Courier New" w:eastAsia="Courier New" w:hAnsi="Courier New"/>
          <w:sz w:val="18"/>
          <w:szCs w:val="18"/>
          <w:color w:val="auto"/>
        </w:rPr>
        <w:t>agreed that</w:t>
      </w:r>
      <w:r>
        <w:rPr>
          <w:sz w:val="20"/>
          <w:szCs w:val="20"/>
          <w:color w:val="auto"/>
        </w:rPr>
        <w:tab/>
      </w:r>
      <w:r>
        <w:rPr>
          <w:rFonts w:ascii="Courier New" w:cs="Courier New" w:eastAsia="Courier New" w:hAnsi="Courier New"/>
          <w:sz w:val="16"/>
          <w:szCs w:val="16"/>
          <w:color w:val="auto"/>
        </w:rPr>
        <w:t>Rezolve Limited will be the beneficial owner of the</w:t>
      </w:r>
    </w:p>
    <w:p>
      <w:pPr>
        <w:spacing w:after="0"/>
        <w:rPr>
          <w:sz w:val="20"/>
          <w:szCs w:val="20"/>
          <w:color w:val="auto"/>
        </w:rPr>
      </w:pPr>
      <w:r>
        <w:rPr>
          <w:rFonts w:ascii="Courier New" w:cs="Courier New" w:eastAsia="Courier New" w:hAnsi="Courier New"/>
          <w:sz w:val="18"/>
          <w:szCs w:val="18"/>
          <w:color w:val="auto"/>
        </w:rPr>
        <w:t>revenues and income of</w:t>
      </w:r>
    </w:p>
    <w:p>
      <w:pPr>
        <w:ind w:left="640"/>
        <w:spacing w:after="0" w:line="238" w:lineRule="auto"/>
        <w:tabs>
          <w:tab w:leader="none" w:pos="1460" w:val="left"/>
        </w:tabs>
        <w:rPr>
          <w:sz w:val="20"/>
          <w:szCs w:val="20"/>
          <w:color w:val="auto"/>
        </w:rPr>
      </w:pPr>
      <w:r>
        <w:rPr>
          <w:rFonts w:ascii="Courier New" w:cs="Courier New" w:eastAsia="Courier New" w:hAnsi="Courier New"/>
          <w:sz w:val="18"/>
          <w:szCs w:val="18"/>
          <w:color w:val="auto"/>
        </w:rPr>
        <w:t>ANY.</w:t>
      </w:r>
      <w:r>
        <w:rPr>
          <w:sz w:val="20"/>
          <w:szCs w:val="20"/>
          <w:color w:val="auto"/>
        </w:rPr>
        <w:tab/>
      </w:r>
      <w:r>
        <w:rPr>
          <w:rFonts w:ascii="Courier New" w:cs="Courier New" w:eastAsia="Courier New" w:hAnsi="Courier New"/>
          <w:sz w:val="18"/>
          <w:szCs w:val="18"/>
          <w:color w:val="auto"/>
        </w:rPr>
        <w:t>Further, we note from your response to comment 21 that you</w:t>
      </w:r>
    </w:p>
    <w:p>
      <w:pPr>
        <w:spacing w:after="0" w:line="238" w:lineRule="auto"/>
        <w:rPr>
          <w:sz w:val="20"/>
          <w:szCs w:val="20"/>
          <w:color w:val="auto"/>
        </w:rPr>
      </w:pPr>
      <w:r>
        <w:rPr>
          <w:rFonts w:ascii="Courier New" w:cs="Courier New" w:eastAsia="Courier New" w:hAnsi="Courier New"/>
          <w:sz w:val="18"/>
          <w:szCs w:val="18"/>
          <w:color w:val="auto"/>
        </w:rPr>
        <w:t>submitted to us</w:t>
      </w:r>
    </w:p>
    <w:p>
      <w:pPr>
        <w:spacing w:after="0" w:line="1" w:lineRule="exact"/>
        <w:rPr>
          <w:sz w:val="20"/>
          <w:szCs w:val="20"/>
          <w:color w:val="auto"/>
        </w:rPr>
      </w:pPr>
    </w:p>
    <w:p>
      <w:pPr>
        <w:ind w:right="2119" w:firstLine="632"/>
        <w:spacing w:after="0" w:line="238" w:lineRule="auto"/>
        <w:rPr>
          <w:sz w:val="20"/>
          <w:szCs w:val="20"/>
          <w:color w:val="auto"/>
        </w:rPr>
      </w:pPr>
      <w:r>
        <w:rPr>
          <w:rFonts w:ascii="Courier New" w:cs="Courier New" w:eastAsia="Courier New" w:hAnsi="Courier New"/>
          <w:sz w:val="18"/>
          <w:szCs w:val="18"/>
          <w:color w:val="auto"/>
        </w:rPr>
        <w:t>supplementally the Power of Attorney agreement, but did not submit any agreement that</w:t>
      </w:r>
    </w:p>
    <w:p>
      <w:pPr>
        <w:spacing w:after="0" w:line="1" w:lineRule="exact"/>
        <w:rPr>
          <w:sz w:val="20"/>
          <w:szCs w:val="20"/>
          <w:color w:val="auto"/>
        </w:rPr>
      </w:pPr>
    </w:p>
    <w:p>
      <w:pPr>
        <w:ind w:right="2559" w:firstLine="632"/>
        <w:spacing w:after="0" w:line="238" w:lineRule="auto"/>
        <w:rPr>
          <w:sz w:val="20"/>
          <w:szCs w:val="20"/>
          <w:color w:val="auto"/>
        </w:rPr>
      </w:pPr>
      <w:r>
        <w:rPr>
          <w:rFonts w:ascii="Courier New" w:cs="Courier New" w:eastAsia="Courier New" w:hAnsi="Courier New"/>
          <w:sz w:val="18"/>
          <w:szCs w:val="18"/>
          <w:color w:val="auto"/>
        </w:rPr>
        <w:t>defined the consideration ANY is to pay Rezolve. Please submit the agreement that</w:t>
      </w:r>
    </w:p>
    <w:p>
      <w:pPr>
        <w:spacing w:after="0" w:line="1" w:lineRule="exact"/>
        <w:rPr>
          <w:sz w:val="20"/>
          <w:szCs w:val="20"/>
          <w:color w:val="auto"/>
        </w:rPr>
      </w:pPr>
    </w:p>
    <w:p>
      <w:pPr>
        <w:ind w:right="2439" w:firstLine="632"/>
        <w:spacing w:after="0" w:line="238" w:lineRule="auto"/>
        <w:rPr>
          <w:sz w:val="20"/>
          <w:szCs w:val="20"/>
          <w:color w:val="auto"/>
        </w:rPr>
      </w:pPr>
      <w:r>
        <w:rPr>
          <w:rFonts w:ascii="Courier New" w:cs="Courier New" w:eastAsia="Courier New" w:hAnsi="Courier New"/>
          <w:sz w:val="18"/>
          <w:szCs w:val="18"/>
          <w:color w:val="auto"/>
        </w:rPr>
        <w:t>defines these rights and where in the agreement these rights can be located.</w:t>
      </w:r>
    </w:p>
    <w:p>
      <w:pPr>
        <w:spacing w:after="0" w:line="1" w:lineRule="exact"/>
        <w:rPr>
          <w:sz w:val="20"/>
          <w:szCs w:val="20"/>
          <w:color w:val="auto"/>
        </w:rPr>
      </w:pPr>
    </w:p>
    <w:p>
      <w:pPr>
        <w:ind w:right="1919" w:firstLine="8"/>
        <w:spacing w:after="0" w:line="238" w:lineRule="auto"/>
        <w:tabs>
          <w:tab w:leader="none" w:pos="632" w:val="left"/>
        </w:tabs>
        <w:numPr>
          <w:ilvl w:val="0"/>
          <w:numId w:val="8"/>
        </w:numPr>
        <w:rPr>
          <w:rFonts w:ascii="Courier New" w:cs="Courier New" w:eastAsia="Courier New" w:hAnsi="Courier New"/>
          <w:sz w:val="18"/>
          <w:szCs w:val="18"/>
          <w:color w:val="auto"/>
        </w:rPr>
      </w:pPr>
      <w:r>
        <w:rPr>
          <w:rFonts w:ascii="Courier New" w:cs="Courier New" w:eastAsia="Courier New" w:hAnsi="Courier New"/>
          <w:sz w:val="18"/>
          <w:szCs w:val="18"/>
          <w:color w:val="auto"/>
        </w:rPr>
        <w:t>Notwithstanding the comments above, please tell us how you satisfied the disclosure</w:t>
      </w:r>
    </w:p>
    <w:p>
      <w:pPr>
        <w:ind w:left="740" w:right="2019" w:hanging="105"/>
        <w:spacing w:after="0" w:line="268" w:lineRule="auto"/>
        <w:rPr>
          <w:rFonts w:ascii="Courier New" w:cs="Courier New" w:eastAsia="Courier New" w:hAnsi="Courier New"/>
          <w:sz w:val="18"/>
          <w:szCs w:val="18"/>
          <w:color w:val="auto"/>
        </w:rPr>
      </w:pPr>
      <w:r>
        <w:rPr>
          <w:rFonts w:ascii="Courier New" w:cs="Courier New" w:eastAsia="Courier New" w:hAnsi="Courier New"/>
          <w:sz w:val="16"/>
          <w:szCs w:val="16"/>
          <w:color w:val="auto"/>
        </w:rPr>
        <w:t>requirements in ASC 810-10-50 with respect to variable interest in ANY. Please contact Inessa Kessman at 202-551-3371 or Claire DeLabar at</w:t>
      </w:r>
    </w:p>
    <w:p>
      <w:pPr>
        <w:spacing w:after="0" w:line="238" w:lineRule="auto"/>
        <w:rPr>
          <w:rFonts w:ascii="Courier New" w:cs="Courier New" w:eastAsia="Courier New" w:hAnsi="Courier New"/>
          <w:sz w:val="18"/>
          <w:szCs w:val="18"/>
          <w:color w:val="auto"/>
        </w:rPr>
      </w:pPr>
      <w:r>
        <w:rPr>
          <w:rFonts w:ascii="Courier New" w:cs="Courier New" w:eastAsia="Courier New" w:hAnsi="Courier New"/>
          <w:sz w:val="18"/>
          <w:szCs w:val="18"/>
          <w:color w:val="auto"/>
        </w:rPr>
        <w:t>202-551-3349 if</w:t>
      </w:r>
    </w:p>
    <w:p>
      <w:pPr>
        <w:ind w:right="2019"/>
        <w:spacing w:after="0" w:line="238" w:lineRule="auto"/>
        <w:rPr>
          <w:rFonts w:ascii="Courier New" w:cs="Courier New" w:eastAsia="Courier New" w:hAnsi="Courier New"/>
          <w:sz w:val="18"/>
          <w:szCs w:val="18"/>
          <w:color w:val="auto"/>
        </w:rPr>
      </w:pPr>
      <w:r>
        <w:rPr>
          <w:rFonts w:ascii="Courier New" w:cs="Courier New" w:eastAsia="Courier New" w:hAnsi="Courier New"/>
          <w:sz w:val="18"/>
          <w:szCs w:val="18"/>
          <w:color w:val="auto"/>
        </w:rPr>
        <w:t>you have questions regarding comments on the financial statements and related matters. Please</w:t>
      </w:r>
    </w:p>
    <w:p>
      <w:pPr>
        <w:ind w:right="1819"/>
        <w:spacing w:after="0" w:line="238" w:lineRule="auto"/>
        <w:rPr>
          <w:rFonts w:ascii="Courier New" w:cs="Courier New" w:eastAsia="Courier New" w:hAnsi="Courier New"/>
          <w:sz w:val="18"/>
          <w:szCs w:val="18"/>
          <w:color w:val="auto"/>
        </w:rPr>
      </w:pPr>
      <w:r>
        <w:rPr>
          <w:rFonts w:ascii="Courier New" w:cs="Courier New" w:eastAsia="Courier New" w:hAnsi="Courier New"/>
          <w:sz w:val="18"/>
          <w:szCs w:val="18"/>
          <w:color w:val="auto"/>
        </w:rPr>
        <w:t>contact Kyle Wiley at 202-344-5791 or Matthew Crispino at 202-551-3456 with any other</w:t>
      </w:r>
    </w:p>
    <w:p>
      <w:pPr>
        <w:spacing w:after="0"/>
        <w:rPr>
          <w:rFonts w:ascii="Courier New" w:cs="Courier New" w:eastAsia="Courier New" w:hAnsi="Courier New"/>
          <w:sz w:val="18"/>
          <w:szCs w:val="18"/>
          <w:color w:val="auto"/>
        </w:rPr>
      </w:pPr>
      <w:r>
        <w:rPr>
          <w:rFonts w:ascii="Courier New" w:cs="Courier New" w:eastAsia="Courier New" w:hAnsi="Courier New"/>
          <w:sz w:val="18"/>
          <w:szCs w:val="18"/>
          <w:color w:val="auto"/>
        </w:rPr>
        <w:t>questions.</w:t>
      </w:r>
    </w:p>
    <w:p>
      <w:pPr>
        <w:spacing w:after="0" w:line="200" w:lineRule="exact"/>
        <w:rPr>
          <w:sz w:val="20"/>
          <w:szCs w:val="20"/>
          <w:color w:val="auto"/>
        </w:rPr>
      </w:pPr>
    </w:p>
    <w:p>
      <w:pPr>
        <w:spacing w:after="0" w:line="374" w:lineRule="exact"/>
        <w:rPr>
          <w:sz w:val="20"/>
          <w:szCs w:val="20"/>
          <w:color w:val="auto"/>
        </w:rPr>
      </w:pPr>
    </w:p>
    <w:p>
      <w:pPr>
        <w:ind w:left="6220"/>
        <w:spacing w:after="0"/>
        <w:rPr>
          <w:sz w:val="20"/>
          <w:szCs w:val="20"/>
          <w:color w:val="auto"/>
        </w:rPr>
      </w:pPr>
      <w:r>
        <w:rPr>
          <w:rFonts w:ascii="Courier New" w:cs="Courier New" w:eastAsia="Courier New" w:hAnsi="Courier New"/>
          <w:sz w:val="18"/>
          <w:szCs w:val="18"/>
          <w:color w:val="auto"/>
        </w:rPr>
        <w:t>Sincerely,</w:t>
      </w:r>
    </w:p>
    <w:p>
      <w:pPr>
        <w:spacing w:after="0" w:line="29" w:lineRule="exact"/>
        <w:rPr>
          <w:sz w:val="20"/>
          <w:szCs w:val="20"/>
          <w:color w:val="auto"/>
        </w:rPr>
      </w:pPr>
    </w:p>
    <w:p>
      <w:pPr>
        <w:spacing w:after="0"/>
        <w:rPr>
          <w:sz w:val="20"/>
          <w:szCs w:val="20"/>
          <w:color w:val="auto"/>
        </w:rPr>
      </w:pPr>
      <w:r>
        <w:rPr>
          <w:rFonts w:ascii="Courier New" w:cs="Courier New" w:eastAsia="Courier New" w:hAnsi="Courier New"/>
          <w:sz w:val="18"/>
          <w:szCs w:val="18"/>
          <w:color w:val="auto"/>
        </w:rPr>
        <w:t>FirstName LastNameStephen Herbert</w:t>
      </w:r>
    </w:p>
    <w:p>
      <w:pPr>
        <w:ind w:left="6220"/>
        <w:spacing w:after="0" w:line="238" w:lineRule="auto"/>
        <w:rPr>
          <w:sz w:val="20"/>
          <w:szCs w:val="20"/>
          <w:color w:val="auto"/>
        </w:rPr>
      </w:pPr>
      <w:r>
        <w:rPr>
          <w:rFonts w:ascii="Courier New" w:cs="Courier New" w:eastAsia="Courier New" w:hAnsi="Courier New"/>
          <w:sz w:val="18"/>
          <w:szCs w:val="18"/>
          <w:color w:val="auto"/>
        </w:rPr>
        <w:t>Division of</w:t>
      </w:r>
    </w:p>
    <w:p>
      <w:pPr>
        <w:spacing w:after="0" w:line="238" w:lineRule="auto"/>
        <w:rPr>
          <w:sz w:val="20"/>
          <w:szCs w:val="20"/>
          <w:color w:val="auto"/>
        </w:rPr>
      </w:pPr>
      <w:r>
        <w:rPr>
          <w:rFonts w:ascii="Courier New" w:cs="Courier New" w:eastAsia="Courier New" w:hAnsi="Courier New"/>
          <w:sz w:val="18"/>
          <w:szCs w:val="18"/>
          <w:color w:val="auto"/>
        </w:rPr>
        <w:t>Corporation Finance</w:t>
      </w:r>
    </w:p>
    <w:p>
      <w:pPr>
        <w:spacing w:after="0"/>
        <w:rPr>
          <w:sz w:val="20"/>
          <w:szCs w:val="20"/>
          <w:color w:val="auto"/>
        </w:rPr>
      </w:pPr>
      <w:r>
        <w:rPr>
          <w:rFonts w:ascii="Courier New" w:cs="Courier New" w:eastAsia="Courier New" w:hAnsi="Courier New"/>
          <w:sz w:val="18"/>
          <w:szCs w:val="18"/>
          <w:color w:val="auto"/>
        </w:rPr>
        <w:t>Comapany NameRezolve AI Limited</w:t>
      </w:r>
    </w:p>
    <w:p>
      <w:pPr>
        <w:jc w:val="right"/>
        <w:ind w:right="1819"/>
        <w:spacing w:after="0" w:line="238" w:lineRule="auto"/>
        <w:rPr>
          <w:sz w:val="20"/>
          <w:szCs w:val="20"/>
          <w:color w:val="auto"/>
        </w:rPr>
      </w:pPr>
      <w:r>
        <w:rPr>
          <w:rFonts w:ascii="Courier New" w:cs="Courier New" w:eastAsia="Courier New" w:hAnsi="Courier New"/>
          <w:sz w:val="18"/>
          <w:szCs w:val="18"/>
          <w:color w:val="auto"/>
        </w:rPr>
        <w:t>Office of Technology</w:t>
      </w:r>
    </w:p>
    <w:p>
      <w:pPr>
        <w:spacing w:after="0" w:line="238" w:lineRule="auto"/>
        <w:rPr>
          <w:sz w:val="20"/>
          <w:szCs w:val="20"/>
          <w:color w:val="auto"/>
        </w:rPr>
      </w:pPr>
      <w:r>
        <w:rPr>
          <w:rFonts w:ascii="Courier New" w:cs="Courier New" w:eastAsia="Courier New" w:hAnsi="Courier New"/>
          <w:sz w:val="18"/>
          <w:szCs w:val="18"/>
          <w:color w:val="auto"/>
        </w:rPr>
        <w:t>October 10, 2023 Page 4</w:t>
      </w:r>
    </w:p>
    <w:p>
      <w:pPr>
        <w:ind w:left="1060" w:hanging="1052"/>
        <w:spacing w:after="0"/>
        <w:tabs>
          <w:tab w:leader="none" w:pos="1060" w:val="left"/>
        </w:tabs>
        <w:numPr>
          <w:ilvl w:val="0"/>
          <w:numId w:val="9"/>
        </w:numPr>
        <w:rPr>
          <w:rFonts w:ascii="Courier New" w:cs="Courier New" w:eastAsia="Courier New" w:hAnsi="Courier New"/>
          <w:sz w:val="18"/>
          <w:szCs w:val="18"/>
          <w:color w:val="auto"/>
        </w:rPr>
      </w:pPr>
      <w:r>
        <w:rPr>
          <w:rFonts w:ascii="Courier New" w:cs="Courier New" w:eastAsia="Courier New" w:hAnsi="Courier New"/>
          <w:sz w:val="18"/>
          <w:szCs w:val="18"/>
          <w:color w:val="auto"/>
        </w:rPr>
        <w:t>Gerry Williams</w:t>
      </w:r>
    </w:p>
    <w:p>
      <w:pPr>
        <w:spacing w:after="0"/>
        <w:rPr>
          <w:rFonts w:ascii="Courier New" w:cs="Courier New" w:eastAsia="Courier New" w:hAnsi="Courier New"/>
          <w:sz w:val="18"/>
          <w:szCs w:val="18"/>
          <w:color w:val="auto"/>
        </w:rPr>
      </w:pPr>
      <w:r>
        <w:rPr>
          <w:rFonts w:ascii="Courier New" w:cs="Courier New" w:eastAsia="Courier New" w:hAnsi="Courier New"/>
          <w:sz w:val="18"/>
          <w:szCs w:val="18"/>
          <w:color w:val="auto"/>
        </w:rPr>
        <w:t>FirstName LastName</w:t>
      </w:r>
    </w:p>
    <w:sectPr>
      <w:pgSz w:w="11900" w:h="16838" w:orient="portrait"/>
      <w:cols w:equalWidth="0" w:num="1">
        <w:col w:w="10139"/>
      </w:cols>
      <w:pgMar w:left="320" w:top="110" w:right="1440" w:bottom="1440" w:gutter="0" w:footer="0" w:header="0"/>
    </w:sectPr>
  </w:body>
</w:document>
</file>

<file path=word/fontTable.xml><?xml version="1.0" encoding="utf-8"?>
<w:fonts xmlns:w="http://schemas.openxmlformats.org/wordprocessingml/2006/main"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  <w:font w:name="Courier New">
    <w:panose1 w:val="02070309020205020404"/>
    <w:charset w:val="00"/>
    <w:family w:val="auto"/>
    <w:pitch w:val="fixed"/>
    <w:sig w:usb0="E0002EFF" w:usb1="C0007843" w:usb2="00000009" w:usb3="00000000" w:csb0="400001FF" w:csb1="FFFF0000"/>
  </w:font>
</w:fonts>
</file>

<file path=word/numbering.xml><?xml version="1.0" encoding="utf-8"?>
<w:numbering xmlns:w="http://schemas.openxmlformats.org/wordprocessingml/2006/main">
  <w:abstractNum w:abstractNumId="0">
    <w:nsid w:val="46E87CCD"/>
    <w:multiLevelType w:val="hybridMultilevel"/>
    <w:lvl w:ilvl="0">
      <w:lvlJc w:val="left"/>
      <w:lvlText w:val="%1."/>
      <w:numFmt w:val="decimal"/>
      <w:start w:val="2"/>
    </w:lvl>
  </w:abstractNum>
  <w:abstractNum w:abstractNumId="1">
    <w:nsid w:val="3D1B58BA"/>
    <w:multiLevelType w:val="hybridMultilevel"/>
    <w:lvl w:ilvl="0">
      <w:lvlJc w:val="left"/>
      <w:lvlText w:val="%1."/>
      <w:numFmt w:val="decimal"/>
      <w:start w:val="3"/>
    </w:lvl>
  </w:abstractNum>
  <w:abstractNum w:abstractNumId="2">
    <w:nsid w:val="507ED7AB"/>
    <w:multiLevelType w:val="hybridMultilevel"/>
    <w:lvl w:ilvl="0">
      <w:lvlJc w:val="left"/>
      <w:lvlText w:val="%1."/>
      <w:numFmt w:val="decimal"/>
      <w:start w:val="5"/>
    </w:lvl>
  </w:abstractNum>
  <w:abstractNum w:abstractNumId="3">
    <w:nsid w:val="2EB141F2"/>
    <w:multiLevelType w:val="hybridMultilevel"/>
    <w:lvl w:ilvl="0">
      <w:lvlJc w:val="left"/>
      <w:lvlText w:val="%1."/>
      <w:numFmt w:val="decimal"/>
      <w:start w:val="6"/>
    </w:lvl>
  </w:abstractNum>
  <w:abstractNum w:abstractNumId="4">
    <w:nsid w:val="41B71EFB"/>
    <w:multiLevelType w:val="hybridMultilevel"/>
    <w:lvl w:ilvl="0">
      <w:lvlJc w:val="left"/>
      <w:lvlText w:val="%1."/>
      <w:numFmt w:val="decimal"/>
      <w:start w:val="8"/>
    </w:lvl>
  </w:abstractNum>
  <w:abstractNum w:abstractNumId="5">
    <w:nsid w:val="79E2A9E3"/>
    <w:multiLevelType w:val="hybridMultilevel"/>
    <w:lvl w:ilvl="0">
      <w:lvlJc w:val="left"/>
      <w:lvlText w:val="%1."/>
      <w:numFmt w:val="decimal"/>
      <w:start w:val="14"/>
    </w:lvl>
  </w:abstractNum>
  <w:abstractNum w:abstractNumId="6">
    <w:nsid w:val="7545E146"/>
    <w:multiLevelType w:val="hybridMultilevel"/>
    <w:lvl w:ilvl="0">
      <w:lvlJc w:val="left"/>
      <w:lvlText w:val="%1."/>
      <w:numFmt w:val="decimal"/>
      <w:start w:val="15"/>
    </w:lvl>
  </w:abstractNum>
  <w:abstractNum w:abstractNumId="7">
    <w:nsid w:val="515F007C"/>
    <w:multiLevelType w:val="hybridMultilevel"/>
    <w:lvl w:ilvl="0">
      <w:lvlJc w:val="left"/>
      <w:lvlText w:val="%1."/>
      <w:numFmt w:val="decimal"/>
      <w:start w:val="16"/>
    </w:lvl>
  </w:abstractNum>
  <w:abstractNum w:abstractNumId="8">
    <w:nsid w:val="5BD062C2"/>
    <w:multiLevelType w:val="hybridMultilevel"/>
    <w:lvl w:ilvl="0">
      <w:lvlJc w:val="left"/>
      <w:lvlText w:val="%1:"/>
      <w:numFmt w:val="lowerLetter"/>
      <w:start w:val="29"/>
    </w:lvl>
  </w:abstractNum>
  <w:num w:numId="1">
    <w:abstractNumId w:val="0"/>
  </w:num>
  <w:num w:numId="2">
    <w:abstractNumId w:val="1"/>
  </w:num>
  <w:num w:numId="3">
    <w:abstractNumId w:val="2"/>
  </w:num>
  <w:num w:numId="4">
    <w:abstractNumId w:val="3"/>
  </w:num>
  <w:num w:numId="5">
    <w:abstractNumId w:val="4"/>
  </w:num>
  <w:num w:numId="6">
    <w:abstractNumId w:val="5"/>
  </w:num>
  <w:num w:numId="7">
    <w:abstractNumId w:val="6"/>
  </w:num>
  <w:num w:numId="8">
    <w:abstractNumId w:val="7"/>
  </w:num>
  <w:num w:numId="9">
    <w:abstractNumId w:val="8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20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decimalSymbol w:val="."/>
  <w:listSeparator w:val=","/>
</w:settings>
</file>

<file path=word/styles.xml><?xml version="1.0" encoding="utf-8"?>
<w:styles xmlns:w="http://schemas.openxmlformats.org/wordprocessingml/2006/main">
  <w:docDefaults>
    <w:rPrDefault>
      <w:rPr>
        <w:rFonts w:eastAsiaTheme="minorEastAsia"/>
        <w:sz w:val="22"/>
        <w:szCs w:val="22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Layout w:type="fixed"/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
<Relationships xmlns="http://schemas.openxmlformats.org/package/2006/relationships"><Relationship Id="rId3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fontTable" Target="fontTable.xml"/><Relationship Id="rId4" Type="http://schemas.openxmlformats.org/officeDocument/2006/relationships/webSettings" Target="webSettings.xml"/><Relationship Id="rId7" Type="http://schemas.openxmlformats.org/officeDocument/2006/relationships/numbering" Target="numbering.xml"/></Relationships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3</Characters>
  <Application>Microsoft Office Word</Application>
  <DocSecurity>0</DocSecurity>
  <Lines>1</Lines>
  <Paragraphs>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3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Windows User</dc:creator>
  <cp:lastModifiedBy>Windows User</cp:lastModifiedBy>
  <cp:revision>1</cp:revision>
  <dcterms:created xsi:type="dcterms:W3CDTF">2024-08-07T23:10:57Z</dcterms:created>
  <dcterms:modified xsi:type="dcterms:W3CDTF">2024-08-07T23:10:57Z</dcterms:modified>
</cp:coreProperties>
</file>