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august_6_2026.htm"/>
      <w:bookmarkStart w:id="1" w:name="ks6k_august_6_2026"/>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For the month of August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20" w:after="283"/>
        <w:jc w:val="center"/>
        <w:rPr>
          <w:rFonts w:ascii="Times New Roman" w:hAnsi="Times New Roman"/>
          <w:sz w:val="20"/>
        </w:rPr>
      </w:pPr>
      <w:r>
        <w:rPr>
          <w:rFonts w:ascii="Times New Roman" w:hAnsi="Times New Roman"/>
          <w:b/>
          <w:color w:val="000000"/>
          <w:sz w:val="48"/>
        </w:rPr>
        <w:t>Rezolve AI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6, 2026, Rezolve AI plc (the "Company") issued a press release commenting on Commerce.com’s results for the second quarter of 2026. A copy of the press release is furnished as Exhibit 99.1 to this Report on Form 6-K and is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in this report on Form 6-K, including Exhibit 99.1, is being furnished and shall not be deemed "filed" for purposes of Section 18 of the Securities Exchange Act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tbl>
      <w:tblPr>
        <w:tblW w:w="4176" w:type="dxa"/>
        <w:jc w:val="left"/>
        <w:tblInd w:w="0" w:type="dxa"/>
        <w:tblLayout w:type="fixed"/>
        <w:tblCellMar>
          <w:top w:w="28" w:type="dxa"/>
          <w:left w:w="28" w:type="dxa"/>
          <w:bottom w:w="28" w:type="dxa"/>
          <w:right w:w="28" w:type="dxa"/>
        </w:tblCellMar>
      </w:tblPr>
      <w:tblGrid>
        <w:gridCol w:w="1081"/>
        <w:gridCol w:w="109"/>
        <w:gridCol w:w="298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Press release, dated August 6, 2026</w:t>
              </w:r>
            </w:hyperlink>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6,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zlv-ex99_1.htm"/>
      <w:bookmarkStart w:id="3" w:name="ksrzlvex99_1"/>
      <w:bookmarkEnd w:id="2"/>
      <w:bookmarkEnd w:id="3"/>
      <w:r>
        <w:rPr>
          <w:rFonts w:ascii="Times New Roman" w:hAnsi="Times New Roman"/>
          <w:b/>
          <w:color w:val="000000"/>
          <w:sz w:val="20"/>
        </w:rPr>
        <w:t>Exhibit 99.1</w:t>
      </w:r>
      <w:r>
        <w:br w:type="page"/>
      </w:r>
    </w:p>
    <w:p>
      <w:pPr>
        <w:pStyle w:val="TextBody"/>
        <w:bidi w:val="0"/>
        <w:jc w:val="center"/>
        <w:rPr>
          <w:rFonts w:ascii="Aptos;sans-serif" w:hAnsi="Aptos;sans-serif"/>
          <w:b/>
          <w:color w:val="000000"/>
          <w:sz w:val="24"/>
        </w:rPr>
      </w:pPr>
      <w:r>
        <w:rPr>
          <w:rFonts w:ascii="Aptos;sans-serif" w:hAnsi="Aptos;sans-serif"/>
          <w:b/>
          <w:color w:val="000000"/>
          <w:sz w:val="24"/>
        </w:rPr>
        <w:t>Commerce.com’s Q2 Results Validate Rezolve Ai’s Strategic Case as Standalone Outlook Deteriorates</w:t>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Flat revenue, declining subscription sales, margin compression and reduced FY26 guidance contrast with Rezolve Ai’s nearly 20x expected H1 growth and reaffirmed approximately $360 million revenue outlook</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NEW YORK, August 6, 2026 – Rezolve Ai PLC (NASDAQ: RZLV), a global leader in agentic commerce and AI-powered customer engagement, today commented on the second-quarter results announced by Commerce.com, Inc. which Rezolve Ai believes validate the concerns it raised when Commerce.com’s Board rejected the proposed strategic combination earlier this year.</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Commerce.com today reported:</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 Second-quarter revenue of $84.5 million, representing growth of just 0.1% year-on-year. When adjusted for inflation of 3.5%, this represents a -3.4% decline;</w:t>
      </w:r>
    </w:p>
    <w:p>
      <w:pPr>
        <w:pStyle w:val="TextBody"/>
        <w:bidi w:val="0"/>
        <w:jc w:val="left"/>
        <w:rPr>
          <w:rFonts w:ascii="Aptos;sans-serif" w:hAnsi="Aptos;sans-serif"/>
          <w:color w:val="000000"/>
          <w:sz w:val="24"/>
        </w:rPr>
      </w:pPr>
      <w:r>
        <w:rPr>
          <w:rFonts w:ascii="Aptos;sans-serif" w:hAnsi="Aptos;sans-serif"/>
          <w:color w:val="000000"/>
          <w:sz w:val="24"/>
        </w:rPr>
        <w:t>- Subscription solutions revenue declining by 1%;</w:t>
      </w:r>
    </w:p>
    <w:p>
      <w:pPr>
        <w:pStyle w:val="TextBody"/>
        <w:bidi w:val="0"/>
        <w:jc w:val="left"/>
        <w:rPr>
          <w:rFonts w:ascii="Aptos;sans-serif" w:hAnsi="Aptos;sans-serif"/>
          <w:color w:val="000000"/>
          <w:sz w:val="24"/>
        </w:rPr>
      </w:pPr>
      <w:r>
        <w:rPr>
          <w:rFonts w:ascii="Aptos;sans-serif" w:hAnsi="Aptos;sans-serif"/>
          <w:color w:val="000000"/>
          <w:sz w:val="24"/>
        </w:rPr>
        <w:t>- GAAP gross margin falling to 75% from 79%;</w:t>
      </w:r>
    </w:p>
    <w:p>
      <w:pPr>
        <w:pStyle w:val="TextBody"/>
        <w:bidi w:val="0"/>
        <w:jc w:val="left"/>
        <w:rPr>
          <w:rFonts w:ascii="Times New Roman" w:hAnsi="Times New Roman"/>
          <w:sz w:val="20"/>
        </w:rPr>
      </w:pPr>
      <w:r>
        <w:rPr>
          <w:rFonts w:ascii="Aptos;sans-serif" w:hAnsi="Aptos;sans-serif"/>
          <w:color w:val="000000"/>
          <w:sz w:val="24"/>
        </w:rPr>
        <w:t>- GMV grew by 14% yet revenue grew only 0.1%, which shows declining revenue per GMV;</w:t>
      </w:r>
      <w:r>
        <w:rPr>
          <w:rFonts w:ascii="Times New Roman" w:hAnsi="Times New Roman"/>
          <w:color w:val="000000"/>
          <w:sz w:val="20"/>
        </w:rPr>
        <w:t xml:space="preserve"> </w:t>
      </w:r>
    </w:p>
    <w:p>
      <w:pPr>
        <w:pStyle w:val="TextBody"/>
        <w:bidi w:val="0"/>
        <w:jc w:val="left"/>
        <w:rPr>
          <w:rFonts w:ascii="Aptos;sans-serif" w:hAnsi="Aptos;sans-serif"/>
          <w:color w:val="000000"/>
          <w:sz w:val="24"/>
        </w:rPr>
      </w:pPr>
      <w:r>
        <w:rPr>
          <w:rFonts w:ascii="Aptos;sans-serif" w:hAnsi="Aptos;sans-serif"/>
          <w:color w:val="000000"/>
          <w:sz w:val="24"/>
        </w:rPr>
        <w:t>- Free cash flow declining to $0.1 million from $11.9 million in the prior-year period;</w:t>
      </w:r>
    </w:p>
    <w:p>
      <w:pPr>
        <w:pStyle w:val="TextBody"/>
        <w:bidi w:val="0"/>
        <w:jc w:val="left"/>
        <w:rPr>
          <w:rFonts w:ascii="Aptos;sans-serif" w:hAnsi="Aptos;sans-serif"/>
          <w:color w:val="000000"/>
          <w:sz w:val="24"/>
        </w:rPr>
      </w:pPr>
      <w:r>
        <w:rPr>
          <w:rFonts w:ascii="Aptos;sans-serif" w:hAnsi="Aptos;sans-serif"/>
          <w:color w:val="000000"/>
          <w:sz w:val="24"/>
        </w:rPr>
        <w:t>- Full-year revenue guidance reduced to $336.5 million–$344.5 million from $347.5 million–$369.5 million; and</w:t>
      </w:r>
    </w:p>
    <w:p>
      <w:pPr>
        <w:pStyle w:val="TextBody"/>
        <w:bidi w:val="0"/>
        <w:jc w:val="left"/>
        <w:rPr>
          <w:rFonts w:ascii="Aptos;sans-serif" w:hAnsi="Aptos;sans-serif"/>
          <w:color w:val="000000"/>
          <w:sz w:val="24"/>
        </w:rPr>
      </w:pPr>
      <w:r>
        <w:rPr>
          <w:rFonts w:ascii="Aptos;sans-serif" w:hAnsi="Aptos;sans-serif"/>
          <w:color w:val="000000"/>
          <w:sz w:val="24"/>
        </w:rPr>
        <w:t>- Full-year non-GAAP operating income guidance reduced to $28 million–$34 million from $34 million–$53 million.</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revised revenue outlook implies a full-year performance ranging from a decline to less than 1% growth against Commerce.com’s 2025 revenue of $342.3 million.</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While cost reductions enabled Commerce.com to report GAAP net income of $1.1 million and adjusted EBITDA of $9.7 million, Rezolve Ai believes these improvements do not address the more fundamental challenge confronting the business: the absence of meaningful growth as commerce rapidly shifts towards proprietary, AI-native infrastructure.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At 8:42 a.m. Eastern Time, Commerce.com shares were quoted at approximately $2.24 in pre-market trading, down approximately 34% from the previous close, according to Nasdaq market data.</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Daniel M. Wagner, Chairman and CEO of Rezolve Ai, said:</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4"/>
        </w:rPr>
        <w:t>In April, Commerce.com’s Board rejected the opportunity to engage with Rezolve Ai, arguing that our proposal undervalued the company and that its standalone transformation would deliver greater shareholder value. Today, Commerce.com has revealed the flaws in that strategy through its own results: virtually no revenue growth,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declining subscription revenue, contracting gross margins, collapsing free cash flow and materially reduced guidance.</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The market’s reaction is understandable. A rebrand is not a transformation, incremental features are not proprietary AI and cost reductions cannot create enduring growth. Commerce.com’s Board rejected strategic change without demonstrating a credible alternative capable of restoring growth.”</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Rezolve’s Growth Trajectory Moves Ahead</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contrast with Rezolve Ai’s performance has continued to widen.</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Based on preliminary, unaudited management accounts, Rezolve Ai expects H1 2026 revenue of approximately $127 million, compared with $6.32 million in H1 2025, representing nearly 20x year-on-year growth and more than 2.7 times Rezolve Ai’s entire audited FY2025 revenue of $46.8 million.</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has reaffirmed approximately $360 million of revenue guidance for FY2026, representing approximately 7.5 times its FY2025 revenue. That guidance now exceeds the top of Commerce.com’s reduced full-year revenue range.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also continues to target an exit 2026 annual recurring revenue run rate of at least $500 million, supported by more than 1,000 enterprise customers, expanding production deployments and partner-led distribution through global technology and consulting relationships.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Mr. Wagner continued:</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Rezolve Ai and Commerce.com are now moving at fundamentally different velocities. One business is attempting to attach AI capabilities to a legacy commerce platform while managing contraction. Rezolve Ai has been built from the ground up for agentic commerce and is scaling proprietary AI, enterprise services and global distribution together.</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Commerce.com still possesses valuable assets, including its merchant ecosystem, enterprise relationships and product-data infrastructure. We continue to believe those assets could generate substantially greater value when combined with Rezolve Ai’s Brain Suite, proprietary AI and transaction capabilities.</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The strategic logic for a combination is even stronger today than when we first approached Commerce.com. But time and execution have consequences. Commerce.com and its shareholders are in a weaker position today and any future discussion would necessarily need to reflect current operating performance, market conditions and the additional risks created by the Board’s delay. Rezolve Ai will remain disciplined and will not ask its shareholders to pay for that delay.”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is not announcing a new or amended proposal through this release. The Company remains focused on executing its standalone growth strategy and will report its H1 2026 results and host an investor call on September 1, 2026.</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About Rezolve Ai</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is a global leader in AI-powered commerce technology. Its Brain Suite platform helps retailers, brands and financial institutions deliver intelligent search, conversational engagement, personalized recommendations and AI-powered transactions through secure, commerce-tuned and auditable artificial intelligence.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For more information, visit rezolve.com.</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Media Contact</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Urmee Khan</w:t>
      </w:r>
    </w:p>
    <w:p>
      <w:pPr>
        <w:pStyle w:val="TextBody"/>
        <w:bidi w:val="0"/>
        <w:jc w:val="left"/>
        <w:rPr>
          <w:rFonts w:ascii="Aptos;sans-serif" w:hAnsi="Aptos;sans-serif"/>
          <w:color w:val="000000"/>
          <w:sz w:val="24"/>
        </w:rPr>
      </w:pPr>
      <w:r>
        <w:rPr>
          <w:rFonts w:ascii="Aptos;sans-serif" w:hAnsi="Aptos;sans-serif"/>
          <w:color w:val="000000"/>
          <w:sz w:val="24"/>
        </w:rPr>
        <w:t>Global Head of Communications</w:t>
      </w:r>
    </w:p>
    <w:p>
      <w:pPr>
        <w:pStyle w:val="TextBody"/>
        <w:bidi w:val="0"/>
        <w:jc w:val="left"/>
        <w:rPr>
          <w:rFonts w:ascii="Aptos;sans-serif" w:hAnsi="Aptos;sans-serif"/>
          <w:color w:val="000000"/>
          <w:sz w:val="24"/>
        </w:rPr>
      </w:pPr>
      <w:r>
        <w:rPr>
          <w:rFonts w:ascii="Aptos;sans-serif" w:hAnsi="Aptos;sans-serif"/>
          <w:color w:val="000000"/>
          <w:sz w:val="24"/>
        </w:rPr>
        <w:t>urmeekhan@rezolve.com</w:t>
      </w:r>
    </w:p>
    <w:p>
      <w:pPr>
        <w:pStyle w:val="TextBody"/>
        <w:bidi w:val="0"/>
        <w:jc w:val="left"/>
        <w:rPr>
          <w:rFonts w:ascii="Aptos;sans-serif" w:hAnsi="Aptos;sans-serif"/>
          <w:color w:val="000000"/>
          <w:sz w:val="24"/>
        </w:rPr>
      </w:pPr>
      <w:r>
        <w:rPr>
          <w:rFonts w:ascii="Aptos;sans-serif" w:hAnsi="Aptos;sans-serif"/>
          <w:color w:val="000000"/>
          <w:sz w:val="24"/>
        </w:rPr>
        <w:t>+44 7576 094 040</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Investor Contact</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investors@rezolve.com</w:t>
      </w:r>
    </w:p>
    <w:p>
      <w:pPr>
        <w:pStyle w:val="TextBody"/>
        <w:bidi w:val="0"/>
        <w:jc w:val="left"/>
        <w:rPr/>
      </w:pPr>
      <w:r>
        <w:rPr/>
        <w:t> </w:t>
      </w:r>
    </w:p>
    <w:p>
      <w:pPr>
        <w:pStyle w:val="TextBody"/>
        <w:bidi w:val="0"/>
        <w:jc w:val="left"/>
        <w:rPr>
          <w:rFonts w:ascii="Aptos;sans-serif" w:hAnsi="Aptos;sans-serif"/>
          <w:b/>
          <w:i/>
          <w:color w:val="000000"/>
          <w:sz w:val="24"/>
        </w:rPr>
      </w:pPr>
      <w:r>
        <w:rPr>
          <w:rFonts w:ascii="Aptos;sans-serif" w:hAnsi="Aptos;sans-serif"/>
          <w:b/>
          <w:i/>
          <w:color w:val="000000"/>
          <w:sz w:val="24"/>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i/>
          <w:color w:val="000000"/>
          <w:sz w:val="24"/>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pStyle w:val="TextBody"/>
        <w:bidi w:val="0"/>
        <w:jc w:val="left"/>
        <w:rPr>
          <w:rFonts w:ascii="Aptos;sans-serif" w:hAnsi="Aptos;sans-serif"/>
          <w:b/>
          <w:i/>
          <w:color w:val="000000"/>
          <w:sz w:val="24"/>
        </w:rPr>
      </w:pPr>
      <w:r>
        <w:rPr>
          <w:rFonts w:ascii="Aptos;sans-serif" w:hAnsi="Aptos;sans-serif"/>
          <w:b/>
          <w:i/>
          <w:color w:val="000000"/>
          <w:sz w:val="24"/>
        </w:rPr>
        <w:t>Additional Information Regarding the Proposed Transaction</w:t>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pStyle w:val="TextBody"/>
        <w:bidi w:val="0"/>
        <w:jc w:val="left"/>
        <w:rPr>
          <w:rFonts w:ascii="Times New Roman" w:hAnsi="Times New Roman"/>
          <w:sz w:val="20"/>
        </w:rPr>
      </w:pPr>
      <w:r>
        <w:rPr>
          <w:rFonts w:ascii="Aptos;sans-serif" w:hAnsi="Aptos;sans-serif"/>
          <w:i/>
          <w:color w:val="000000"/>
          <w:sz w:val="24"/>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maintained by the SEC at www.sec.gov, and by visiting Rezolve's investor relations site at investor.rezolve.com.</w:t>
      </w:r>
    </w:p>
    <w:p>
      <w:pPr>
        <w:pStyle w:val="TextBody"/>
        <w:bidi w:val="0"/>
        <w:jc w:val="left"/>
        <w:rPr>
          <w:rFonts w:ascii="Aptos;sans-serif" w:hAnsi="Aptos;sans-serif"/>
          <w:i/>
          <w:color w:val="000000"/>
          <w:sz w:val="24"/>
        </w:rPr>
      </w:pPr>
      <w:r>
        <w:rPr>
          <w:rFonts w:ascii="Aptos;sans-serif" w:hAnsi="Aptos;sans-serif"/>
          <w:i/>
          <w:color w:val="000000"/>
          <w:sz w:val="24"/>
        </w:rPr>
        <w:t>This press release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investor.rezolve.com.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2019</Words>
  <Characters>11829</Characters>
  <CharactersWithSpaces>13831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