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3rd Floor, 80 New Bond Street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W1S 1SB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25,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Trade &amp; Services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Jeff Kauten</w:t>
      </w:r>
    </w:p>
    <w:p>
      <w:pPr>
        <w:spacing w:after="0" w:line="9"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Matthew Derby</w:t>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 on Form F-1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333-282004</w:t>
      </w:r>
    </w:p>
    <w:p>
      <w:pPr>
        <w:spacing w:after="0" w:line="200" w:lineRule="exact"/>
        <w:rPr>
          <w:sz w:val="24"/>
          <w:szCs w:val="24"/>
          <w:color w:val="auto"/>
        </w:rPr>
      </w:pPr>
    </w:p>
    <w:p>
      <w:pPr>
        <w:sectPr>
          <w:pgSz w:w="11900" w:h="16838" w:orient="portrait"/>
          <w:cols w:equalWidth="0" w:num="2">
            <w:col w:w="460" w:space="700"/>
            <w:col w:w="10080"/>
          </w:cols>
          <w:pgMar w:left="320" w:top="1440"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Rezolve AI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acceleration of the effective date of the above referenced Registration Statement to 5:00 p.m., Eastern Time, on November 27, 2024, or as soon thereafter as practicable, or at such other time as the Company, or their outside counsel, DLA Piper LLP (US), requests by telephone that such Registration Statement be declared effective.</w:t>
      </w:r>
    </w:p>
    <w:p>
      <w:pPr>
        <w:spacing w:after="0" w:line="180" w:lineRule="exact"/>
        <w:rPr>
          <w:sz w:val="24"/>
          <w:szCs w:val="24"/>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Please contact Penny Minna of DLA Piper LLP (US) at (410) 580-4228 as soon as the Registration Statement has been declared effective, or if you have any other questions or concerns regarding this matter.</w:t>
      </w:r>
    </w:p>
    <w:p>
      <w:pPr>
        <w:spacing w:after="0" w:line="162"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231F20"/>
        </w:rPr>
        <w:t>Sincerely,</w:t>
      </w:r>
    </w:p>
    <w:p>
      <w:pPr>
        <w:spacing w:after="0" w:line="22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69862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7"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Name: Daniel Wagner</w:t>
      </w:r>
    </w:p>
    <w:p>
      <w:pPr>
        <w:spacing w:after="0" w:line="23"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2024-12-27T23:12:18Z</dcterms:created>
  <dcterms:modified xsi:type="dcterms:W3CDTF">2024-12-27T23:12:18Z</dcterms:modified>
</cp:coreProperties>
</file>