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225425</wp:posOffset>
            </wp:positionV>
            <wp:extent cx="698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267970</wp:posOffset>
            </wp:positionV>
            <wp:extent cx="698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140970</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181610</wp:posOffset>
            </wp:positionV>
            <wp:extent cx="146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60" w:right="1280" w:hanging="438"/>
        <w:spacing w:after="0" w:line="237"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12(g) OF THE SECURITIES EXCHANGE ACT OF 1934</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60" w:hanging="438"/>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43"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3959225</wp:posOffset>
            </wp:positionH>
            <wp:positionV relativeFrom="paragraph">
              <wp:posOffset>-5080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9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60" w:right="60" w:hanging="438"/>
        <w:spacing w:after="0" w:line="261" w:lineRule="auto"/>
        <w:tabs>
          <w:tab w:leader="none" w:pos="5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2"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3790315</wp:posOffset>
            </wp:positionH>
            <wp:positionV relativeFrom="paragraph">
              <wp:posOffset>-5080</wp:posOffset>
            </wp:positionV>
            <wp:extent cx="1036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60" w:right="440" w:hanging="438"/>
        <w:spacing w:after="0" w:line="261" w:lineRule="auto"/>
        <w:tabs>
          <w:tab w:leader="none" w:pos="56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 August 15, 2024</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001-41856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165100</wp:posOffset>
            </wp:positionV>
            <wp:extent cx="146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149860</wp:posOffset>
            </wp:positionV>
            <wp:extent cx="1464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38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3" w:lineRule="exact"/>
        <w:rPr>
          <w:sz w:val="24"/>
          <w:szCs w:val="24"/>
          <w:color w:val="auto"/>
        </w:rPr>
      </w:pPr>
    </w:p>
    <w:p>
      <w:pPr>
        <w:sectPr>
          <w:pgSz w:w="11900" w:h="16838" w:orient="portrait"/>
          <w:cols w:equalWidth="0" w:num="2">
            <w:col w:w="7100" w:space="720"/>
            <w:col w:w="3320"/>
          </w:cols>
          <w:pgMar w:left="320" w:top="225" w:right="439" w:bottom="1440" w:gutter="0" w:footer="0" w:header="0"/>
          <w:type w:val="continuous"/>
        </w:sect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(Translation of Registrant’s</w:t>
      </w: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into English)</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or organization)</w:t>
      </w:r>
    </w:p>
    <w:p>
      <w:pPr>
        <w:spacing w:after="0" w:line="93" w:lineRule="exact"/>
        <w:rPr>
          <w:sz w:val="24"/>
          <w:szCs w:val="24"/>
          <w:color w:val="auto"/>
        </w:rPr>
      </w:pPr>
    </w:p>
    <w:p>
      <w:pPr>
        <w:sectPr>
          <w:pgSz w:w="11900" w:h="16838" w:orient="portrait"/>
          <w:cols w:equalWidth="0" w:num="2">
            <w:col w:w="6820" w:space="720"/>
            <w:col w:w="3600"/>
          </w:cols>
          <w:pgMar w:left="320" w:top="22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London, W1S 1SB, United Kingdom</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140"/>
          </w:cols>
          <w:pgMar w:left="320" w:top="225" w:right="439" w:bottom="1440" w:gutter="0" w:footer="0" w:header="0"/>
          <w:type w:val="continuous"/>
        </w:sectPr>
      </w:pP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Daniel M. Wagner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 +44 7785 32 33 32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London, W1S 1SB, United Kingdom</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141605</wp:posOffset>
            </wp:positionV>
            <wp:extent cx="1464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1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Ordinary Shares,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5"/>
              </w:rPr>
              <w:t>RZLV</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RZLVW</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one Ordinary Share, each at an exercise price of</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$11.50 per share</w:t>
            </w: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165100</wp:posOffset>
            </wp:positionV>
            <wp:extent cx="14643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43"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shell company report:</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21, 2024, the issuer had 172,182,769 ordinary shares, par value $0.0001 per share, outstanding.</w:t>
      </w:r>
    </w:p>
    <w:p>
      <w:pPr>
        <w:spacing w:after="0" w:line="76"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0"/>
          <w:szCs w:val="20"/>
          <w:color w:val="auto"/>
        </w:rPr>
      </w:pPr>
    </w:p>
    <w:p>
      <w:pPr>
        <w:ind w:left="1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0"/>
          <w:szCs w:val="20"/>
          <w:color w:val="auto"/>
        </w:rPr>
      </w:pPr>
    </w:p>
    <w:p>
      <w:pPr>
        <w:ind w:left="120"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or a non-accelerated filer, or an emerging growth company.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definition of “accelerated filer,” “large accelerated filer,” and “emerging growth company” in Rule 12b-2 of the Exchange Act. (Check one):</w:t>
      </w:r>
    </w:p>
    <w:p>
      <w:pPr>
        <w:sectPr>
          <w:pgSz w:w="11900" w:h="16838" w:orient="portrait"/>
          <w:cols w:equalWidth="0" w:num="1">
            <w:col w:w="11120"/>
          </w:cols>
          <w:pgMar w:left="320" w:top="454" w:right="459" w:bottom="1440" w:gutter="0" w:footer="0" w:header="0"/>
        </w:sectPr>
      </w:pP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3" w:lineRule="exact"/>
        <w:rPr>
          <w:sz w:val="20"/>
          <w:szCs w:val="20"/>
          <w:color w:val="auto"/>
        </w:rPr>
      </w:pPr>
    </w:p>
    <w:p>
      <w:pPr>
        <w:sectPr>
          <w:pgSz w:w="11900" w:h="16838" w:orient="portrait"/>
          <w:cols w:equalWidth="0" w:num="6">
            <w:col w:w="1740" w:space="720"/>
            <w:col w:w="1800" w:space="720"/>
            <w:col w:w="1220" w:space="100"/>
            <w:col w:w="1580" w:space="720"/>
            <w:col w:w="1580" w:space="720"/>
            <w:col w:w="220"/>
          </w:cols>
          <w:pgMar w:left="320" w:top="454" w:right="459" w:bottom="1440" w:gutter="0" w:footer="0" w:header="0"/>
          <w:type w:val="continuous"/>
        </w:sectPr>
      </w:pPr>
    </w:p>
    <w:p>
      <w:pPr>
        <w:spacing w:after="0" w:line="4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84" w:lineRule="exact"/>
        <w:rPr>
          <w:sz w:val="20"/>
          <w:szCs w:val="20"/>
          <w:color w:val="auto"/>
        </w:rPr>
      </w:pPr>
    </w:p>
    <w:p>
      <w:pPr>
        <w:sectPr>
          <w:pgSz w:w="11900" w:h="16838" w:orient="portrait"/>
          <w:cols w:equalWidth="0" w:num="2">
            <w:col w:w="10560" w:space="340"/>
            <w:col w:w="220"/>
          </w:cols>
          <w:pgMar w:left="320" w:top="454" w:right="459" w:bottom="1440" w:gutter="0" w:footer="0" w:header="0"/>
          <w:type w:val="continuous"/>
        </w:sectPr>
      </w:pPr>
    </w:p>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ind w:left="340" w:right="140" w:hanging="218"/>
        <w:spacing w:after="0" w:line="28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left="120"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2" w:lineRule="exact"/>
        <w:rPr>
          <w:sz w:val="20"/>
          <w:szCs w:val="20"/>
          <w:color w:val="auto"/>
        </w:rPr>
      </w:pPr>
    </w:p>
    <w:p>
      <w:pPr>
        <w:ind w:left="120" w:right="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left="120" w:right="5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120"/>
          </w:cols>
          <w:pgMar w:left="320" w:top="454" w:right="459" w:bottom="1440" w:gutter="0" w:footer="0" w:header="0"/>
          <w:type w:val="continuous"/>
        </w:sectPr>
      </w:pPr>
    </w:p>
    <w:p>
      <w:pPr>
        <w:spacing w:after="0" w:line="89" w:lineRule="exact"/>
        <w:rPr>
          <w:sz w:val="20"/>
          <w:szCs w:val="20"/>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International Financial Reporting Standards as issued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111" w:lineRule="exact"/>
        <w:rPr>
          <w:sz w:val="20"/>
          <w:szCs w:val="20"/>
          <w:color w:val="auto"/>
        </w:rPr>
      </w:pPr>
    </w:p>
    <w:p>
      <w:pPr>
        <w:sectPr>
          <w:pgSz w:w="11900" w:h="16838" w:orient="portrait"/>
          <w:cols w:equalWidth="0" w:num="3">
            <w:col w:w="1740" w:space="720"/>
            <w:col w:w="7280" w:space="720"/>
            <w:col w:w="660"/>
          </w:cols>
          <w:pgMar w:left="320" w:top="454" w:right="459" w:bottom="1440" w:gutter="0" w:footer="0" w:header="0"/>
          <w:type w:val="continuous"/>
        </w:sectPr>
      </w:pPr>
    </w:p>
    <w:p>
      <w:pPr>
        <w:ind w:left="2460"/>
        <w:spacing w:after="0"/>
        <w:rPr>
          <w:sz w:val="20"/>
          <w:szCs w:val="20"/>
          <w:color w:val="auto"/>
        </w:rPr>
      </w:pPr>
      <w:r>
        <w:rPr>
          <w:rFonts w:ascii="Times New Roman" w:cs="Times New Roman" w:eastAsia="Times New Roman" w:hAnsi="Times New Roman"/>
          <w:sz w:val="17"/>
          <w:szCs w:val="17"/>
          <w:color w:val="auto"/>
        </w:rPr>
        <w:t>      by the International Accounting Standards Board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116" w:lineRule="exact"/>
        <w:rPr>
          <w:sz w:val="20"/>
          <w:szCs w:val="20"/>
          <w:color w:val="auto"/>
        </w:rPr>
      </w:pPr>
    </w:p>
    <w:p>
      <w:pPr>
        <w:sectPr>
          <w:pgSz w:w="11900" w:h="16838" w:orient="portrait"/>
          <w:cols w:equalWidth="0" w:num="2">
            <w:col w:w="7240" w:space="720"/>
            <w:col w:w="3160"/>
          </w:cols>
          <w:pgMar w:left="320" w:top="454" w:right="459" w:bottom="1440" w:gutter="0" w:footer="0" w:header="0"/>
          <w:type w:val="continuous"/>
        </w:sectPr>
      </w:pPr>
    </w:p>
    <w:p>
      <w:pPr>
        <w:ind w:left="120" w:right="36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21" w:lineRule="exact"/>
        <w:rPr>
          <w:sz w:val="20"/>
          <w:szCs w:val="20"/>
          <w:color w:val="auto"/>
        </w:rPr>
      </w:pPr>
    </w:p>
    <w:p>
      <w:pPr>
        <w:ind w:left="120" w:right="220"/>
        <w:spacing w:after="0" w:line="25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117" w:lineRule="exact"/>
        <w:rPr>
          <w:sz w:val="20"/>
          <w:szCs w:val="20"/>
          <w:color w:val="auto"/>
        </w:rPr>
      </w:pPr>
    </w:p>
    <w:p>
      <w:pPr>
        <w:ind w:left="120"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153670</wp:posOffset>
            </wp:positionV>
            <wp:extent cx="6986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196215</wp:posOffset>
            </wp:positionV>
            <wp:extent cx="69869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38" w:orient="portrait"/>
          <w:cols w:equalWidth="0" w:num="1">
            <w:col w:w="11120"/>
          </w:cols>
          <w:pgMar w:left="320" w:top="454"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EXPLANATORY NOTE</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6600" w:type="dxa"/>
            <w:vAlign w:val="bottom"/>
            <w:gridSpan w:val="24"/>
            <w:vMerge w:val="continue"/>
          </w:tcPr>
          <w:p>
            <w:pPr>
              <w:spacing w:after="0"/>
              <w:rPr>
                <w:sz w:val="13"/>
                <w:szCs w:val="13"/>
                <w:color w:val="auto"/>
              </w:rPr>
            </w:pPr>
          </w:p>
        </w:tc>
        <w:tc>
          <w:tcPr>
            <w:tcW w:w="40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820" w:type="dxa"/>
            <w:vAlign w:val="bottom"/>
          </w:tcPr>
          <w:p>
            <w:pPr>
              <w:spacing w:after="0"/>
              <w:rPr>
                <w:sz w:val="18"/>
                <w:szCs w:val="18"/>
                <w:color w:val="auto"/>
              </w:rPr>
            </w:pP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EE"/>
                <w:w w:val="98"/>
              </w:rPr>
              <w:t>PRESENTATION OF FINANCIAL AND OTHER INFORMATION</w:t>
            </w:r>
          </w:p>
        </w:tc>
        <w:tc>
          <w:tcPr>
            <w:tcW w:w="1640" w:type="dxa"/>
            <w:vAlign w:val="bottom"/>
            <w:gridSpan w:val="3"/>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1"/>
              </w:rPr>
              <w:t>PART I</w:t>
            </w:r>
          </w:p>
        </w:tc>
        <w:tc>
          <w:tcPr>
            <w:tcW w:w="6060" w:type="dxa"/>
            <w:vAlign w:val="bottom"/>
            <w:gridSpan w:val="22"/>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6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1680" w:type="dxa"/>
            <w:vAlign w:val="bottom"/>
            <w:gridSpan w:val="4"/>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Item 3. Key Information</w:t>
            </w:r>
          </w:p>
        </w:tc>
        <w:tc>
          <w:tcPr>
            <w:tcW w:w="1660" w:type="dxa"/>
            <w:vAlign w:val="bottom"/>
            <w:tcBorders>
              <w:top w:val="single" w:sz="8" w:color="0000EE"/>
            </w:tcBorders>
            <w:gridSpan w:val="7"/>
          </w:tcPr>
          <w:p>
            <w:pPr>
              <w:spacing w:after="0"/>
              <w:rPr>
                <w:sz w:val="17"/>
                <w:szCs w:val="17"/>
                <w:color w:val="auto"/>
              </w:rPr>
            </w:pPr>
          </w:p>
        </w:tc>
        <w:tc>
          <w:tcPr>
            <w:tcW w:w="2820" w:type="dxa"/>
            <w:vAlign w:val="bottom"/>
            <w:gridSpan w:val="10"/>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9"/>
              </w:rPr>
              <w:t>Item 5. Operating and Financial Review and Prospects</w:t>
            </w:r>
          </w:p>
        </w:tc>
        <w:tc>
          <w:tcPr>
            <w:tcW w:w="2300" w:type="dxa"/>
            <w:vAlign w:val="bottom"/>
            <w:gridSpan w:val="8"/>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92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6. Directors, Senior Management and Employees</w:t>
            </w:r>
          </w:p>
        </w:tc>
        <w:tc>
          <w:tcPr>
            <w:tcW w:w="2320" w:type="dxa"/>
            <w:vAlign w:val="bottom"/>
            <w:gridSpan w:val="9"/>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Item 7. Major Shareholders and Related Party Transactions</w:t>
            </w:r>
          </w:p>
        </w:tc>
        <w:tc>
          <w:tcPr>
            <w:tcW w:w="1980" w:type="dxa"/>
            <w:vAlign w:val="bottom"/>
            <w:gridSpan w:val="6"/>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Item 8. Financial Information</w:t>
            </w:r>
          </w:p>
        </w:tc>
        <w:tc>
          <w:tcPr>
            <w:tcW w:w="4100" w:type="dxa"/>
            <w:vAlign w:val="bottom"/>
            <w:gridSpan w:val="15"/>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10. Additional Information</w:t>
            </w:r>
          </w:p>
        </w:tc>
        <w:tc>
          <w:tcPr>
            <w:tcW w:w="3920" w:type="dxa"/>
            <w:vAlign w:val="bottom"/>
            <w:gridSpan w:val="14"/>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11. Quantitative and Qualitative Disclosures about Market Risks</w:t>
            </w:r>
          </w:p>
        </w:tc>
        <w:tc>
          <w:tcPr>
            <w:tcW w:w="1220" w:type="dxa"/>
            <w:vAlign w:val="bottom"/>
            <w:gridSpan w:val="2"/>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20" w:type="dxa"/>
            <w:vAlign w:val="bottom"/>
            <w:tcBorders>
              <w:bottom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12. Description of Securities Other than Equity Securities</w:t>
            </w:r>
          </w:p>
        </w:tc>
        <w:tc>
          <w:tcPr>
            <w:tcW w:w="1720" w:type="dxa"/>
            <w:vAlign w:val="bottom"/>
            <w:gridSpan w:val="5"/>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2"/>
              </w:rPr>
              <w:t>PART II</w:t>
            </w:r>
          </w:p>
        </w:tc>
        <w:tc>
          <w:tcPr>
            <w:tcW w:w="6000" w:type="dxa"/>
            <w:vAlign w:val="bottom"/>
            <w:gridSpan w:val="21"/>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tcBorders>
              <w:bottom w:val="single" w:sz="8" w:color="0000EE"/>
            </w:tcBorders>
            <w:gridSpan w:val="23"/>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15. Controls and Procedures</w:t>
            </w:r>
          </w:p>
        </w:tc>
        <w:tc>
          <w:tcPr>
            <w:tcW w:w="3820" w:type="dxa"/>
            <w:vAlign w:val="bottom"/>
            <w:gridSpan w:val="13"/>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8"/>
              </w:rPr>
              <w:t>Item 16. [Reserved]</w:t>
            </w:r>
          </w:p>
        </w:tc>
        <w:tc>
          <w:tcPr>
            <w:tcW w:w="4780" w:type="dxa"/>
            <w:vAlign w:val="bottom"/>
            <w:gridSpan w:val="18"/>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3"/>
              </w:rPr>
              <w:t>PART III</w:t>
            </w:r>
          </w:p>
        </w:tc>
        <w:tc>
          <w:tcPr>
            <w:tcW w:w="5940" w:type="dxa"/>
            <w:vAlign w:val="bottom"/>
            <w:gridSpan w:val="20"/>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100" w:type="dxa"/>
            <w:vAlign w:val="bottom"/>
            <w:gridSpan w:val="15"/>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40" w:type="dxa"/>
            <w:vAlign w:val="bottom"/>
            <w:tcBorders>
              <w:top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Item 19. Exhibits</w:t>
            </w:r>
          </w:p>
        </w:tc>
        <w:tc>
          <w:tcPr>
            <w:tcW w:w="4100" w:type="dxa"/>
            <w:vAlign w:val="bottom"/>
            <w:gridSpan w:val="15"/>
          </w:tcPr>
          <w:p>
            <w:pPr>
              <w:spacing w:after="0"/>
              <w:rPr>
                <w:sz w:val="17"/>
                <w:szCs w:val="17"/>
                <w:color w:val="auto"/>
              </w:rPr>
            </w:pPr>
          </w:p>
        </w:tc>
        <w:tc>
          <w:tcPr>
            <w:tcW w:w="4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4"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August 15, 2024 (the “Closing Date”), Armada Acquisition Corp. I, a Delaware corporation (“Armada”), Rezolve Limited, a private limited company organized under the laws of England and Wales (“Rezolve Limited”), Rezolve AI Limited, a private limited liability company registered under the laws of England and Wales with registration number 14573691 (the “Company”) and Rezolve Merger Sub, Inc., a Delaware corporation (“Rezolve Merger Sub”), consummated the business combination pursuant to the terms of the Business Combination Agreement, dated as of December 17, 2021 (as amended or supplemented from time to time, the “Business Combination Agreement”), pursuant to which, among other things, (i) on July 4, 2024, Rezolve Limited effected a pre-Closing demerger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(as defined below) and (iii ) on the Closing Date, Armada merged with and into Rezolve Merger Sub, with Armada surviving as a wholly owned subsidiary of the Company, with shareholders of Armada receiving Ordinary Shares (defined below) in exchange for their existing Armada common stock and Armada warrant holders having their warrants automatically exchanged by assumption by the Company of the obligations under such warrants.</w:t>
      </w:r>
    </w:p>
    <w:p>
      <w:pPr>
        <w:spacing w:after="0" w:line="19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 Company had no operations prior to entering into the Business Combination Agreement. The Company’s sole purpose was to become a holding company following the Business Combination. Upon the closing of the Business Combination, the Company became the direct parent of Armada and all of the subsidiaries of Rezolve Limited (except for Rezolve Information Technology (Shanghai) Co Ltd and its wholly owned subsidiary Nine Stone (Shanghai) Ltd and Rezolve Information Technology (Shanghai) Co Ltd Beijing Branch.)</w:t>
      </w:r>
    </w:p>
    <w:p>
      <w:pPr>
        <w:spacing w:after="0" w:line="182"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8"/>
          <w:szCs w:val="18"/>
          <w:color w:val="auto"/>
        </w:rPr>
        <w:t>The Company’s ordinary shares, par value $0.0001 (“Ordinary Shares”) and the warrants to acquire one Ordinary Share at an exercise price of $11.50 per Ordinary Share (“Public Warrants”) are trading on the Nasdaq Stock Market LLC (“Nasdaq”) under the symbols “RZLV” and “RZLVW”, respectively.</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Shell Company Report on Form 20-F (the “Report”) is due within four business days after the consummation of the Business Combination.</w:t>
      </w:r>
    </w:p>
    <w:p>
      <w:pPr>
        <w:spacing w:after="0" w:line="1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4"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Forward-looking statements provide our current expectations or forecasts of future events of the Company. Forward-looking statements include statements other than statements of historical fact, including statements about the Company’s expectations, beliefs, plans, objectives, intentions, assumptions and other statements. These forward-looking statements include, but are not limited to, statements relating to expectations for future financial performance, business strategies, financings and expectations for the Company’s business. Specifically, forward-looking statements may include statements preceded by, followed by or that include the words “may”, “can”, “should”, “will”, “estimate”, “plan”, “project”, “forecast”, “intend”, “expect”, “anticipate”, “believe”, “seek”, “target” or similar expressions.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 this Report are based on information available as of the date of this Report and Company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were reasonable at the time made, they cannot guarantee future results, level of activity, volume of sales, performance or achievements. Moreover, no one assumes responsibility for the accuracy or completeness of any of these forward-looking statements. You should carefully consider the cautionary statements contained or referred to in connection with the forward-looking statements contained in this Report.</w:t>
      </w:r>
    </w:p>
    <w:p>
      <w:pPr>
        <w:spacing w:after="0" w:line="182" w:lineRule="exact"/>
        <w:rPr>
          <w:sz w:val="20"/>
          <w:szCs w:val="20"/>
          <w:color w:val="auto"/>
        </w:rPr>
      </w:pPr>
    </w:p>
    <w:p>
      <w:pPr>
        <w:ind w:left="120" w:right="60"/>
        <w:spacing w:after="0" w:line="265"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As a result of a number of known and unknown risks and uncertainties, our actual results or performance may be materially different from those expressed or implied by these forward-looking statements. Factors that could cause actual results to differ include:</w:t>
      </w:r>
    </w:p>
    <w:p>
      <w:pPr>
        <w:spacing w:after="0" w:line="83" w:lineRule="exact"/>
        <w:rPr>
          <w:sz w:val="20"/>
          <w:szCs w:val="20"/>
          <w:color w:val="auto"/>
        </w:rPr>
      </w:pPr>
    </w:p>
    <w:p>
      <w:pPr>
        <w:ind w:left="1100" w:hanging="438"/>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28" w:lineRule="exact"/>
        <w:rPr>
          <w:rFonts w:ascii="Times New Roman" w:cs="Times New Roman" w:eastAsia="Times New Roman" w:hAnsi="Times New Roman"/>
          <w:sz w:val="18"/>
          <w:szCs w:val="18"/>
          <w:color w:val="auto"/>
        </w:rPr>
      </w:pPr>
    </w:p>
    <w:p>
      <w:pPr>
        <w:ind w:left="5580" w:right="3480" w:hanging="4918"/>
        <w:spacing w:after="0" w:line="455" w:lineRule="auto"/>
        <w:tabs>
          <w:tab w:leader="none" w:pos="10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section of this Report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1</w:t>
      </w:r>
    </w:p>
    <w:p>
      <w:pPr>
        <w:sectPr>
          <w:pgSz w:w="11900" w:h="16838" w:orient="portrait"/>
          <w:cols w:equalWidth="0" w:num="1">
            <w:col w:w="11120"/>
          </w:cols>
          <w:pgMar w:left="320" w:top="454"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8"/>
          <w:szCs w:val="18"/>
          <w:color w:val="auto"/>
        </w:rPr>
        <w:t>Except as otherwise indicated or required by context, references in this Report to “we”, “us”, “our”, the “Company” or “Rezolve” refer to Rezolve AI Limited, a private limited company registered under the laws of England and Wales with registration number 14573691, and its consolidated subsidiaries.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Report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4" w:right="4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IDENTITY OF DIRECTORS, SENIOR MANAGEMENT AND ADVISERS</w:t>
      </w:r>
    </w:p>
    <w:p>
      <w:pPr>
        <w:spacing w:after="0" w:line="200" w:lineRule="exact"/>
        <w:rPr>
          <w:sz w:val="20"/>
          <w:szCs w:val="20"/>
          <w:color w:val="auto"/>
        </w:rPr>
      </w:pPr>
    </w:p>
    <w:p>
      <w:pPr>
        <w:sectPr>
          <w:pgSz w:w="11900" w:h="16838" w:orient="portrait"/>
          <w:cols w:equalWidth="0" w:num="2">
            <w:col w:w="780" w:space="440"/>
            <w:col w:w="9920"/>
          </w:cols>
          <w:pgMar w:left="320" w:top="454" w:right="439" w:bottom="1440" w:gutter="0" w:footer="0" w:header="0"/>
          <w:type w:val="continuous"/>
        </w:sectPr>
      </w:pPr>
    </w:p>
    <w:p>
      <w:pPr>
        <w:spacing w:after="0" w:line="41" w:lineRule="exact"/>
        <w:rPr>
          <w:sz w:val="20"/>
          <w:szCs w:val="20"/>
          <w:color w:val="auto"/>
        </w:rPr>
      </w:pPr>
    </w:p>
    <w:p>
      <w:pPr>
        <w:ind w:left="120" w:right="7940" w:firstLine="2"/>
        <w:spacing w:after="0" w:line="399" w:lineRule="auto"/>
        <w:tabs>
          <w:tab w:leader="none" w:pos="55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Directors and Senior Management Management and Board of Directors</w:t>
      </w:r>
    </w:p>
    <w:p>
      <w:pPr>
        <w:spacing w:after="0" w:line="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August 16, 2024. The Company’s Amended and Restated Memorandum and Articles of Association provide that the Company Board of Directors (the “Company Board”)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746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Position and Class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Wagner</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 Director</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left="120" w:right="600"/>
        <w:spacing w:after="0" w:line="281"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4"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4"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322" w:lineRule="exact"/>
        <w:rPr>
          <w:sz w:val="20"/>
          <w:szCs w:val="20"/>
          <w:color w:val="auto"/>
        </w:rPr>
      </w:pPr>
    </w:p>
    <w:p>
      <w:pPr>
        <w:ind w:left="560" w:hanging="438"/>
        <w:spacing w:after="0"/>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Advisers</w:t>
      </w:r>
    </w:p>
    <w:p>
      <w:pPr>
        <w:spacing w:after="0" w:line="121" w:lineRule="exact"/>
        <w:rPr>
          <w:sz w:val="20"/>
          <w:szCs w:val="20"/>
          <w:color w:val="auto"/>
        </w:rPr>
      </w:pPr>
    </w:p>
    <w:p>
      <w:pPr>
        <w:ind w:left="120" w:right="400"/>
        <w:spacing w:after="0" w:line="281" w:lineRule="auto"/>
        <w:rPr>
          <w:sz w:val="20"/>
          <w:szCs w:val="20"/>
          <w:color w:val="auto"/>
        </w:rPr>
      </w:pPr>
      <w:r>
        <w:rPr>
          <w:rFonts w:ascii="Times New Roman" w:cs="Times New Roman" w:eastAsia="Times New Roman" w:hAnsi="Times New Roman"/>
          <w:sz w:val="18"/>
          <w:szCs w:val="18"/>
          <w:color w:val="auto"/>
        </w:rPr>
        <w:t>DLA Piper LLP (US), East 650 S. Exeter Street, Suite 1100, Baltimore, Maryland 21202, has acted as U.S. securities counsel for the Company and Rezolve Limited and will continue to act as U.S. securities counsel to the Company following the closing of the Business Combination.</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4"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Taylor Wessing LLP, 5 New Street Square, London EC4A 3TW, has acted as counsel for the Company and Rezolve Limited with respect to English law and will continue to act as counsel for the Company with respect to English law following the closing of the Business Combination.</w:t>
      </w:r>
    </w:p>
    <w:p>
      <w:pPr>
        <w:spacing w:after="0" w:line="307" w:lineRule="exact"/>
        <w:rPr>
          <w:sz w:val="20"/>
          <w:szCs w:val="20"/>
          <w:color w:val="auto"/>
        </w:rPr>
      </w:pPr>
    </w:p>
    <w:p>
      <w:pPr>
        <w:ind w:left="560" w:hanging="438"/>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Grassi &amp; Co., CPAs, P.C., 50 Jericho Quadrangle Ste 200, Jericho, NY 11753, has acted as the accounting firm for Rezolve AI Limited and Subsidiaries since 2024. Marcum LLP, New York, New York has acted as the accounting firm for Armada since 2021.</w:t>
      </w:r>
    </w:p>
    <w:p>
      <w:pPr>
        <w:sectPr>
          <w:pgSz w:w="11900" w:h="16838" w:orient="portrait"/>
          <w:cols w:equalWidth="0" w:num="1">
            <w:col w:w="11140"/>
          </w:cols>
          <w:pgMar w:left="320" w:top="454" w:right="43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2" w:lineRule="exact"/>
        <w:rPr>
          <w:sz w:val="20"/>
          <w:szCs w:val="20"/>
          <w:color w:val="auto"/>
        </w:rPr>
      </w:pPr>
    </w:p>
    <w:p>
      <w:pPr>
        <w:sectPr>
          <w:pgSz w:w="11900" w:h="16838" w:orient="portrait"/>
          <w:cols w:equalWidth="0" w:num="2">
            <w:col w:w="780" w:space="440"/>
            <w:col w:w="9920"/>
          </w:cols>
          <w:pgMar w:left="320" w:top="454"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ectPr>
          <w:pgSz w:w="11900" w:h="16838" w:orient="portrait"/>
          <w:cols w:equalWidth="0" w:num="1">
            <w:col w:w="11140"/>
          </w:cols>
          <w:pgMar w:left="320" w:top="454" w:right="439" w:bottom="1440" w:gutter="0" w:footer="0" w:header="0"/>
          <w:type w:val="continuous"/>
        </w:sectPr>
      </w:pPr>
    </w:p>
    <w:p>
      <w:pPr>
        <w:spacing w:after="0" w:line="142" w:lineRule="exact"/>
        <w:rPr>
          <w:sz w:val="20"/>
          <w:szCs w:val="20"/>
          <w:color w:val="auto"/>
        </w:rPr>
      </w:pPr>
    </w:p>
    <w:p>
      <w:pPr>
        <w:ind w:left="560" w:hanging="438"/>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72" w:lineRule="exact"/>
        <w:rPr>
          <w:rFonts w:ascii="Times New Roman" w:cs="Times New Roman" w:eastAsia="Times New Roman" w:hAnsi="Times New Roman"/>
          <w:sz w:val="18"/>
          <w:szCs w:val="18"/>
          <w:b w:val="1"/>
          <w:bCs w:val="1"/>
          <w:color w:val="auto"/>
        </w:rPr>
      </w:pPr>
    </w:p>
    <w:p>
      <w:pPr>
        <w:ind w:left="560" w:hanging="438"/>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2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capitalization of the Company on an unaudited pro forma combined basis as of December 31, 2023, after giving effect to the Business Combination, and should be read together with the unaudited pro forma condensed combined financial information of the Company as of and for the year ended December 31, 2023 and for the year ended December 31, 2022, prepared in accordance with Article 11 of SEC Regulation S-X and attached as Exhibit 15.1 to this Report.</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(in $ thousands)</w:t>
            </w:r>
          </w:p>
        </w:tc>
        <w:tc>
          <w:tcPr>
            <w:tcW w:w="20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(in $ thousands)</w:t>
            </w: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b w:val="1"/>
                <w:bCs w:val="1"/>
                <w:color w:val="auto"/>
              </w:rPr>
              <w:t>Cash and cash equivalents, other current financial assets and derivatives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Cash and cash equivalents, other current financial assets and derivatives</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Borrowings, other financial liabilities and derivatives</w:t>
            </w: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financial borrowings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financial borrowings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37,446,343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39,429,652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borrowings, other financial liabilities and derivatives</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37,446,343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39,429,652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(329,464)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(329,464)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(44,959,961)</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(226,291,430)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(2,814,217)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(54,284,884)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(47,961,048)</w:t>
            </w:r>
          </w:p>
        </w:tc>
        <w:tc>
          <w:tcPr>
            <w:tcW w:w="0" w:type="dxa"/>
            <w:vAlign w:val="bottom"/>
          </w:tcPr>
          <w:p>
            <w:pPr>
              <w:spacing w:after="0"/>
              <w:rPr>
                <w:sz w:val="1"/>
                <w:szCs w:val="1"/>
                <w:color w:val="auto"/>
              </w:rPr>
            </w:pPr>
          </w:p>
        </w:tc>
      </w:tr>
      <w:tr>
        <w:trPr>
          <w:trHeight w:val="232"/>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(16,838,541)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(8,531,396)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C.</w:t>
        <w:tab/>
        <w:t>Reasons for the Offer and Use of Proceeds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4"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60" w:hanging="438"/>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right="360"/>
        <w:spacing w:after="0" w:line="281" w:lineRule="auto"/>
        <w:rPr>
          <w:sz w:val="20"/>
          <w:szCs w:val="20"/>
          <w:color w:val="auto"/>
        </w:rPr>
      </w:pPr>
      <w:r>
        <w:rPr>
          <w:rFonts w:ascii="Times New Roman" w:cs="Times New Roman" w:eastAsia="Times New Roman" w:hAnsi="Times New Roman"/>
          <w:sz w:val="18"/>
          <w:szCs w:val="18"/>
          <w:color w:val="auto"/>
        </w:rPr>
        <w:t>The risks associated with the Company’s business and operations and the Business Combination are described in the Proxy Statement in the section titled “Risk Factors” beginning on page 48 of the Proxy Statement/Prospectus, and are incorporated herein by reference.</w:t>
      </w:r>
    </w:p>
    <w:p>
      <w:pPr>
        <w:spacing w:after="0" w:line="307"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30" w:lineRule="exact"/>
        <w:rPr>
          <w:sz w:val="20"/>
          <w:szCs w:val="20"/>
          <w:color w:val="auto"/>
        </w:rPr>
      </w:pPr>
    </w:p>
    <w:p>
      <w:pPr>
        <w:ind w:left="560" w:hanging="438"/>
        <w:spacing w:after="0"/>
        <w:tabs>
          <w:tab w:leader="none" w:pos="5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 legal name of the Company is Rezolve AI Limited. The Company was incorporated in England and Wales as a privatw limited company on January 5, 2023. The Company’s registered office is 3rd Floor, 80 New Bond Street, London, W1S 1SB, United Kingdom. As part of the terms of the Business Combination Agreement and any offer of shares related thereto or to the Proxy Statement/Prospectus, the Company undertakes to re-register as a public limited company on or before January 9, 2025.</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in this Report for additional information regarding the Company and the Business Combination. Additional information about the Company is included in the Proxy Statement/Prospectus under the section titled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and is incorporated herein by reference. The material terms of the Business Combination are described in the Proxy Statement/Prospectus under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Proposal—The Business Combination Agreement</w:t>
      </w:r>
      <w:r>
        <w:rPr>
          <w:rFonts w:ascii="Times New Roman" w:cs="Times New Roman" w:eastAsia="Times New Roman" w:hAnsi="Times New Roman"/>
          <w:sz w:val="18"/>
          <w:szCs w:val="18"/>
          <w:color w:val="auto"/>
        </w:rPr>
        <w:t>”, which is incorporated herein by reference.</w:t>
      </w:r>
    </w:p>
    <w:p>
      <w:pPr>
        <w:spacing w:after="0" w:line="180"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The SEC also maintains a website at http://www.sec.gov that contains reports, proxy statements and information statements, and other information that the Company files with or furnishes electronically to the SEC. These reports and other information are also available on the Company’s website at https://www.rezolve.com/. The information contained on the Company’s website does not form a part of, and is not incorporated by reference into, this Report.</w:t>
      </w:r>
    </w:p>
    <w:p>
      <w:pPr>
        <w:spacing w:after="0" w:line="326" w:lineRule="exact"/>
        <w:rPr>
          <w:sz w:val="20"/>
          <w:szCs w:val="20"/>
          <w:color w:val="auto"/>
        </w:rPr>
      </w:pPr>
    </w:p>
    <w:p>
      <w:pPr>
        <w:ind w:left="560" w:hanging="438"/>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19" w:lineRule="exact"/>
        <w:rPr>
          <w:sz w:val="20"/>
          <w:szCs w:val="20"/>
          <w:color w:val="auto"/>
        </w:rPr>
      </w:pPr>
    </w:p>
    <w:p>
      <w:pPr>
        <w:ind w:left="120" w:right="240"/>
        <w:spacing w:after="0" w:line="314" w:lineRule="auto"/>
        <w:rPr>
          <w:sz w:val="20"/>
          <w:szCs w:val="20"/>
          <w:color w:val="auto"/>
        </w:rPr>
      </w:pPr>
      <w:r>
        <w:rPr>
          <w:rFonts w:ascii="Times New Roman" w:cs="Times New Roman" w:eastAsia="Times New Roman" w:hAnsi="Times New Roman"/>
          <w:sz w:val="17"/>
          <w:szCs w:val="17"/>
          <w:color w:val="auto"/>
        </w:rPr>
        <w:t>Information regarding the business of the Company is included in the Proxy Statement/Prospectus under the sections titled “</w:t>
      </w:r>
      <w:r>
        <w:rPr>
          <w:rFonts w:ascii="Times New Roman" w:cs="Times New Roman" w:eastAsia="Times New Roman" w:hAnsi="Times New Roman"/>
          <w:sz w:val="17"/>
          <w:szCs w:val="17"/>
          <w:i w:val="1"/>
          <w:iCs w:val="1"/>
          <w:color w:val="auto"/>
        </w:rPr>
        <w:t>Business of Rezolve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Rezolve’s Management’s Discussion and Analysis of Financial Condition and Results of Operations</w:t>
      </w:r>
      <w:r>
        <w:rPr>
          <w:rFonts w:ascii="Times New Roman" w:cs="Times New Roman" w:eastAsia="Times New Roman" w:hAnsi="Times New Roman"/>
          <w:sz w:val="17"/>
          <w:szCs w:val="17"/>
          <w:color w:val="auto"/>
        </w:rPr>
        <w:t>, which are incorporated herein by reference.</w:t>
      </w:r>
    </w:p>
    <w:p>
      <w:pPr>
        <w:spacing w:after="0" w:line="282" w:lineRule="exact"/>
        <w:rPr>
          <w:sz w:val="20"/>
          <w:szCs w:val="20"/>
          <w:color w:val="auto"/>
        </w:rPr>
      </w:pPr>
    </w:p>
    <w:p>
      <w:pPr>
        <w:ind w:left="560" w:hanging="438"/>
        <w:spacing w:after="0"/>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8"/>
          <w:szCs w:val="18"/>
          <w:color w:val="auto"/>
        </w:rPr>
        <w:t>Upon the closing of the Business Combination, Armada became a direct, wholly-owned subsidiary of the Company. A list of the subsidiaries of the Company as of the Closing is included in Exhibit 8.1 to this Report.</w:t>
      </w:r>
    </w:p>
    <w:p>
      <w:pPr>
        <w:spacing w:after="0" w:line="307" w:lineRule="exact"/>
        <w:rPr>
          <w:sz w:val="20"/>
          <w:szCs w:val="20"/>
          <w:color w:val="auto"/>
        </w:rPr>
      </w:pPr>
    </w:p>
    <w:p>
      <w:pPr>
        <w:ind w:left="560" w:hanging="438"/>
        <w:spacing w:after="0"/>
        <w:tabs>
          <w:tab w:leader="none" w:pos="5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19" w:lineRule="exact"/>
        <w:rPr>
          <w:sz w:val="20"/>
          <w:szCs w:val="20"/>
          <w:color w:val="auto"/>
        </w:rPr>
      </w:pPr>
    </w:p>
    <w:p>
      <w:pPr>
        <w:ind w:left="120" w:right="120"/>
        <w:spacing w:after="0" w:line="283" w:lineRule="auto"/>
        <w:rPr>
          <w:sz w:val="20"/>
          <w:szCs w:val="20"/>
          <w:color w:val="auto"/>
        </w:rPr>
      </w:pPr>
      <w:r>
        <w:rPr>
          <w:rFonts w:ascii="Times New Roman" w:cs="Times New Roman" w:eastAsia="Times New Roman" w:hAnsi="Times New Roman"/>
          <w:sz w:val="18"/>
          <w:szCs w:val="18"/>
          <w:color w:val="auto"/>
        </w:rPr>
        <w:t>Information regarding the Company’s property is included in the Proxy Statement/Prospectus under the section titled “</w:t>
      </w:r>
      <w:r>
        <w:rPr>
          <w:rFonts w:ascii="Times New Roman" w:cs="Times New Roman" w:eastAsia="Times New Roman" w:hAnsi="Times New Roman"/>
          <w:sz w:val="18"/>
          <w:szCs w:val="18"/>
          <w:i w:val="1"/>
          <w:iCs w:val="1"/>
          <w:color w:val="auto"/>
        </w:rPr>
        <w:t>Business of Rezolve—Facilities</w:t>
      </w:r>
      <w:r>
        <w:rPr>
          <w:rFonts w:ascii="Times New Roman" w:cs="Times New Roman" w:eastAsia="Times New Roman" w:hAnsi="Times New Roman"/>
          <w:sz w:val="18"/>
          <w:szCs w:val="18"/>
          <w:color w:val="auto"/>
        </w:rPr>
        <w:t>” and is incorporated herein by reference.</w:t>
      </w:r>
    </w:p>
    <w:p>
      <w:pPr>
        <w:sectPr>
          <w:pgSz w:w="11900" w:h="16838" w:orient="portrait"/>
          <w:cols w:equalWidth="0" w:num="1">
            <w:col w:w="11100"/>
          </w:cols>
          <w:pgMar w:left="320" w:top="454" w:right="479" w:bottom="1440" w:gutter="0" w:footer="0" w:header="0"/>
        </w:sect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UNRESOLVED STAFF COMMENTS</w:t>
      </w:r>
    </w:p>
    <w:p>
      <w:pPr>
        <w:spacing w:after="0" w:line="132" w:lineRule="exact"/>
        <w:rPr>
          <w:sz w:val="20"/>
          <w:szCs w:val="20"/>
          <w:color w:val="auto"/>
        </w:rPr>
      </w:pPr>
    </w:p>
    <w:p>
      <w:pPr>
        <w:sectPr>
          <w:pgSz w:w="11900" w:h="16838" w:orient="portrait"/>
          <w:cols w:equalWidth="0" w:num="2">
            <w:col w:w="900" w:space="420"/>
            <w:col w:w="9780"/>
          </w:cols>
          <w:pgMar w:left="320" w:top="454"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00"/>
          </w:cols>
          <w:pgMar w:left="320" w:top="454" w:right="479" w:bottom="1440" w:gutter="0" w:footer="0" w:header="0"/>
          <w:type w:val="continuous"/>
        </w:sectPr>
      </w:pP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AND FINANCIAL REVIEW AND PROSPECTS</w:t>
      </w:r>
    </w:p>
    <w:p>
      <w:pPr>
        <w:spacing w:after="0" w:line="132" w:lineRule="exact"/>
        <w:rPr>
          <w:sz w:val="20"/>
          <w:szCs w:val="20"/>
          <w:color w:val="auto"/>
        </w:rPr>
      </w:pPr>
    </w:p>
    <w:p>
      <w:pPr>
        <w:sectPr>
          <w:pgSz w:w="11900" w:h="16838" w:orient="portrait"/>
          <w:cols w:equalWidth="0" w:num="2">
            <w:col w:w="780" w:space="540"/>
            <w:col w:w="9780"/>
          </w:cols>
          <w:pgMar w:left="320" w:top="454" w:right="479" w:bottom="1440" w:gutter="0" w:footer="0" w:header="0"/>
          <w:type w:val="continuous"/>
        </w:sectPr>
      </w:pPr>
    </w:p>
    <w:p>
      <w:pPr>
        <w:ind w:left="120" w:right="40"/>
        <w:spacing w:after="0" w:line="265"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of the Company is included in the Proxy Statement/Prospectus under the section titled “</w:t>
      </w:r>
      <w:r>
        <w:rPr>
          <w:rFonts w:ascii="Times New Roman" w:cs="Times New Roman" w:eastAsia="Times New Roman" w:hAnsi="Times New Roman"/>
          <w:sz w:val="18"/>
          <w:szCs w:val="18"/>
          <w:i w:val="1"/>
          <w:iCs w:val="1"/>
          <w:color w:val="auto"/>
        </w:rPr>
        <w:t>Rezolve’s Management’s Discussion and Analysis of Financial Condition and Results of Operations</w:t>
      </w:r>
      <w:r>
        <w:rPr>
          <w:rFonts w:ascii="Times New Roman" w:cs="Times New Roman" w:eastAsia="Times New Roman" w:hAnsi="Times New Roman"/>
          <w:sz w:val="18"/>
          <w:szCs w:val="18"/>
          <w:color w:val="auto"/>
        </w:rPr>
        <w:t>”, which is incorporated herein by reference.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4" w:right="4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30" w:lineRule="exact"/>
        <w:rPr>
          <w:sz w:val="20"/>
          <w:szCs w:val="20"/>
          <w:color w:val="auto"/>
        </w:rPr>
      </w:pPr>
    </w:p>
    <w:p>
      <w:pPr>
        <w:ind w:left="560" w:hanging="438"/>
        <w:spacing w:after="0"/>
        <w:tabs>
          <w:tab w:leader="none" w:pos="5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8"/>
          <w:szCs w:val="18"/>
          <w:color w:val="auto"/>
        </w:rPr>
        <w:t>Information regarding the directors and executive officers of the Company after the closing of the Business Combination is included in Item 1 of this Report. On August 20, 2024, Douglas M. Lurio resigned from the Board of the Company. Mr. Lurio was an independent member of the Board and did not serve on any committee.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and Understandings</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8"/>
          <w:szCs w:val="18"/>
          <w:color w:val="auto"/>
        </w:rPr>
        <w:t>There are no arrangements or understandings with major shareholders, customers, suppliers or others, pursuant to which any person referred to above was selected as a director or executive officer.</w:t>
      </w:r>
    </w:p>
    <w:p>
      <w:pPr>
        <w:spacing w:after="0" w:line="307" w:lineRule="exact"/>
        <w:rPr>
          <w:sz w:val="20"/>
          <w:szCs w:val="20"/>
          <w:color w:val="auto"/>
        </w:rPr>
      </w:pPr>
    </w:p>
    <w:p>
      <w:pPr>
        <w:ind w:left="560" w:hanging="438"/>
        <w:spacing w:after="0"/>
        <w:tabs>
          <w:tab w:leader="none" w:pos="5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8"/>
          <w:szCs w:val="18"/>
          <w:color w:val="auto"/>
        </w:rPr>
        <w:t>Information regarding the compensation of the directors and senior management of the Company in 2023 is included in the Proxy Statement/Prospectus under the section titled “</w:t>
      </w:r>
      <w:r>
        <w:rPr>
          <w:rFonts w:ascii="Times New Roman" w:cs="Times New Roman" w:eastAsia="Times New Roman" w:hAnsi="Times New Roman"/>
          <w:sz w:val="18"/>
          <w:szCs w:val="18"/>
          <w:i w:val="1"/>
          <w:iCs w:val="1"/>
          <w:color w:val="auto"/>
        </w:rPr>
        <w:t>Management and Compensation of Rezolve</w:t>
      </w:r>
      <w:r>
        <w:rPr>
          <w:rFonts w:ascii="Times New Roman" w:cs="Times New Roman" w:eastAsia="Times New Roman" w:hAnsi="Times New Roman"/>
          <w:sz w:val="18"/>
          <w:szCs w:val="18"/>
          <w:color w:val="auto"/>
        </w:rPr>
        <w:t>” and is incorporated herein by reference.</w:t>
      </w:r>
    </w:p>
    <w:p>
      <w:pPr>
        <w:spacing w:after="0" w:line="307" w:lineRule="exact"/>
        <w:rPr>
          <w:sz w:val="20"/>
          <w:szCs w:val="20"/>
          <w:color w:val="auto"/>
        </w:rPr>
      </w:pPr>
    </w:p>
    <w:p>
      <w:pPr>
        <w:ind w:left="560" w:hanging="438"/>
        <w:spacing w:after="0"/>
        <w:tabs>
          <w:tab w:leader="none" w:pos="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8"/>
          <w:szCs w:val="18"/>
          <w:color w:val="auto"/>
        </w:rPr>
        <w:t>Information regarding the board practices of the Company following the Business Combination is included in the Proxy Statement/Prospectus under the section titled “</w:t>
      </w:r>
      <w:r>
        <w:rPr>
          <w:rFonts w:ascii="Times New Roman" w:cs="Times New Roman" w:eastAsia="Times New Roman" w:hAnsi="Times New Roman"/>
          <w:sz w:val="18"/>
          <w:szCs w:val="18"/>
          <w:i w:val="1"/>
          <w:iCs w:val="1"/>
          <w:color w:val="auto"/>
        </w:rPr>
        <w:t>Management and Compensation of Rezolve</w:t>
      </w:r>
      <w:r>
        <w:rPr>
          <w:rFonts w:ascii="Times New Roman" w:cs="Times New Roman" w:eastAsia="Times New Roman" w:hAnsi="Times New Roman"/>
          <w:sz w:val="18"/>
          <w:szCs w:val="18"/>
          <w:color w:val="auto"/>
        </w:rPr>
        <w:t>” and is incorporated herein by reference.</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the Closing, the board of directors of the Company established three standing committees: (i) an audit committee (the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120" w:right="80" w:firstLine="2"/>
        <w:spacing w:after="0" w:line="252" w:lineRule="auto"/>
        <w:tabs>
          <w:tab w:leader="none" w:pos="3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renumeration committee (the “</w:t>
      </w:r>
      <w:r>
        <w:rPr>
          <w:rFonts w:ascii="Times New Roman" w:cs="Times New Roman" w:eastAsia="Times New Roman" w:hAnsi="Times New Roman"/>
          <w:sz w:val="18"/>
          <w:szCs w:val="18"/>
          <w:i w:val="1"/>
          <w:iCs w:val="1"/>
          <w:color w:val="auto"/>
        </w:rPr>
        <w:t>Renumeration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i w:val="1"/>
          <w:iCs w:val="1"/>
          <w:color w:val="auto"/>
        </w:rPr>
        <w:t>Nominating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 Committee</w:t>
      </w:r>
      <w:r>
        <w:rPr>
          <w:rFonts w:ascii="Times New Roman" w:cs="Times New Roman" w:eastAsia="Times New Roman" w:hAnsi="Times New Roman"/>
          <w:sz w:val="18"/>
          <w:szCs w:val="18"/>
          <w:color w:val="auto"/>
        </w:rPr>
        <w:t>”). The Audit Committee comprises of Anthony Sharp, Derek Smith and Steve Perry, with Steve Perry serving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 of the committee. The Renumeration Committee comprises of Anthony Sharp, Derek Smith and Steve Perry, with Steve Perry serving as the chair of the committee. The Nominating and Corporate Governance Committee comprises of Anthony Sharp, Derek Wright and Derek Smith, with Derek Smith serving as the chair of the committee.</w:t>
      </w:r>
    </w:p>
    <w:p>
      <w:pPr>
        <w:spacing w:after="0" w:line="334" w:lineRule="exact"/>
        <w:rPr>
          <w:sz w:val="20"/>
          <w:szCs w:val="20"/>
          <w:color w:val="auto"/>
        </w:rPr>
      </w:pPr>
    </w:p>
    <w:p>
      <w:pPr>
        <w:ind w:left="560" w:hanging="438"/>
        <w:spacing w:after="0"/>
        <w:tabs>
          <w:tab w:leader="none" w:pos="5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19"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color w:val="auto"/>
        </w:rPr>
        <w:t>Information regarding the employees of the Company is included in the Proxy Statement/Prospectus under the section titled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and is incorporated herein by reference.</w:t>
      </w:r>
    </w:p>
    <w:p>
      <w:pPr>
        <w:spacing w:after="0" w:line="305" w:lineRule="exact"/>
        <w:rPr>
          <w:sz w:val="20"/>
          <w:szCs w:val="20"/>
          <w:color w:val="auto"/>
        </w:rPr>
      </w:pPr>
    </w:p>
    <w:p>
      <w:pPr>
        <w:ind w:left="560" w:hanging="438"/>
        <w:spacing w:after="0"/>
        <w:tabs>
          <w:tab w:leader="none" w:pos="5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ownership of Ordinary Shares by our directors and executive officers is set forth in Item 7.A of this Report.</w:t>
      </w:r>
    </w:p>
    <w:p>
      <w:pPr>
        <w:spacing w:after="0" w:line="369" w:lineRule="exact"/>
        <w:rPr>
          <w:sz w:val="20"/>
          <w:szCs w:val="20"/>
          <w:color w:val="auto"/>
        </w:rPr>
      </w:pPr>
    </w:p>
    <w:p>
      <w:pPr>
        <w:ind w:left="560" w:hanging="438"/>
        <w:spacing w:after="0"/>
        <w:tabs>
          <w:tab w:leader="none" w:pos="5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The Company, during or after the last completed fiscal year, was not required to prepare an accounting restatement that required recovery of erroneously awarded compensation.</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4"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30" w:lineRule="exact"/>
        <w:rPr>
          <w:sz w:val="20"/>
          <w:szCs w:val="20"/>
          <w:color w:val="auto"/>
        </w:rPr>
      </w:pPr>
    </w:p>
    <w:p>
      <w:pPr>
        <w:ind w:left="560" w:hanging="438"/>
        <w:spacing w:after="0"/>
        <w:tabs>
          <w:tab w:leader="none" w:pos="5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November 3, 2023 by:</w:t>
      </w:r>
    </w:p>
    <w:p>
      <w:pPr>
        <w:spacing w:after="0" w:line="130" w:lineRule="exact"/>
        <w:rPr>
          <w:sz w:val="20"/>
          <w:szCs w:val="20"/>
          <w:color w:val="auto"/>
        </w:rPr>
      </w:pPr>
    </w:p>
    <w:p>
      <w:pPr>
        <w:ind w:left="560" w:hanging="330"/>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30" w:lineRule="exact"/>
        <w:rPr>
          <w:rFonts w:ascii="Times New Roman" w:cs="Times New Roman" w:eastAsia="Times New Roman" w:hAnsi="Times New Roman"/>
          <w:sz w:val="18"/>
          <w:szCs w:val="18"/>
          <w:color w:val="auto"/>
        </w:rPr>
      </w:pPr>
    </w:p>
    <w:p>
      <w:pPr>
        <w:ind w:left="560" w:hanging="330"/>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560" w:hanging="330"/>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560" w:hanging="330"/>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6" w:lineRule="exact"/>
        <w:rPr>
          <w:sz w:val="20"/>
          <w:szCs w:val="20"/>
          <w:color w:val="auto"/>
        </w:rPr>
      </w:pPr>
    </w:p>
    <w:p>
      <w:pPr>
        <w:jc w:val="both"/>
        <w:ind w:left="120" w:right="300"/>
        <w:spacing w:after="0" w:line="312" w:lineRule="auto"/>
        <w:rPr>
          <w:sz w:val="20"/>
          <w:szCs w:val="20"/>
          <w:color w:val="auto"/>
        </w:rPr>
      </w:pPr>
      <w:r>
        <w:rPr>
          <w:rFonts w:ascii="Times New Roman" w:cs="Times New Roman" w:eastAsia="Times New Roman" w:hAnsi="Times New Roman"/>
          <w:sz w:val="17"/>
          <w:szCs w:val="17"/>
          <w:color w:val="auto"/>
        </w:rPr>
        <w:t>The percentage of Ordinary Shares beneficially owned is computed on the basis of 172,182,769 Ordinary Shares outstanding as of August 15, 2024, after giving effect to the Business Combination, and does not include 7,499,994 Ordinary Shares issuable upon the exercise of outstanding warrants.</w:t>
      </w:r>
    </w:p>
    <w:p>
      <w:pPr>
        <w:spacing w:after="0" w:line="139" w:lineRule="exact"/>
        <w:rPr>
          <w:sz w:val="20"/>
          <w:szCs w:val="20"/>
          <w:color w:val="auto"/>
        </w:rPr>
      </w:pPr>
    </w:p>
    <w:p>
      <w:pPr>
        <w:jc w:val="both"/>
        <w:ind w:left="120" w:right="260"/>
        <w:spacing w:after="0" w:line="265"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r>
              <w:rPr>
                <w:rFonts w:ascii="Times New Roman" w:cs="Times New Roman" w:eastAsia="Times New Roman" w:hAnsi="Times New Roman"/>
                <w:sz w:val="10"/>
                <w:szCs w:val="10"/>
                <w:b w:val="1"/>
                <w:bCs w:val="1"/>
                <w:color w:val="auto"/>
              </w:rPr>
              <w:t>(1)</w:t>
            </w:r>
          </w:p>
        </w:tc>
        <w:tc>
          <w:tcPr>
            <w:tcW w:w="25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5"/>
        </w:trPr>
        <w:tc>
          <w:tcPr>
            <w:tcW w:w="39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256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5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3"/>
                <w:szCs w:val="13"/>
                <w:color w:val="auto"/>
              </w:rPr>
            </w:pPr>
          </w:p>
        </w:tc>
      </w:tr>
      <w:tr>
        <w:trPr>
          <w:trHeight w:val="209"/>
        </w:trPr>
        <w:tc>
          <w:tcPr>
            <w:tcW w:w="39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Daniel Wagner</w:t>
            </w:r>
            <w:r>
              <w:rPr>
                <w:rFonts w:ascii="Times New Roman" w:cs="Times New Roman" w:eastAsia="Times New Roman" w:hAnsi="Times New Roman"/>
                <w:sz w:val="24"/>
                <w:szCs w:val="24"/>
                <w:color w:val="auto"/>
                <w:vertAlign w:val="superscript"/>
              </w:rPr>
              <w:t>(2)</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39,965,221</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23.21%</w:t>
            </w: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John Wagner</w:t>
            </w:r>
            <w:r>
              <w:rPr>
                <w:rFonts w:ascii="Times New Roman" w:cs="Times New Roman" w:eastAsia="Times New Roman" w:hAnsi="Times New Roman"/>
                <w:sz w:val="25"/>
                <w:szCs w:val="25"/>
                <w:color w:val="auto"/>
                <w:vertAlign w:val="superscript"/>
              </w:rPr>
              <w:t>(3)</w:t>
            </w:r>
          </w:p>
        </w:tc>
        <w:tc>
          <w:tcPr>
            <w:tcW w:w="4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36,082,705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1,879,352</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495,343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46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564,935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Lurio</w:t>
            </w:r>
          </w:p>
        </w:tc>
        <w:tc>
          <w:tcPr>
            <w:tcW w:w="46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403,941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4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298,436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1,142,384</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46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10,299,185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r>
      <w:tr>
        <w:trPr>
          <w:trHeight w:val="346"/>
        </w:trPr>
        <w:tc>
          <w:tcPr>
            <w:tcW w:w="3960" w:type="dxa"/>
            <w:vAlign w:val="bottom"/>
          </w:tcPr>
          <w:p>
            <w:pPr>
              <w:spacing w:after="0"/>
              <w:rPr>
                <w:sz w:val="24"/>
                <w:szCs w:val="24"/>
                <w:color w:val="auto"/>
              </w:rPr>
            </w:pPr>
          </w:p>
        </w:tc>
        <w:tc>
          <w:tcPr>
            <w:tcW w:w="256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4"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r>
              <w:rPr>
                <w:rFonts w:ascii="Times New Roman" w:cs="Times New Roman" w:eastAsia="Times New Roman" w:hAnsi="Times New Roman"/>
                <w:sz w:val="10"/>
                <w:szCs w:val="10"/>
                <w:b w:val="1"/>
                <w:bCs w:val="1"/>
                <w:color w:val="auto"/>
              </w:rPr>
              <w:t>(1)</w:t>
            </w: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5"/>
        </w:trPr>
        <w:tc>
          <w:tcPr>
            <w:tcW w:w="65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440" w:type="dxa"/>
            <w:vAlign w:val="bottom"/>
          </w:tcPr>
          <w:p>
            <w:pPr>
              <w:spacing w:after="0"/>
              <w:rPr>
                <w:sz w:val="13"/>
                <w:szCs w:val="13"/>
                <w:color w:val="auto"/>
              </w:rPr>
            </w:pPr>
          </w:p>
        </w:tc>
        <w:tc>
          <w:tcPr>
            <w:tcW w:w="16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460" w:type="dxa"/>
            <w:vAlign w:val="bottom"/>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DBLP Sea Cow Limited</w:t>
            </w:r>
            <w:r>
              <w:rPr>
                <w:rFonts w:ascii="Times New Roman" w:cs="Times New Roman" w:eastAsia="Times New Roman" w:hAnsi="Times New Roman"/>
                <w:sz w:val="25"/>
                <w:szCs w:val="25"/>
                <w:color w:val="auto"/>
                <w:vertAlign w:val="superscript"/>
              </w:rPr>
              <w:t>(4)</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35,266,716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34,771,000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15,170,676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11,421,286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Aston Wagner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9,955,060</w:t>
            </w:r>
          </w:p>
        </w:tc>
        <w:tc>
          <w:tcPr>
            <w:tcW w:w="5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Cocoa Wagner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9,955,060</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85725</wp:posOffset>
            </wp:positionV>
            <wp:extent cx="762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50" w:lineRule="exact"/>
        <w:rPr>
          <w:sz w:val="20"/>
          <w:szCs w:val="20"/>
          <w:color w:val="auto"/>
        </w:rPr>
      </w:pPr>
    </w:p>
    <w:p>
      <w:pPr>
        <w:ind w:left="560" w:hanging="438"/>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60" w:right="220" w:hanging="438"/>
        <w:spacing w:after="0" w:line="250"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ind w:left="560" w:right="140" w:hanging="438"/>
        <w:spacing w:after="0" w:line="250"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the Daniel Wagner and (ii) 35,266,716 shares directly held by DBLP Sea Cow Limited (“DBLP”). DBLP is wholly legally owned by Mr. Wagner and Mr. Wagner sits on the board of DBLP and therefor Mr. Wagner may be deemed to share voting and investment power over the shares held by DBLP.</w:t>
      </w:r>
    </w:p>
    <w:p>
      <w:pPr>
        <w:jc w:val="both"/>
        <w:ind w:left="560" w:right="160" w:hanging="438"/>
        <w:spacing w:after="0" w:line="250"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the John Wagner and (ii) 35,266,716 shares directly held by DBLP. DBLP is beneficially owned by Mr. Wagner and Mr. Wagner sits on the board of DBLP and therefor Mr. Wagner may be deemed to share voting and investment power over the shares held by DBLP</w:t>
      </w:r>
    </w:p>
    <w:p>
      <w:pPr>
        <w:ind w:left="560" w:right="20" w:hanging="438"/>
        <w:spacing w:after="0" w:line="260"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sit on the board of directors of DBLP Sea Cow Limited.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Changes in Ownership by Major Shareholders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experienced significant changes in the percentage ownership held by major shareholders as a result of our Business Combination.</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right="540"/>
        <w:spacing w:after="0" w:line="281" w:lineRule="auto"/>
        <w:rPr>
          <w:sz w:val="20"/>
          <w:szCs w:val="20"/>
          <w:color w:val="auto"/>
        </w:rPr>
      </w:pPr>
      <w:r>
        <w:rPr>
          <w:rFonts w:ascii="Times New Roman" w:cs="Times New Roman" w:eastAsia="Times New Roman" w:hAnsi="Times New Roman"/>
          <w:sz w:val="18"/>
          <w:szCs w:val="18"/>
          <w:color w:val="auto"/>
        </w:rPr>
        <w:t>As of August 21, 2024 we had approximately 2 shareholders of record of our Ordinary Shares and one shareholder of record of our warrants. We estimate that as of August 21, 2024, approximately 3.32% of our outstanding Ordinary Shares are held by U.S. record holders.</w:t>
      </w:r>
    </w:p>
    <w:p>
      <w:pPr>
        <w:spacing w:after="0" w:line="307" w:lineRule="exact"/>
        <w:rPr>
          <w:sz w:val="20"/>
          <w:szCs w:val="20"/>
          <w:color w:val="auto"/>
        </w:rPr>
      </w:pPr>
    </w:p>
    <w:p>
      <w:pPr>
        <w:ind w:left="560" w:hanging="438"/>
        <w:spacing w:after="0"/>
        <w:tabs>
          <w:tab w:leader="none" w:pos="5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The following is a description of certain related party transactions we have entered into since December 31, 2021 with any of our executive officers, directors or their affiliates and holders of more than 10% of any class of our voting securities in the aggregate, which we refer to as related parties, other than compensation arrangements.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8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4"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Lock-In Agreements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331" w:lineRule="exact"/>
        <w:rPr>
          <w:sz w:val="20"/>
          <w:szCs w:val="20"/>
          <w:color w:val="auto"/>
        </w:rPr>
      </w:pPr>
    </w:p>
    <w:p>
      <w:pPr>
        <w:ind w:left="560" w:hanging="438"/>
        <w:spacing w:after="0"/>
        <w:tabs>
          <w:tab w:leader="none" w:pos="5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30" w:lineRule="exact"/>
        <w:rPr>
          <w:sz w:val="20"/>
          <w:szCs w:val="20"/>
          <w:color w:val="auto"/>
        </w:rPr>
      </w:pPr>
    </w:p>
    <w:p>
      <w:pPr>
        <w:ind w:left="560" w:hanging="438"/>
        <w:spacing w:after="0"/>
        <w:tabs>
          <w:tab w:leader="none" w:pos="5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Item 18 of this Report for consolidated financial statements and other financial information.</w:t>
      </w:r>
    </w:p>
    <w:p>
      <w:pPr>
        <w:spacing w:after="0" w:line="223"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color w:val="auto"/>
        </w:rPr>
        <w:t>Information regarding legal proceedings involving the Company is included in the Proxy Statement/Prospectus under the section titled “</w:t>
      </w:r>
      <w:r>
        <w:rPr>
          <w:rFonts w:ascii="Times New Roman" w:cs="Times New Roman" w:eastAsia="Times New Roman" w:hAnsi="Times New Roman"/>
          <w:sz w:val="18"/>
          <w:szCs w:val="18"/>
          <w:i w:val="1"/>
          <w:iCs w:val="1"/>
          <w:color w:val="auto"/>
        </w:rPr>
        <w:t>Business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Rezolve—Legal Proceedings</w:t>
      </w:r>
      <w:r>
        <w:rPr>
          <w:rFonts w:ascii="Times New Roman" w:cs="Times New Roman" w:eastAsia="Times New Roman" w:hAnsi="Times New Roman"/>
          <w:sz w:val="18"/>
          <w:szCs w:val="18"/>
          <w:color w:val="auto"/>
        </w:rPr>
        <w:t>” and is incorporated herein by reference.</w:t>
      </w:r>
    </w:p>
    <w:p>
      <w:pPr>
        <w:spacing w:after="0" w:line="305" w:lineRule="exact"/>
        <w:rPr>
          <w:sz w:val="20"/>
          <w:szCs w:val="20"/>
          <w:color w:val="auto"/>
        </w:rPr>
      </w:pPr>
    </w:p>
    <w:p>
      <w:pPr>
        <w:ind w:left="560" w:hanging="438"/>
        <w:spacing w:after="0"/>
        <w:tabs>
          <w:tab w:leader="none" w:pos="5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discussion of significant changes in our business can be found under “</w:t>
      </w:r>
      <w:r>
        <w:rPr>
          <w:rFonts w:ascii="Times New Roman" w:cs="Times New Roman" w:eastAsia="Times New Roman" w:hAnsi="Times New Roman"/>
          <w:sz w:val="18"/>
          <w:szCs w:val="18"/>
          <w:i w:val="1"/>
          <w:iCs w:val="1"/>
          <w:color w:val="auto"/>
        </w:rPr>
        <w:t>Item 5—Recent Developments</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30" w:lineRule="exact"/>
        <w:rPr>
          <w:sz w:val="20"/>
          <w:szCs w:val="20"/>
          <w:color w:val="auto"/>
        </w:rPr>
      </w:pPr>
    </w:p>
    <w:p>
      <w:pPr>
        <w:ind w:left="560" w:hanging="438"/>
        <w:spacing w:after="0"/>
        <w:tabs>
          <w:tab w:leader="none" w:pos="5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of Ordinary Shares and Public Warrants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The Ordinary Shares and Public Warrants were listed following the Business Combination and are listed on Nasdaq under the symbols “RZLV” and “RZLVW,” respectively. Holders of Ordinary Shares and Public Warrants should obtain current market quotations for their securities. There can be no assurance that the Ordinary Shares and/or Public Warrants will remain listed on the Nasdaq. If the Company fails to comply with the Nasdaq listing requirements, the Ordinary Shares and/or Public Warrants could be delisted from Nasdaq. In particular, Nasdaq has initial and continuing listing standards, including public float and round lot holders requirements. A delisting of the Ordinary Shares and Public Warrants will likely affect the liquidity of the Ordinary Shares and Public Warrants and could inhibit or restrict the ability of the Company to raise additional financing.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840"/>
        <w:spacing w:after="0" w:line="281" w:lineRule="auto"/>
        <w:rPr>
          <w:sz w:val="20"/>
          <w:szCs w:val="20"/>
          <w:color w:val="auto"/>
        </w:rPr>
      </w:pPr>
      <w:r>
        <w:rPr>
          <w:rFonts w:ascii="Times New Roman" w:cs="Times New Roman" w:eastAsia="Times New Roman" w:hAnsi="Times New Roman"/>
          <w:sz w:val="18"/>
          <w:szCs w:val="18"/>
          <w:color w:val="auto"/>
        </w:rPr>
        <w:t>Upon the completion of the Business Combination, there were 7,499,994 Public Warrants outstanding. The Public Warrants, each of which is exercisable for one Ordinary Share, each at an exercise price of $11.50 per share, will</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4"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8"/>
          <w:szCs w:val="18"/>
          <w:color w:val="auto"/>
        </w:rPr>
        <w:t>become exercisable 30 days after the completion of the Business Combination. The Public Warrants will expire five years after the completion of the Business Combination or earlier upon redemption or liquidation in accordance with their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00"/>
        <w:spacing w:after="0" w:line="265" w:lineRule="auto"/>
        <w:rPr>
          <w:sz w:val="20"/>
          <w:szCs w:val="20"/>
          <w:color w:val="auto"/>
        </w:rPr>
      </w:pPr>
      <w:r>
        <w:rPr>
          <w:rFonts w:ascii="Times New Roman" w:cs="Times New Roman" w:eastAsia="Times New Roman" w:hAnsi="Times New Roman"/>
          <w:sz w:val="18"/>
          <w:szCs w:val="18"/>
          <w:color w:val="auto"/>
        </w:rPr>
        <w:t>At the Closing, certain directors and officers of the Company and certain other Holders entered into the Investor Rights Agreement, pursuant to which the Ordinary Shares held by such shareholders will be locked-up and subject to transfer restrictions for either 30, 90 or 180 days, whichever is applicable, following the closing date of the Business Combination, subject to certain exceptions.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with certain Rezolve Holders, pursuant to which the Ordinary Shares held by the Rezolve Holders will be locked-up and subject to transfer restrictions for 180 days following the Closing, subject to certain exceptions.</w:t>
      </w:r>
    </w:p>
    <w:p>
      <w:pPr>
        <w:spacing w:after="0" w:line="307" w:lineRule="exact"/>
        <w:rPr>
          <w:sz w:val="20"/>
          <w:szCs w:val="20"/>
          <w:color w:val="auto"/>
        </w:rPr>
      </w:pPr>
    </w:p>
    <w:p>
      <w:pPr>
        <w:ind w:left="560" w:hanging="438"/>
        <w:spacing w:after="0"/>
        <w:tabs>
          <w:tab w:leader="none" w:pos="5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560" w:hanging="438"/>
        <w:spacing w:after="0"/>
        <w:tabs>
          <w:tab w:leader="none" w:pos="5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Ordinary Shares and Public Warrants are listed on Nasdaq under the symbols “RZLV” and “RZLVW,” respectively. There can be no assurance that the Ordinary Shares and/or Public Warrants will remain listed on Nasdaq. If the Company fails to comply with Nasdaq listing requirements, the Ordinary Shares and/or Public Warrants could be delisted from Nasdaq. In particular, Nasdaq has initial and continuing listing standards, including public float and round lot holders requirements. A delisting of the Ordinary Shares will likely affect the liquidity of the Ordinary Shares and/or Public Warrants and could inhibit or restrict the ability of the Company to raise additional financing.</w:t>
      </w:r>
    </w:p>
    <w:p>
      <w:pPr>
        <w:spacing w:after="0" w:line="326" w:lineRule="exact"/>
        <w:rPr>
          <w:sz w:val="20"/>
          <w:szCs w:val="20"/>
          <w:color w:val="auto"/>
        </w:rPr>
      </w:pPr>
    </w:p>
    <w:p>
      <w:pPr>
        <w:ind w:left="560" w:hanging="438"/>
        <w:spacing w:after="0"/>
        <w:tabs>
          <w:tab w:leader="none" w:pos="5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560" w:hanging="438"/>
        <w:spacing w:after="0"/>
        <w:tabs>
          <w:tab w:leader="none" w:pos="5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560" w:hanging="438"/>
        <w:spacing w:after="0"/>
        <w:tabs>
          <w:tab w:leader="none" w:pos="5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0" w:lineRule="exact"/>
        <w:rPr>
          <w:sz w:val="20"/>
          <w:szCs w:val="20"/>
          <w:color w:val="auto"/>
        </w:rPr>
      </w:pPr>
    </w:p>
    <w:p>
      <w:pPr>
        <w:ind w:left="560" w:hanging="438"/>
        <w:spacing w:after="0"/>
        <w:tabs>
          <w:tab w:leader="none" w:pos="5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560" w:hanging="438"/>
        <w:spacing w:after="0"/>
        <w:tabs>
          <w:tab w:leader="none" w:pos="5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Information regarding certain material provisions of the articles of association of Rezolve is included in the Proxy Statement/Prospectus under the section titled “</w:t>
      </w:r>
      <w:r>
        <w:rPr>
          <w:rFonts w:ascii="Times New Roman" w:cs="Times New Roman" w:eastAsia="Times New Roman" w:hAnsi="Times New Roman"/>
          <w:sz w:val="18"/>
          <w:szCs w:val="18"/>
          <w:i w:val="1"/>
          <w:iCs w:val="1"/>
          <w:color w:val="auto"/>
        </w:rPr>
        <w:t>Description of Rezolve Ordinary Shares, Articles of Association and Certain Legal Considerations — Articles of Association of Rezolve</w:t>
      </w:r>
      <w:r>
        <w:rPr>
          <w:rFonts w:ascii="Times New Roman" w:cs="Times New Roman" w:eastAsia="Times New Roman" w:hAnsi="Times New Roman"/>
          <w:sz w:val="18"/>
          <w:szCs w:val="18"/>
          <w:color w:val="auto"/>
        </w:rPr>
        <w:t>” and is incorporated herein by reference.</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4"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60" w:hanging="438"/>
        <w:spacing w:after="0"/>
        <w:tabs>
          <w:tab w:leader="none" w:pos="5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19" w:lineRule="exact"/>
        <w:rPr>
          <w:sz w:val="20"/>
          <w:szCs w:val="20"/>
          <w:color w:val="auto"/>
        </w:rPr>
      </w:pPr>
    </w:p>
    <w:p>
      <w:pPr>
        <w:ind w:left="120" w:right="460"/>
        <w:spacing w:after="0" w:line="283" w:lineRule="auto"/>
        <w:rPr>
          <w:sz w:val="20"/>
          <w:szCs w:val="20"/>
          <w:color w:val="auto"/>
        </w:rPr>
      </w:pPr>
      <w:r>
        <w:rPr>
          <w:rFonts w:ascii="Times New Roman" w:cs="Times New Roman" w:eastAsia="Times New Roman" w:hAnsi="Times New Roman"/>
          <w:sz w:val="18"/>
          <w:szCs w:val="18"/>
          <w:color w:val="auto"/>
        </w:rPr>
        <w:t>Information regarding certain material contracts is included in the Proxy Statement/Prospectus under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Proposal—Ancillary Agreements</w:t>
      </w:r>
      <w:r>
        <w:rPr>
          <w:rFonts w:ascii="Times New Roman" w:cs="Times New Roman" w:eastAsia="Times New Roman" w:hAnsi="Times New Roman"/>
          <w:sz w:val="18"/>
          <w:szCs w:val="18"/>
          <w:color w:val="auto"/>
        </w:rPr>
        <w:t>” and is incorporated herein by reference.</w:t>
      </w:r>
    </w:p>
    <w:p>
      <w:pPr>
        <w:spacing w:after="0" w:line="305" w:lineRule="exact"/>
        <w:rPr>
          <w:sz w:val="20"/>
          <w:szCs w:val="20"/>
          <w:color w:val="auto"/>
        </w:rPr>
      </w:pPr>
    </w:p>
    <w:p>
      <w:pPr>
        <w:ind w:left="560" w:hanging="438"/>
        <w:spacing w:after="0"/>
        <w:tabs>
          <w:tab w:leader="none" w:pos="5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 and Other Limitations Affecting Security Holders</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Under English law, there are no exchange control restrictions on investments in, or payments on, the Ordinary Shares. There are no special restrictions in the articles of association of the Company or English law that limit the right of shareholders who are not citizens or residents of the Netherlands to hold or vote the Ordinary Shares.</w:t>
      </w:r>
    </w:p>
    <w:p>
      <w:pPr>
        <w:spacing w:after="0" w:line="322" w:lineRule="exact"/>
        <w:rPr>
          <w:sz w:val="20"/>
          <w:szCs w:val="20"/>
          <w:color w:val="auto"/>
        </w:rPr>
      </w:pPr>
    </w:p>
    <w:p>
      <w:pPr>
        <w:ind w:left="560" w:hanging="438"/>
        <w:spacing w:after="0"/>
        <w:tabs>
          <w:tab w:leader="none" w:pos="5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right="960"/>
        <w:spacing w:after="0" w:line="281" w:lineRule="auto"/>
        <w:rPr>
          <w:sz w:val="20"/>
          <w:szCs w:val="20"/>
          <w:color w:val="auto"/>
        </w:rPr>
      </w:pPr>
      <w:r>
        <w:rPr>
          <w:rFonts w:ascii="Times New Roman" w:cs="Times New Roman" w:eastAsia="Times New Roman" w:hAnsi="Times New Roman"/>
          <w:sz w:val="18"/>
          <w:szCs w:val="18"/>
          <w:color w:val="auto"/>
        </w:rPr>
        <w:t>Information regarding certain tax consequences of owning and disposing of Ordinary Shares and Rezolve Warrants is included in the Proxy Statement/Prospectus under the section 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and is incorporated herein by reference.</w:t>
      </w:r>
    </w:p>
    <w:p>
      <w:pPr>
        <w:spacing w:after="0" w:line="307" w:lineRule="exact"/>
        <w:rPr>
          <w:sz w:val="20"/>
          <w:szCs w:val="20"/>
          <w:color w:val="auto"/>
        </w:rPr>
      </w:pPr>
    </w:p>
    <w:p>
      <w:pPr>
        <w:ind w:left="560" w:hanging="438"/>
        <w:spacing w:after="0"/>
        <w:tabs>
          <w:tab w:leader="none" w:pos="5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never declared or paid any cash dividends and has no plan to declare or pay any dividends in the foreseeable future.</w:t>
      </w:r>
    </w:p>
    <w:p>
      <w:pPr>
        <w:spacing w:after="0" w:line="369" w:lineRule="exact"/>
        <w:rPr>
          <w:sz w:val="20"/>
          <w:szCs w:val="20"/>
          <w:color w:val="auto"/>
        </w:rPr>
      </w:pPr>
    </w:p>
    <w:p>
      <w:pPr>
        <w:ind w:left="560" w:hanging="438"/>
        <w:spacing w:after="0"/>
        <w:tabs>
          <w:tab w:leader="none" w:pos="5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carve-out consolidated of Rezolve AI Limited and Subsidiaries as of December 31, 2023 and 2022 (restated) and for each of the two years in the period ended December 31, 2023, included in this Report have been audited by Grassi &amp; Co., CPAs, P.C., independent registered public accounting firm, as set forth in their report thereon (which contains an explanatory paragraph relating to substantial doubt about the ability of the Company to continue as a going concern as described in Note 2 to the financial statements), and are included in reliance on such report given upon the authority of such firm as experts in accounting and auditing.</w:t>
      </w:r>
    </w:p>
    <w:p>
      <w:pPr>
        <w:spacing w:after="0" w:line="182"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Report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326" w:lineRule="exact"/>
        <w:rPr>
          <w:sz w:val="20"/>
          <w:szCs w:val="20"/>
          <w:color w:val="auto"/>
        </w:rPr>
      </w:pPr>
    </w:p>
    <w:p>
      <w:pPr>
        <w:ind w:left="560" w:hanging="438"/>
        <w:spacing w:after="0"/>
        <w:tabs>
          <w:tab w:leader="none" w:pos="5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Documents concerning the Company referred to in this Report may be inspected at the principal executive offices of the Company at 3rd Floor, 80 New Bond Street, London, W1S 1SB, United Kingdom.</w:t>
      </w:r>
    </w:p>
    <w:p>
      <w:pPr>
        <w:spacing w:after="0" w:line="16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4"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80"/>
        <w:spacing w:after="0" w:line="281" w:lineRule="auto"/>
        <w:rPr>
          <w:sz w:val="20"/>
          <w:szCs w:val="20"/>
          <w:color w:val="auto"/>
        </w:rPr>
      </w:pPr>
      <w:r>
        <w:rPr>
          <w:rFonts w:ascii="Times New Roman" w:cs="Times New Roman" w:eastAsia="Times New Roman" w:hAnsi="Times New Roman"/>
          <w:sz w:val="18"/>
          <w:szCs w:val="18"/>
          <w:color w:val="auto"/>
        </w:rPr>
        <w:t>independent public accounting firm. The SEC also maintains a website at http://www.sec.gov that contains reports and other information that the Company files with or furnishes electronically to the SEC.</w:t>
      </w:r>
    </w:p>
    <w:p>
      <w:pPr>
        <w:spacing w:after="0" w:line="307" w:lineRule="exact"/>
        <w:rPr>
          <w:sz w:val="20"/>
          <w:szCs w:val="20"/>
          <w:color w:val="auto"/>
        </w:rPr>
      </w:pPr>
    </w:p>
    <w:p>
      <w:pPr>
        <w:ind w:left="560" w:hanging="438"/>
        <w:spacing w:after="0"/>
        <w:tabs>
          <w:tab w:leader="none" w:pos="5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8"/>
          <w:szCs w:val="18"/>
          <w:color w:val="auto"/>
        </w:rPr>
        <w:t>Information regarding quantitative and qualitative disclosure about market risk is included in the Proxy Statement/Prospectus under the section titled “</w:t>
      </w:r>
      <w:r>
        <w:rPr>
          <w:rFonts w:ascii="Times New Roman" w:cs="Times New Roman" w:eastAsia="Times New Roman" w:hAnsi="Times New Roman"/>
          <w:sz w:val="18"/>
          <w:szCs w:val="18"/>
          <w:i w:val="1"/>
          <w:iCs w:val="1"/>
          <w:color w:val="auto"/>
        </w:rPr>
        <w:t>Rezolve’s Management’s Discussion and Analysis of Financial Condition and Results of Operations—Quantitative and Qualitative 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and is incorporated herein by reference.</w:t>
      </w:r>
    </w:p>
    <w:p>
      <w:pPr>
        <w:spacing w:after="0" w:line="322"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19" w:lineRule="exact"/>
        <w:rPr>
          <w:sz w:val="20"/>
          <w:szCs w:val="20"/>
          <w:color w:val="auto"/>
        </w:rPr>
      </w:pPr>
    </w:p>
    <w:p>
      <w:pPr>
        <w:ind w:left="120"/>
        <w:spacing w:after="0" w:line="283" w:lineRule="auto"/>
        <w:rPr>
          <w:sz w:val="20"/>
          <w:szCs w:val="20"/>
          <w:color w:val="auto"/>
        </w:rPr>
      </w:pPr>
      <w:r>
        <w:rPr>
          <w:rFonts w:ascii="Times New Roman" w:cs="Times New Roman" w:eastAsia="Times New Roman" w:hAnsi="Times New Roman"/>
          <w:sz w:val="18"/>
          <w:szCs w:val="18"/>
          <w:color w:val="auto"/>
        </w:rPr>
        <w:t>Information pertaining to the Public Warrants and the Private Warrants is included under the headings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Private Warrants</w:t>
      </w:r>
      <w:r>
        <w:rPr>
          <w:rFonts w:ascii="Times New Roman" w:cs="Times New Roman" w:eastAsia="Times New Roman" w:hAnsi="Times New Roman"/>
          <w:sz w:val="18"/>
          <w:szCs w:val="18"/>
          <w:color w:val="auto"/>
        </w:rPr>
        <w:t>” in Item 9.A of this Report.</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ectPr>
          <w:pgSz w:w="11900" w:h="16838" w:orient="portrait"/>
          <w:cols w:equalWidth="0" w:num="1">
            <w:col w:w="11120"/>
          </w:cols>
          <w:pgMar w:left="320" w:top="454" w:right="45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2" w:lineRule="exact"/>
        <w:rPr>
          <w:sz w:val="20"/>
          <w:szCs w:val="20"/>
          <w:color w:val="auto"/>
        </w:rPr>
      </w:pPr>
    </w:p>
    <w:p>
      <w:pPr>
        <w:sectPr>
          <w:pgSz w:w="11900" w:h="16838" w:orient="portrait"/>
          <w:cols w:equalWidth="0" w:num="2">
            <w:col w:w="740" w:space="58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2" w:lineRule="exact"/>
        <w:rPr>
          <w:sz w:val="20"/>
          <w:szCs w:val="20"/>
          <w:color w:val="auto"/>
        </w:rPr>
      </w:pPr>
    </w:p>
    <w:p>
      <w:pPr>
        <w:sectPr>
          <w:pgSz w:w="11900" w:h="16838" w:orient="portrait"/>
          <w:cols w:equalWidth="0" w:num="2">
            <w:col w:w="740" w:space="58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15.</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Controls and Procedures.</w:t>
      </w:r>
    </w:p>
    <w:p>
      <w:pPr>
        <w:spacing w:after="0" w:line="132" w:lineRule="exact"/>
        <w:rPr>
          <w:sz w:val="20"/>
          <w:szCs w:val="20"/>
          <w:color w:val="auto"/>
        </w:rPr>
      </w:pPr>
    </w:p>
    <w:p>
      <w:pPr>
        <w:sectPr>
          <w:pgSz w:w="11900" w:h="16838" w:orient="portrait"/>
          <w:cols w:equalWidth="0" w:num="2">
            <w:col w:w="740" w:space="58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16A.</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financial expert.</w:t>
      </w:r>
    </w:p>
    <w:p>
      <w:pPr>
        <w:spacing w:after="0" w:line="132"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16B.</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132" w:lineRule="exact"/>
        <w:rPr>
          <w:sz w:val="20"/>
          <w:szCs w:val="20"/>
          <w:color w:val="auto"/>
        </w:rPr>
      </w:pPr>
    </w:p>
    <w:p>
      <w:pPr>
        <w:sectPr>
          <w:pgSz w:w="11900" w:h="16838" w:orient="portrait"/>
          <w:cols w:equalWidth="0" w:num="2">
            <w:col w:w="860" w:space="46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16C.</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132"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Exemptions from the Listing Standards for Audit Committees.</w:t>
      </w:r>
    </w:p>
    <w:p>
      <w:pPr>
        <w:spacing w:after="0" w:line="132"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4"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20"/>
          </w:cols>
          <w:pgMar w:left="320" w:top="454" w:right="459" w:bottom="1440" w:gutter="0" w:footer="0" w:header="0"/>
        </w:sectPr>
      </w:pP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16F.</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Registrant’s Certifying Accountant.</w:t>
      </w:r>
    </w:p>
    <w:p>
      <w:pPr>
        <w:spacing w:after="0" w:line="132" w:lineRule="exact"/>
        <w:rPr>
          <w:sz w:val="20"/>
          <w:szCs w:val="20"/>
          <w:color w:val="auto"/>
        </w:rPr>
      </w:pPr>
    </w:p>
    <w:p>
      <w:pPr>
        <w:sectPr>
          <w:pgSz w:w="11900" w:h="16838" w:orient="portrait"/>
          <w:cols w:equalWidth="0" w:num="2">
            <w:col w:w="840" w:space="480"/>
            <w:col w:w="9800"/>
          </w:cols>
          <w:pgMar w:left="320" w:top="454" w:right="459" w:bottom="1440" w:gutter="0" w:footer="0" w:header="0"/>
          <w:type w:val="continuous"/>
        </w:sect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On August 21, 2024, the Audit Committee of the Board approved the dismissal of Marcum LLP (“Marcum”) as the independent auditor of Armada effective immediately after the filing of Armada’s Form 10-Q for the third quarter ended June 30, 2024 (the “Auditor Change Effective Date”).</w:t>
      </w:r>
    </w:p>
    <w:p>
      <w:pPr>
        <w:spacing w:after="0" w:line="139"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Marcum’s report for the year ended September 30, 2023 and September 30, 2022 contained an explanatory paragraph stating that in connection with Armada’s assessment of going concern considerations in accordance with FASB ASC Topic 205-40, “Presentation of Financial Statements—Going Concern,” Armada’s management had determined that the liquidity condition and date for mandatory liquidation and subsequent dissolution raised substantial doubt about Armada’s ability to continue as a going concern.</w:t>
      </w:r>
    </w:p>
    <w:p>
      <w:pPr>
        <w:spacing w:after="0" w:line="18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During the two fiscal years ended September 30, 2023 and 2022, and the subsequent interim period through June 30, 2024, there were no (1) disagreements with Marcum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w:t>
      </w:r>
    </w:p>
    <w:p>
      <w:pPr>
        <w:spacing w:after="0" w:line="182"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8"/>
          <w:szCs w:val="18"/>
          <w:color w:val="auto"/>
        </w:rPr>
        <w:t>The Company provided Marcum with a copy of the foregoing disclosures prior to the filing of this Form 20-F and requested that Marcum furnish a letter addressed to the SEC, which is attached hereto as Exhibit 15.2, stating whether it agrees with such disclosures, and, if not, stating the respects in which it does not agree.</w:t>
      </w:r>
    </w:p>
    <w:p>
      <w:pPr>
        <w:sectPr>
          <w:pgSz w:w="11900" w:h="16838" w:orient="portrait"/>
          <w:cols w:equalWidth="0" w:num="1">
            <w:col w:w="11120"/>
          </w:cols>
          <w:pgMar w:left="320" w:top="454" w:right="459" w:bottom="1440" w:gutter="0" w:footer="0" w:header="0"/>
          <w:type w:val="continuous"/>
        </w:sect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16G.</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32"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16H.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121"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16I.</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32" w:lineRule="exact"/>
        <w:rPr>
          <w:sz w:val="20"/>
          <w:szCs w:val="20"/>
          <w:color w:val="auto"/>
        </w:rPr>
      </w:pPr>
    </w:p>
    <w:p>
      <w:pPr>
        <w:sectPr>
          <w:pgSz w:w="11900" w:h="16838" w:orient="portrait"/>
          <w:cols w:equalWidth="0" w:num="2">
            <w:col w:w="820" w:space="50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16J.</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Policies</w:t>
      </w:r>
    </w:p>
    <w:p>
      <w:pPr>
        <w:spacing w:after="0" w:line="132" w:lineRule="exact"/>
        <w:rPr>
          <w:sz w:val="20"/>
          <w:szCs w:val="20"/>
          <w:color w:val="auto"/>
        </w:rPr>
      </w:pPr>
    </w:p>
    <w:p>
      <w:pPr>
        <w:sectPr>
          <w:pgSz w:w="11900" w:h="16838" w:orient="portrait"/>
          <w:cols w:equalWidth="0" w:num="2">
            <w:col w:w="840" w:space="48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16K.</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w:t>
      </w:r>
    </w:p>
    <w:p>
      <w:pPr>
        <w:spacing w:after="0" w:line="132" w:lineRule="exact"/>
        <w:rPr>
          <w:sz w:val="20"/>
          <w:szCs w:val="20"/>
          <w:color w:val="auto"/>
        </w:rPr>
      </w:pPr>
    </w:p>
    <w:p>
      <w:pPr>
        <w:sectPr>
          <w:pgSz w:w="11900" w:h="16838" w:orient="portrait"/>
          <w:cols w:equalWidth="0" w:num="2">
            <w:col w:w="880" w:space="44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54" w:right="45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III</w:t>
      </w:r>
    </w:p>
    <w:p>
      <w:pPr>
        <w:sectPr>
          <w:pgSz w:w="11900" w:h="16838" w:orient="portrait"/>
          <w:cols w:equalWidth="0" w:num="1">
            <w:col w:w="11120"/>
          </w:cols>
          <w:pgMar w:left="320" w:top="454" w:right="459" w:bottom="1440" w:gutter="0" w:footer="0" w:header="0"/>
          <w:type w:val="continuous"/>
        </w:sect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17.</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32" w:lineRule="exact"/>
        <w:rPr>
          <w:sz w:val="20"/>
          <w:szCs w:val="20"/>
          <w:color w:val="auto"/>
        </w:rPr>
      </w:pPr>
    </w:p>
    <w:p>
      <w:pPr>
        <w:sectPr>
          <w:pgSz w:w="11900" w:h="16838" w:orient="portrait"/>
          <w:cols w:equalWidth="0" w:num="2">
            <w:col w:w="860" w:space="460"/>
            <w:col w:w="9800"/>
          </w:cols>
          <w:pgMar w:left="320" w:top="454"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See Item 18.</w:t>
      </w:r>
    </w:p>
    <w:p>
      <w:pPr>
        <w:sectPr>
          <w:pgSz w:w="11900" w:h="16838" w:orient="portrait"/>
          <w:cols w:equalWidth="0" w:num="1">
            <w:col w:w="11120"/>
          </w:cols>
          <w:pgMar w:left="320" w:top="454" w:right="459" w:bottom="1440" w:gutter="0" w:footer="0" w:header="0"/>
          <w:type w:val="continuous"/>
        </w:sect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18.</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73" w:lineRule="exact"/>
        <w:rPr>
          <w:sz w:val="20"/>
          <w:szCs w:val="20"/>
          <w:color w:val="auto"/>
        </w:rPr>
      </w:pPr>
    </w:p>
    <w:p>
      <w:pPr>
        <w:sectPr>
          <w:pgSz w:w="11900" w:h="16838" w:orient="portrait"/>
          <w:cols w:equalWidth="0" w:num="2">
            <w:col w:w="860" w:space="460"/>
            <w:col w:w="9800"/>
          </w:cols>
          <w:pgMar w:left="320" w:top="454"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4"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condensed financial statements of Armada as of June 30, 2024, are included in pages 17 to 46 of this Report</w:t>
      </w:r>
    </w:p>
    <w:p>
      <w:pPr>
        <w:spacing w:after="0" w:line="225"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The audited financial statements of Armada as of September 30, 2023, are set forth in the Proxy Statement/Prospectus beginning on page F-93 and are incorporated herein by reference.</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and Armada are attached as Exhibit 15.1 to this Report.</w:t>
      </w:r>
    </w:p>
    <w:p>
      <w:pPr>
        <w:spacing w:after="0" w:line="225"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8"/>
          <w:szCs w:val="18"/>
          <w:color w:val="auto"/>
        </w:rPr>
        <w:t>The audited carve-out consolidated financial statements of the Company as of December 31, 2023 and December 31, 2022 are set forth in the Proxy Statement/Prospectus beginning on page F-2 and are incorporated herein by reference.</w:t>
      </w:r>
    </w:p>
    <w:p>
      <w:pPr>
        <w:spacing w:after="0" w:line="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4"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25,324,028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25,417,917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6,035,757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agreements liability,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3,056,726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10,938,608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 redemption value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approximately $11.31 and $10.71 per share at June 30, 2024 and September 30, 2023,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16,040,786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25,316,806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1,417,687 and 2,363,349 shares subject to possible redemption) at June 30, 2024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(11,059,758)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(10,798,027)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25,417,917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4"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9"/>
              </w:rPr>
              <w:t>(1,370,927)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(910,274)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(2,477,967)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(2,151,287)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(220,050)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(344,248)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(1,384,688)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(477,208)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(2,010,934)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(153,321)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(525,560)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(1,423,095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(559,584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(2,164,255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3,508,852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4"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2024</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16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(8,486,582)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liability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(see note 4)</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Subsequent remeasurement of common stock subject to</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(308,850)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(9,155,746)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(see note 4)</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Subsequent remeasurement of common stock subject to</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(347,252)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(380,846)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(380,846)</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(9,636,663)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(9,636,093)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(see note 4)</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Subsequent remeasurement of common stock subject to</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(293,340)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(1,423,095)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(1,423,095)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261,161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(11,059,758)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(10,798,027)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4"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2023</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1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4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(4,091,693)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(3,149,327)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Remeasurement of common stock subject to possible</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0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(5,964,009)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(4,993,680)</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Capital contribution made by Sponsor related to the</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 non-redemption agreements</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(1,102,909)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Remeasurement of common stock subject to possible</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(997,722)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(1,170,799)</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(6,833,303)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(6,832,733)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2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Remeasurement of common stock subject to possible</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(329,131)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(329,131)</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(559,584)</w:t>
            </w: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1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(7,722,018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(7,587,085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4"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6"/>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(2,164,255)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(811,281)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(8,183)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(636,814)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for 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to pay for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(531,697)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10,008,973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492,287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of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w w:val="96"/>
              </w:rPr>
              <w:t>(10,384,496)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(117,079,879)</w:t>
            </w: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(9,419,201)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(115,129,879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(47,042)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issuance of debt under subscription agreements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4"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3" w:lineRule="exact"/>
        <w:rPr>
          <w:sz w:val="20"/>
          <w:szCs w:val="20"/>
          <w:color w:val="auto"/>
        </w:rPr>
      </w:pPr>
    </w:p>
    <w:p>
      <w:pPr>
        <w:ind w:left="120" w:right="340"/>
        <w:spacing w:after="0" w:line="281"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4"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81" w:lineRule="auto"/>
        <w:rPr>
          <w:sz w:val="20"/>
          <w:szCs w:val="20"/>
          <w:color w:val="auto"/>
        </w:rPr>
      </w:pPr>
      <w:r>
        <w:rPr>
          <w:rFonts w:ascii="Times New Roman" w:cs="Times New Roman" w:eastAsia="Times New Roman" w:hAnsi="Times New Roman"/>
          <w:sz w:val="18"/>
          <w:szCs w:val="18"/>
          <w:color w:val="auto"/>
        </w:rPr>
        <w:t>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63"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4"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6"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6"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6"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4"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7"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9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6" w:lineRule="exact"/>
        <w:rPr>
          <w:sz w:val="20"/>
          <w:szCs w:val="20"/>
          <w:color w:val="auto"/>
        </w:rPr>
      </w:pPr>
    </w:p>
    <w:p>
      <w:pPr>
        <w:jc w:val="both"/>
        <w:ind w:left="120" w:right="340"/>
        <w:spacing w:after="0" w:line="265"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7" w:lineRule="exact"/>
        <w:rPr>
          <w:sz w:val="20"/>
          <w:szCs w:val="20"/>
          <w:color w:val="auto"/>
        </w:rPr>
      </w:pPr>
    </w:p>
    <w:p>
      <w:pPr>
        <w:ind w:left="120" w:right="220"/>
        <w:spacing w:after="0" w:line="288" w:lineRule="auto"/>
        <w:rPr>
          <w:sz w:val="20"/>
          <w:szCs w:val="20"/>
          <w:color w:val="auto"/>
        </w:rPr>
      </w:pPr>
      <w:r>
        <w:rPr>
          <w:rFonts w:ascii="Times New Roman" w:cs="Times New Roman" w:eastAsia="Times New Roman" w:hAnsi="Times New Roman"/>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4"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or will be forfeited, eliminated or otherwise forgiven. The proceeds of the Extension Note will be deposited in the Trust Account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Charter Amendment as follows: $70,900 to be deposited into the Trust Account within five business days following approval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Charter Amendment by the Company’s stockholders, and up to $354,502 in five equal installments to be deposited into the Trust Account for each of the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one-month extensions. On August 8, 2023, the Company borrowed $70,900 under the Extension Note and deposited the funds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Termination Date to September 17, 2023, and on September 12, 2023, October 11, 2023, November 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19, 2023 and January 16, 2024 the Company borrowed $70,900 under the Extension Note on each such date and deposited the funds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thereby extending the Combination Period for five additional months or until February 17, 2024. Payments made on December 19,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January 16, 2024 were funded under the terms of the Subscription Agreement with Polar (see Note 4 below).</w:t>
      </w:r>
    </w:p>
    <w:p>
      <w:pPr>
        <w:spacing w:after="0" w:line="206"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4"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2024, the Company had $13,242 of cash in its bank operating account and a working capital deficiency of approximately $10.9 million.</w:t>
      </w:r>
    </w:p>
    <w:p>
      <w:pPr>
        <w:spacing w:after="0" w:line="225" w:lineRule="exact"/>
        <w:rPr>
          <w:sz w:val="20"/>
          <w:szCs w:val="20"/>
          <w:color w:val="auto"/>
        </w:rPr>
      </w:pPr>
    </w:p>
    <w:p>
      <w:pPr>
        <w:ind w:left="120" w:right="480"/>
        <w:spacing w:after="0" w:line="281"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3" w:lineRule="exact"/>
        <w:rPr>
          <w:sz w:val="20"/>
          <w:szCs w:val="20"/>
          <w:color w:val="auto"/>
        </w:rPr>
      </w:pPr>
    </w:p>
    <w:p>
      <w:pPr>
        <w:jc w:val="both"/>
        <w:ind w:left="120" w:right="520"/>
        <w:spacing w:after="0" w:line="265"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77"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9"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4"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6"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177"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7"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86"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40"/>
        <w:spacing w:after="0" w:line="288"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4"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8"/>
          <w:szCs w:val="18"/>
          <w:color w:val="auto"/>
        </w:rPr>
        <w:t>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$13,242 and $60,284 in cash as of June 30,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60"/>
        <w:spacing w:after="0" w:line="26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7" w:lineRule="exact"/>
        <w:rPr>
          <w:sz w:val="20"/>
          <w:szCs w:val="20"/>
          <w:color w:val="auto"/>
        </w:rPr>
      </w:pPr>
    </w:p>
    <w:p>
      <w:pPr>
        <w:ind w:left="1100" w:hanging="438"/>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320" w:top="454" w:right="6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line="265"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7"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7"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60"/>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189" w:lineRule="exact"/>
        <w:rPr>
          <w:sz w:val="20"/>
          <w:szCs w:val="20"/>
          <w:color w:val="auto"/>
        </w:rPr>
      </w:pPr>
    </w:p>
    <w:p>
      <w:pPr>
        <w:ind w:left="120" w:right="500"/>
        <w:spacing w:after="0" w:line="265"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320" w:top="454"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June 30, 2024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(10,384,496)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12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June 30, 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16,040,786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4"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60"/>
        <w:spacing w:after="0" w:line="281"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08"/>
              <w:spacing w:after="0" w:line="117" w:lineRule="exact"/>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Basic and diluted net (loss) income per share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Numerator: Allocation of net (loss) income,</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(283,071)</w:t>
            </w:r>
          </w:p>
        </w:tc>
        <w:tc>
          <w:tcPr>
            <w:tcW w:w="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(1,140,024)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(212,999)</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(346,585)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(539,100)</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(1,625,155)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200" w:type="dxa"/>
            <w:vAlign w:val="bottom"/>
          </w:tcPr>
          <w:p>
            <w:pPr>
              <w:spacing w:after="0"/>
              <w:rPr>
                <w:sz w:val="10"/>
                <w:szCs w:val="10"/>
                <w:color w:val="auto"/>
              </w:rPr>
            </w:pP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adjusted</w:t>
            </w:r>
          </w:p>
        </w:tc>
        <w:tc>
          <w:tcPr>
            <w:tcW w:w="1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1,417,687</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3,508,852</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1,893,969</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income per</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(0.28)</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(0.28)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18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86"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4"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8"/>
          <w:szCs w:val="18"/>
          <w:color w:val="auto"/>
        </w:rPr>
        <w:t>excess of the fair value of the shares purchased by executives over the price that they paid for these shares is recorded as part of the stock compensation expense in the Company’s statement of operations.</w:t>
      </w:r>
    </w:p>
    <w:p>
      <w:pPr>
        <w:spacing w:after="0" w:line="163"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2"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82"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186" w:lineRule="exact"/>
        <w:rPr>
          <w:sz w:val="20"/>
          <w:szCs w:val="20"/>
          <w:color w:val="auto"/>
        </w:rPr>
      </w:pPr>
    </w:p>
    <w:p>
      <w:pPr>
        <w:jc w:val="both"/>
        <w:ind w:left="120" w:right="280"/>
        <w:spacing w:after="0" w:line="265"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7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4"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On February 3, 2021, the Sponsor paid $25,000, approximately $0.006 per share, to cover certain offering costs in consideration for 4,312,500 shares of</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Common Stock</w:t>
      </w:r>
    </w:p>
    <w:p>
      <w:pPr>
        <w:spacing w:after="0" w:line="121" w:lineRule="exact"/>
        <w:rPr>
          <w:sz w:val="20"/>
          <w:szCs w:val="20"/>
          <w:color w:val="auto"/>
        </w:rPr>
      </w:pPr>
    </w:p>
    <w:p>
      <w:pPr>
        <w:ind w:left="120" w:right="480"/>
        <w:spacing w:after="0" w:line="281"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54"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8"/>
          <w:szCs w:val="18"/>
          <w:color w:val="auto"/>
        </w:rPr>
        <w:t>approximately $0.0001 per share, or an aggregate purchase price of $25. On May 29, 2021, Northland returned 87,500 shares of common stock to the Company, for no consideration, which were subsequently cancelled.</w:t>
      </w:r>
    </w:p>
    <w:p>
      <w:pPr>
        <w:spacing w:after="0" w:line="16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8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4"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8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8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8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8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8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2"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7"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8"/>
          <w:szCs w:val="18"/>
          <w:color w:val="auto"/>
        </w:rPr>
        <w:t>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7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87"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2" w:lineRule="exact"/>
        <w:rPr>
          <w:sz w:val="20"/>
          <w:szCs w:val="20"/>
          <w:color w:val="auto"/>
        </w:rPr>
      </w:pPr>
    </w:p>
    <w:p>
      <w:pPr>
        <w:ind w:left="120" w:right="320"/>
        <w:spacing w:after="0" w:line="265"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7" w:lineRule="exact"/>
        <w:rPr>
          <w:sz w:val="20"/>
          <w:szCs w:val="20"/>
          <w:color w:val="auto"/>
        </w:rPr>
      </w:pPr>
    </w:p>
    <w:p>
      <w:pPr>
        <w:jc w:val="both"/>
        <w:ind w:left="120" w:right="100"/>
        <w:spacing w:after="0" w:line="260"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2"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82" w:lineRule="exact"/>
        <w:rPr>
          <w:sz w:val="20"/>
          <w:szCs w:val="20"/>
          <w:color w:val="auto"/>
        </w:rPr>
      </w:pPr>
    </w:p>
    <w:p>
      <w:pPr>
        <w:ind w:left="120" w:right="500"/>
        <w:spacing w:after="0" w:line="28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4"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8"/>
          <w:szCs w:val="18"/>
          <w:color w:val="auto"/>
        </w:rPr>
        <w:t>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On May 15, 2024, the Company borrowed $49,619 under the Second Extension Note and deposited the funds into the Trust Account thereby extending the Termination Date to June 17, 2024.</w:t>
      </w:r>
    </w:p>
    <w:p>
      <w:pPr>
        <w:spacing w:after="0" w:line="16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On June 15, 2024, the Company borrowed $49,619 under the Second Extension Note and deposited the funds into the Trust Account thereby extending the Termination Date to July 17, 2024.</w:t>
      </w:r>
    </w:p>
    <w:p>
      <w:pPr>
        <w:spacing w:after="0" w:line="16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completion of the initial Business Combination or the Company’s liquidation, the Company will cease paying these monthly fees. For the three and nine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months ended June 30, 2024, the Company incurred $30,000 and $90,000, respectively in administrative service fees. For each of the three and nine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months ended June 30, 2023, the Company incurred and paid $30,000 and $90,000, respectively, in administrative service fees. The Company has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$60,000 and $0 related to the administrative service fees, included in the accounts payable as of June 30, 2024 and September 30, 2023, respectively.</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Agreements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2" w:lineRule="exact"/>
        <w:rPr>
          <w:sz w:val="20"/>
          <w:szCs w:val="20"/>
          <w:color w:val="auto"/>
        </w:rPr>
      </w:pPr>
    </w:p>
    <w:p>
      <w:pPr>
        <w:ind w:left="120" w:right="360"/>
        <w:spacing w:after="0" w:line="265"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5"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8"/>
          <w:szCs w:val="18"/>
          <w:color w:val="auto"/>
        </w:rPr>
        <w:t>The Company accounts for the subscription agreements liability as a bundled transaction with allocation of individual items based on their relative fair values. The fair value of shares issuable under the Subscription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4"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7"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4"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80"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6"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9" w:lineRule="exact"/>
        <w:rPr>
          <w:sz w:val="20"/>
          <w:szCs w:val="20"/>
          <w:color w:val="auto"/>
        </w:rPr>
      </w:pPr>
    </w:p>
    <w:p>
      <w:pPr>
        <w:ind w:left="120" w:right="100"/>
        <w:spacing w:after="0" w:line="265"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4"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6"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ind w:left="120" w:right="500"/>
        <w:spacing w:after="0" w:line="281"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15"/>
                <w:szCs w:val="15"/>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Level</w:t>
            </w:r>
          </w:p>
        </w:tc>
        <w:tc>
          <w:tcPr>
            <w:tcW w:w="4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4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4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June 30, 2024 and September 30, 2023, there were 5,709,500 shares of common stock issued and outstanding,</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4"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6"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0" w:lineRule="exact"/>
        <w:rPr>
          <w:sz w:val="20"/>
          <w:szCs w:val="20"/>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100" w:right="400" w:hanging="438"/>
        <w:spacing w:after="0" w:line="265"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4"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Rezolvewas placed into a members’ voluntary liquidation.</w:t>
      </w:r>
    </w:p>
    <w:p>
      <w:pPr>
        <w:spacing w:after="0" w:line="18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8"/>
          <w:szCs w:val="18"/>
          <w:color w:val="auto"/>
        </w:rPr>
        <w:t>On July 17, 2024, the Company borrowed $49,619 under the Second Extension Note and deposited the funds into the Trust Account thereby extending the Termination Date to August 17, 2024.</w:t>
      </w:r>
    </w:p>
    <w:p>
      <w:pPr>
        <w:spacing w:after="0" w:line="163" w:lineRule="exact"/>
        <w:rPr>
          <w:sz w:val="20"/>
          <w:szCs w:val="20"/>
          <w:color w:val="auto"/>
        </w:rPr>
      </w:pPr>
    </w:p>
    <w:p>
      <w:pPr>
        <w:ind w:left="120" w:right="760"/>
        <w:spacing w:after="0" w:line="281" w:lineRule="auto"/>
        <w:rPr>
          <w:sz w:val="20"/>
          <w:szCs w:val="20"/>
          <w:color w:val="auto"/>
        </w:rPr>
      </w:pPr>
      <w:r>
        <w:rPr>
          <w:rFonts w:ascii="Times New Roman" w:cs="Times New Roman" w:eastAsia="Times New Roman" w:hAnsi="Times New Roman"/>
          <w:sz w:val="18"/>
          <w:szCs w:val="18"/>
          <w:color w:val="auto"/>
        </w:rPr>
        <w:t>On July 17, 2024, the Company issued a promissory note to the Sponsor for the aggregate amount of $381 to be used for working capital. The promissory note is non-interest bearing and due on the earlier of: (i) the liquidation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4"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8"/>
          <w:szCs w:val="18"/>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3" w:lineRule="exact"/>
        <w:rPr>
          <w:sz w:val="20"/>
          <w:szCs w:val="20"/>
          <w:color w:val="auto"/>
        </w:rPr>
      </w:pPr>
    </w:p>
    <w:p>
      <w:pPr>
        <w:jc w:val="both"/>
        <w:ind w:left="120" w:right="700"/>
        <w:spacing w:after="0" w:line="265" w:lineRule="auto"/>
        <w:rPr>
          <w:sz w:val="20"/>
          <w:szCs w:val="20"/>
          <w:color w:val="auto"/>
        </w:rPr>
      </w:pPr>
      <w:r>
        <w:rPr>
          <w:rFonts w:ascii="Times New Roman" w:cs="Times New Roman" w:eastAsia="Times New Roman" w:hAnsi="Times New Roman"/>
          <w:sz w:val="18"/>
          <w:szCs w:val="18"/>
          <w:color w:val="auto"/>
        </w:rPr>
        <w:t>On August 1, 2024, the Company held a special meeting of stockholders (the “Special Meeting”) virtually to approve, among other things, the Company’s initial business combination, as more fully described in the Definitive Proxy Statement filed with the U.S. Securities and Exchange Commission on July 10, 2024.</w:t>
      </w:r>
    </w:p>
    <w:p>
      <w:pPr>
        <w:spacing w:after="0" w:line="177" w:lineRule="exact"/>
        <w:rPr>
          <w:sz w:val="20"/>
          <w:szCs w:val="20"/>
          <w:color w:val="auto"/>
        </w:rPr>
      </w:pPr>
    </w:p>
    <w:p>
      <w:pPr>
        <w:jc w:val="both"/>
        <w:ind w:left="120" w:right="160"/>
        <w:spacing w:after="0" w:line="265" w:lineRule="auto"/>
        <w:rPr>
          <w:sz w:val="20"/>
          <w:szCs w:val="20"/>
          <w:color w:val="auto"/>
        </w:rPr>
      </w:pPr>
      <w:r>
        <w:rPr>
          <w:rFonts w:ascii="Times New Roman" w:cs="Times New Roman" w:eastAsia="Times New Roman" w:hAnsi="Times New Roman"/>
          <w:sz w:val="18"/>
          <w:szCs w:val="18"/>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7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82"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8"/>
          <w:szCs w:val="18"/>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7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by assumption by Rezolve AI of the obligations under such warrants.</w:t>
      </w:r>
    </w:p>
    <w:p>
      <w:pPr>
        <w:spacing w:after="0" w:line="18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In contemplation of closing of the Business combination the Company has entered into the following agreements with their vendors which were not paid in cash at the closing of the Business Combination:</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the principal amount outstanding from time to time from July 30, 2024 until the note is fully paid, at the rate of 10% per annum, compounded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annually. The timing and repayment amounts under the note will depend on the amounts of financing raised by the Company and its direct and indirect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companies after completion of the Business Combination. If more than (a) $25,000,000 in proceeds is raised while the note is outstanding, 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outstanding principal and all accrued and unpaid interest on the note shall become immediately due and payable and (b) if more than $50,000,000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gross proceeds is raised, all of the outstanding principal and all accrued and unpaid interest shall become immediately due and payable. In the event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the Company and its direct and indirect parent companies after completion of the Business Combination have less than $20,000,000 in cash,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equivalents and marketable securities as of December 31, 2024, the Company may, at its option, on or before March 31, 2025, convert all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$1,135,000 into shares of the Company’s common stock at a price of $10.00 per share. In the event the Company and its direct and indirect parent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after completion of the Business Combination have $20,000,000 or more in cash, cash equivalents and marketable securities as of any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on or prior to December 31, 2025, Northland may, at its option on or prior to June 30, 2026, sell any or all of the shares of the Company’s common stock</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received pursuant to the prior sentence to the Company at a price of $10.00 per share. The note was entered into</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4"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8"/>
          <w:szCs w:val="18"/>
          <w:color w:val="auto"/>
        </w:rPr>
        <w:t>in full satisfaction of the cash payments otherwise due to Northland by the Company at the time of closing and which are described above. All of the Company’s obligations under the Note were guaranteed by Rezolve and Rezolve AI.</w:t>
      </w:r>
    </w:p>
    <w:p>
      <w:pPr>
        <w:spacing w:after="0" w:line="16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J.B.V. Financial Group, LLC (“JBV”)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JBV by the Company at the time of closing and which are described above. All of the Company’s obligations under the Note were guaranteed by Rezolve and Rezolve AI.</w:t>
      </w:r>
    </w:p>
    <w:p>
      <w:pPr>
        <w:spacing w:after="0" w:line="18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4.95% per annum. Starting from January 31, 2025, upon Agent’s 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4"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040" w:type="dxa"/>
            <w:vAlign w:val="bottom"/>
            <w:gridSpan w:val="24"/>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19"/>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13"/>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Amended and Restated Memorandum and Articles of Association of Rezolve AI Limited.</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Specimen Rezolve Ordinary Share Certificate.</w:t>
            </w:r>
          </w:p>
        </w:tc>
        <w:tc>
          <w:tcPr>
            <w:tcW w:w="300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Specimen Rezolve Warrant Certificate.</w:t>
            </w:r>
          </w:p>
        </w:tc>
        <w:tc>
          <w:tcPr>
            <w:tcW w:w="520" w:type="dxa"/>
            <w:vAlign w:val="bottom"/>
            <w:tcBorders>
              <w:top w:val="single" w:sz="8" w:color="0000EE"/>
            </w:tcBorders>
            <w:gridSpan w:val="2"/>
          </w:tcPr>
          <w:p>
            <w:pPr>
              <w:spacing w:after="0"/>
              <w:rPr>
                <w:sz w:val="24"/>
                <w:szCs w:val="24"/>
                <w:color w:val="auto"/>
              </w:rPr>
            </w:pPr>
          </w:p>
        </w:tc>
        <w:tc>
          <w:tcPr>
            <w:tcW w:w="612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Business Combination Agreement, dated December 17, 2021, as amended on November 10, 2022 and as further amended and</w:t>
              </w:r>
            </w:hyperlink>
          </w:p>
        </w:tc>
        <w:tc>
          <w:tcPr>
            <w:tcW w:w="34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8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restated on June 16, 2023, as amended on August 4, 2023 (incorporated by reference to exhibit 2.1 of Rezolve AI Limited’s</w:t>
              </w:r>
            </w:hyperlink>
          </w:p>
        </w:tc>
        <w:tc>
          <w:tcPr>
            <w:tcW w:w="56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Registration Statement on Form F-4, filed with the SEC on July 5, 2024).</w:t>
              </w:r>
            </w:hyperlink>
          </w:p>
        </w:tc>
        <w:tc>
          <w:tcPr>
            <w:tcW w:w="4120" w:type="dxa"/>
            <w:vAlign w:val="bottom"/>
            <w:gridSpan w:val="10"/>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First Amendment to the Business Combination Agreement, dated as of August 4, 2023, by and among Armada Rezolve Limited,</w:t>
              </w:r>
            </w:hyperlink>
          </w:p>
        </w:tc>
        <w:tc>
          <w:tcPr>
            <w:tcW w:w="1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3"/>
          </w:tcPr>
          <w:p>
            <w:pPr>
              <w:spacing w:after="0" w:line="195"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Rezolve and Rezolve Merger Sub (incorporated by reference to exhibit 2.1 of Rezolve AI Limited’s Registration Statement on</w:t>
              </w:r>
            </w:hyperlink>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9"/>
          </w:tcPr>
          <w:p>
            <w:pPr>
              <w:spacing w:after="0" w:line="195"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F-4, filed with the SEC on July 5, 2024).</w:t>
              </w:r>
            </w:hyperlink>
          </w:p>
        </w:tc>
        <w:tc>
          <w:tcPr>
            <w:tcW w:w="5660" w:type="dxa"/>
            <w:vAlign w:val="bottom"/>
            <w:tcBorders>
              <w:top w:val="single" w:sz="8" w:color="0000EE"/>
            </w:tcBorders>
            <w:gridSpan w:val="10"/>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Warrant Agreement, dated August 15, 2024, by and among Rezolve AI Limited and Computershare Inc. and its affiliate,</w:t>
            </w:r>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8"/>
              </w:rPr>
              <w:t>Computershare Trust Company, N.A.</w:t>
            </w:r>
          </w:p>
        </w:tc>
        <w:tc>
          <w:tcPr>
            <w:tcW w:w="5960" w:type="dxa"/>
            <w:vAlign w:val="bottom"/>
            <w:tcBorders>
              <w:top w:val="single" w:sz="8" w:color="0000EE"/>
            </w:tcBorders>
            <w:gridSpan w:val="12"/>
          </w:tcPr>
          <w:p>
            <w:pPr>
              <w:spacing w:after="0"/>
              <w:rPr>
                <w:sz w:val="17"/>
                <w:szCs w:val="17"/>
                <w:color w:val="auto"/>
              </w:rPr>
            </w:pPr>
          </w:p>
        </w:tc>
        <w:tc>
          <w:tcPr>
            <w:tcW w:w="80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1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Warrant Assignment, Assumption and Amendment Agreement, dated August 15, 2024, by and among Rezolve AI Limited and</w:t>
            </w:r>
          </w:p>
        </w:tc>
        <w:tc>
          <w:tcPr>
            <w:tcW w:w="32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Computershare Inc. and its affiliate, Computershare Trust Company, N.A.</w:t>
            </w:r>
          </w:p>
        </w:tc>
      </w:tr>
      <w:tr>
        <w:trPr>
          <w:trHeight w:val="20"/>
        </w:trPr>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Investor Rights Agreement, dated August 15, 2024, by and among Rezolve AI Limited and the holders party thereto.</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Form of Lock-In Agreement, dated August 15, 2024.</w:t>
            </w:r>
          </w:p>
        </w:tc>
        <w:tc>
          <w:tcPr>
            <w:tcW w:w="4580" w:type="dxa"/>
            <w:vAlign w:val="bottom"/>
            <w:tcBorders>
              <w:top w:val="single" w:sz="8" w:color="0000EE"/>
            </w:tcBorders>
            <w:gridSpan w:val="6"/>
          </w:tcPr>
          <w:p>
            <w:pPr>
              <w:spacing w:after="0"/>
              <w:rPr>
                <w:sz w:val="24"/>
                <w:szCs w:val="24"/>
                <w:color w:val="auto"/>
              </w:rPr>
            </w:pPr>
          </w:p>
        </w:tc>
        <w:tc>
          <w:tcPr>
            <w:tcW w:w="106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List of Subsidiaries of Rezolve AI Limited</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Insider Trading Policy</w:t>
            </w:r>
          </w:p>
        </w:tc>
        <w:tc>
          <w:tcPr>
            <w:tcW w:w="1460" w:type="dxa"/>
            <w:vAlign w:val="bottom"/>
            <w:tcBorders>
              <w:top w:val="single" w:sz="8" w:color="0000EE"/>
            </w:tcBorders>
            <w:gridSpan w:val="6"/>
          </w:tcPr>
          <w:p>
            <w:pPr>
              <w:spacing w:after="0"/>
              <w:rPr>
                <w:sz w:val="24"/>
                <w:szCs w:val="24"/>
                <w:color w:val="auto"/>
              </w:rPr>
            </w:pPr>
          </w:p>
        </w:tc>
        <w:tc>
          <w:tcPr>
            <w:tcW w:w="6380" w:type="dxa"/>
            <w:vAlign w:val="bottom"/>
            <w:gridSpan w:val="1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Rezolve AI Limited Code of Ethics</w:t>
            </w:r>
          </w:p>
        </w:tc>
        <w:tc>
          <w:tcPr>
            <w:tcW w:w="6900" w:type="dxa"/>
            <w:vAlign w:val="bottom"/>
            <w:gridSpan w:val="2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Statements of Rezolve</w:t>
            </w:r>
          </w:p>
        </w:tc>
        <w:tc>
          <w:tcPr>
            <w:tcW w:w="388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Letter dated August 21, 2024 from Marcum LLP, pertaining to Item 16F.</w:t>
            </w:r>
          </w:p>
        </w:tc>
        <w:tc>
          <w:tcPr>
            <w:tcW w:w="422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Marcum LLP</w:t>
            </w:r>
          </w:p>
        </w:tc>
      </w:tr>
      <w:tr>
        <w:trPr>
          <w:trHeight w:val="20"/>
        </w:trPr>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40" w:type="dxa"/>
            <w:vAlign w:val="bottom"/>
            <w:gridSpan w:val="19"/>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Grassi &amp; Co., CPAs, PC.</w:t>
            </w:r>
          </w:p>
        </w:tc>
      </w:tr>
      <w:tr>
        <w:trPr>
          <w:trHeight w:val="385"/>
        </w:trPr>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Borders>
              <w:top w:val="single" w:sz="8" w:color="0000EE"/>
            </w:tcBorders>
            <w:gridSpan w:val="4"/>
          </w:tcPr>
          <w:p>
            <w:pPr>
              <w:spacing w:after="0"/>
              <w:rPr>
                <w:sz w:val="24"/>
                <w:szCs w:val="24"/>
                <w:color w:val="auto"/>
              </w:rPr>
            </w:pPr>
          </w:p>
        </w:tc>
        <w:tc>
          <w:tcPr>
            <w:tcW w:w="2620" w:type="dxa"/>
            <w:vAlign w:val="bottom"/>
            <w:gridSpan w:val="7"/>
          </w:tcPr>
          <w:p>
            <w:pPr>
              <w:jc w:val="right"/>
              <w:ind w:right="1128"/>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4"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Rezolve AI Limited</w:t>
            </w:r>
          </w:p>
        </w:tc>
      </w:tr>
      <w:tr>
        <w:trPr>
          <w:trHeight w:val="4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21, 2024</w:t>
            </w: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Daniel Wagner</w:t>
            </w:r>
          </w:p>
        </w:tc>
      </w:tr>
      <w:tr>
        <w:trPr>
          <w:trHeight w:val="191"/>
        </w:trPr>
        <w:tc>
          <w:tcPr>
            <w:tcW w:w="3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Daniel Wagner</w:t>
            </w:r>
          </w:p>
        </w:tc>
      </w:tr>
      <w:tr>
        <w:trPr>
          <w:trHeight w:val="234"/>
        </w:trPr>
        <w:tc>
          <w:tcPr>
            <w:tcW w:w="3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 and Director</w:t>
            </w:r>
          </w:p>
        </w:tc>
      </w:tr>
    </w:tbl>
    <w:p>
      <w:pPr>
        <w:sectPr>
          <w:pgSz w:w="11900" w:h="16838" w:orient="portrait"/>
          <w:cols w:equalWidth="0" w:num="1">
            <w:col w:w="11140"/>
          </w:cols>
          <w:pgMar w:left="320" w:top="454"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242570</wp:posOffset>
            </wp:positionV>
            <wp:extent cx="1464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250825</wp:posOffset>
            </wp:positionV>
            <wp:extent cx="1464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(Company number: 14573691)</w:t>
      </w:r>
    </w:p>
    <w:p>
      <w:pPr>
        <w:spacing w:after="0" w:line="20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(Adopted by special resolution passed on 28 July 2024)</w:t>
      </w:r>
    </w:p>
    <w:p>
      <w:pPr>
        <w:sectPr>
          <w:pgSz w:w="11900" w:h="16838" w:orient="portrait"/>
          <w:cols w:equalWidth="0" w:num="1">
            <w:col w:w="10000"/>
          </w:cols>
          <w:pgMar w:left="1440" w:top="117" w:right="4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0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contents</w:t>
            </w:r>
          </w:p>
        </w:tc>
        <w:tc>
          <w:tcPr>
            <w:tcW w:w="2280" w:type="dxa"/>
            <w:vAlign w:val="bottom"/>
          </w:tcPr>
          <w:p>
            <w:pPr>
              <w:spacing w:after="0"/>
              <w:rPr>
                <w:sz w:val="20"/>
                <w:szCs w:val="20"/>
                <w:color w:val="auto"/>
              </w:rPr>
            </w:pPr>
          </w:p>
        </w:tc>
      </w:tr>
      <w:tr>
        <w:trPr>
          <w:trHeight w:val="419"/>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Exclusion of default or model articles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Limited liability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 capital and rights attached to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attaching to Founder’s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attaching to the Deferred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to Deferred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to allot shares and grant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pay commission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alter share capital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issue redeemable shares and conversion of existing non-redeemable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purchase own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reduce capital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Trusts not recognised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Redemption, Purchase and Surrender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Treasury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Variation of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OF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transfer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of uncertificated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of certificated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provisions relating to transfers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refusal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Transmission on death</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person entitled by transmission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person entitled by transmission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INTERESTS IN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Disenfranchisement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of notices on non-members and Depositaries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Cessation of disenfranchisement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uncertificated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794 and 795 of the 2006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Meeting at more than one place or in more than one format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Hybrid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Annual 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Convening of general meetings other than annual 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Length, form and content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Omission or non-receipt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0680"/>
          </w:cols>
          <w:pgMar w:left="440" w:top="270" w:right="7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4" w:name="page55"/>
    <w:bookmarkEnd w:id="54"/>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attend and speak</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Resolutions and amendments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Adjournment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 of voting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How poll is to be taken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Validity of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OF MEMBERS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 of corporations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 of joint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 of members incapable of managing their affairs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 suspended where sums overdue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proxy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Receipt of proxy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revocation of authority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and class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need not be members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RETIREMENT AND REMOVAL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 by the Company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resolutions for election of each director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Board’s power to appoint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Retirement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Removal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Vacation of office of director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Disqualification of a director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appoint alternate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Formalities for appointment and 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Alternate to receive 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Alternate may be paid expenses but not remuneration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Alternate not an agent of appointor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EXPENSES, PENSIONS AND OTHER BENEFITS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remuneration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Pensions and other benefits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POWERS OF THE BOARD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powers of the Board to manage the Company’s business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act notwithstanding vacancy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Provisions for employees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borrow money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change the name of the Company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DELEGATION OF BOARD’S POWERS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to individual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 boards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Powers of attorney and agents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jc w:val="right"/>
        <w:spacing w:after="0"/>
        <w:rPr>
          <w:sz w:val="20"/>
          <w:szCs w:val="20"/>
          <w:color w:val="auto"/>
        </w:rPr>
        <w:sectPr>
          <w:pgSz w:w="11900" w:h="16838" w:orient="portrait"/>
          <w:cols w:equalWidth="0" w:num="1">
            <w:col w:w="10780"/>
          </w:cols>
          <w:pgMar w:left="440" w:top="270" w:right="6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 w:name="page56"/>
    <w:bookmarkEnd w:id="55"/>
    <w:tbl>
      <w:tblPr>
        <w:tblLayout w:type="fixed"/>
        <w:tblInd w:w="0" w:type="dxa"/>
        <w:tblCellMar>
          <w:top w:w="0" w:type="dxa"/>
          <w:left w:w="0" w:type="dxa"/>
          <w:bottom w:w="0" w:type="dxa"/>
          <w:right w:w="0" w:type="dxa"/>
        </w:tblCellMar>
      </w:tblP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INTERESTS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of interests in a proposed transaction or arrangement with the Company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applicable to declarations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the Board to authorise conflicts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interests and voting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Avoiding conflicts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OF THE BOARD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meetings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board meetings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directors if number falls below minimum</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or deputy chair to preside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Competence of board meetings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Telephone/electronic board meetings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Resolutions without meetings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Minutes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for and replacement of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 ON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Lien on partly paid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Enforcement of lien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calls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Sums treated as calls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to differentiate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calls in advance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unpaid calls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on non-compliance with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to annul forfeiture or surrender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 of forfeited or surrendered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Arrears to be paid notwithstanding forfeiture or surrender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SEAL</w:t>
            </w:r>
          </w:p>
        </w:tc>
        <w:tc>
          <w:tcPr>
            <w:tcW w:w="8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of dividends by the Company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and interim 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 and currency of 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payment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not to bear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Calls or debts may be deducted from 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Unclaimed dividends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Uncashed 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in specie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Scrip dividends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jc w:val="right"/>
        <w:spacing w:after="0"/>
        <w:rPr>
          <w:sz w:val="20"/>
          <w:szCs w:val="20"/>
          <w:color w:val="auto"/>
        </w:rPr>
        <w:sectPr>
          <w:pgSz w:w="11900" w:h="16838" w:orient="portrait"/>
          <w:cols w:equalWidth="0" w:num="1">
            <w:col w:w="10780"/>
          </w:cols>
          <w:pgMar w:left="440" w:top="270" w:right="6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6" w:name="page57"/>
    <w:bookmarkEnd w:id="56"/>
    <w:tbl>
      <w:tblPr>
        <w:tblLayout w:type="fixed"/>
        <w:tblInd w:w="0" w:type="dxa"/>
        <w:tblCellMar>
          <w:top w:w="0" w:type="dxa"/>
          <w:left w:w="0" w:type="dxa"/>
          <w:bottom w:w="0" w:type="dxa"/>
          <w:right w:w="0" w:type="dxa"/>
        </w:tblCellMar>
      </w:tblP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 and RESERVES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Fixing of record dates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130.</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records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Validity of acts of Auditor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of notices and other documents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in writing</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 of giving notice to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by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135.</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to joint holders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to persons entitled by transmission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137.</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Disruption of postal services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notice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139.</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in title bound by notice to predecessor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140.</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 to notices are to notifications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Statutory requirements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Record date for delivery</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Register Requirements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UNTRACED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of shares of untraced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145.</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WINDING UP</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147.</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Powers to distribute in specie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INDEMNITY AND INSURANCE, ETC</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indemnity, insurance and defence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FORUM SELECTION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149.</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Forum Selection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jc w:val="right"/>
        <w:spacing w:after="0"/>
        <w:rPr>
          <w:sz w:val="20"/>
          <w:szCs w:val="20"/>
          <w:color w:val="auto"/>
        </w:rPr>
        <w:sectPr>
          <w:pgSz w:w="11900" w:h="16838" w:orient="portrait"/>
          <w:cols w:equalWidth="0" w:num="1">
            <w:col w:w="10780"/>
          </w:cols>
          <w:pgMar w:left="440" w:top="270" w:right="6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7" w:name="page58"/>
    <w:bookmarkEnd w:id="57"/>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ARTICLES OF ASSOCIATION</w:t>
      </w:r>
    </w:p>
    <w:p>
      <w:pPr>
        <w:spacing w:after="0" w:line="117"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7"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i w:val="1"/>
          <w:iCs w:val="1"/>
          <w:color w:val="auto"/>
        </w:rPr>
        <w:t xml:space="preserve">(adopted by special resolution passed on </w:t>
      </w:r>
      <w:r>
        <w:rPr>
          <w:rFonts w:ascii="Times New Roman" w:cs="Times New Roman" w:eastAsia="Times New Roman" w:hAnsi="Times New Roman"/>
          <w:sz w:val="18"/>
          <w:szCs w:val="18"/>
          <w:color w:val="auto"/>
        </w:rPr>
        <w:t>28 July</w:t>
      </w:r>
      <w:r>
        <w:rPr>
          <w:rFonts w:ascii="Times New Roman" w:cs="Times New Roman" w:eastAsia="Times New Roman" w:hAnsi="Times New Roman"/>
          <w:sz w:val="18"/>
          <w:szCs w:val="18"/>
          <w:i w:val="1"/>
          <w:iCs w:val="1"/>
          <w:color w:val="auto"/>
        </w:rPr>
        <w:t xml:space="preserve"> 2024</w:t>
      </w:r>
    </w:p>
    <w:p>
      <w:pPr>
        <w:spacing w:after="0" w:line="29"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i w:val="1"/>
          <w:iCs w:val="1"/>
          <w:color w:val="auto"/>
        </w:rPr>
        <w:t xml:space="preserve">and effective on </w:t>
      </w:r>
      <w:r>
        <w:rPr>
          <w:rFonts w:ascii="Times New Roman" w:cs="Times New Roman" w:eastAsia="Times New Roman" w:hAnsi="Times New Roman"/>
          <w:sz w:val="18"/>
          <w:szCs w:val="18"/>
          <w:color w:val="auto"/>
        </w:rPr>
        <w:t>15 August</w:t>
      </w:r>
      <w:r>
        <w:rPr>
          <w:rFonts w:ascii="Times New Roman" w:cs="Times New Roman" w:eastAsia="Times New Roman" w:hAnsi="Times New Roman"/>
          <w:sz w:val="18"/>
          <w:szCs w:val="18"/>
          <w:i w:val="1"/>
          <w:iCs w:val="1"/>
          <w:color w:val="auto"/>
        </w:rPr>
        <w:t xml:space="preserve"> 2024)</w:t>
      </w:r>
    </w:p>
    <w:p>
      <w:pPr>
        <w:spacing w:after="0" w:line="200" w:lineRule="exact"/>
        <w:rPr>
          <w:sz w:val="20"/>
          <w:szCs w:val="20"/>
          <w:color w:val="auto"/>
        </w:rPr>
      </w:pPr>
    </w:p>
    <w:p>
      <w:pPr>
        <w:spacing w:after="0" w:line="218"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51" w:lineRule="exact"/>
        <w:rPr>
          <w:sz w:val="20"/>
          <w:szCs w:val="20"/>
          <w:color w:val="auto"/>
        </w:rPr>
      </w:pPr>
    </w:p>
    <w:p>
      <w:pPr>
        <w:ind w:left="438" w:hanging="438"/>
        <w:spacing w:after="0"/>
        <w:tabs>
          <w:tab w:leader="none" w:pos="43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 of default or model articles</w:t>
      </w:r>
    </w:p>
    <w:p>
      <w:pPr>
        <w:spacing w:after="0" w:line="120" w:lineRule="exact"/>
        <w:rPr>
          <w:rFonts w:ascii="Times New Roman" w:cs="Times New Roman" w:eastAsia="Times New Roman" w:hAnsi="Times New Roman"/>
          <w:sz w:val="18"/>
          <w:szCs w:val="18"/>
          <w:b w:val="1"/>
          <w:bCs w:val="1"/>
          <w:color w:val="auto"/>
        </w:rPr>
      </w:pPr>
    </w:p>
    <w:p>
      <w:pPr>
        <w:ind w:left="438" w:right="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model articles or regulations which may apply to companies under the Statutes (including, without limitation, the regulations in Table A in the Companies (Tables A to F) Regulations 1985 (as amended) and the model articles in the Companies (Model Articles) Regulations 2008) shall apply to the Company unless expressly included in these articles.</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 contrary intention appears:</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apply:</w:t>
      </w:r>
    </w:p>
    <w:p>
      <w:pPr>
        <w:spacing w:after="0" w:line="112" w:lineRule="exact"/>
        <w:rPr>
          <w:rFonts w:ascii="Times New Roman" w:cs="Times New Roman" w:eastAsia="Times New Roman" w:hAnsi="Times New Roman"/>
          <w:sz w:val="18"/>
          <w:szCs w:val="18"/>
          <w:color w:val="auto"/>
        </w:rPr>
      </w:pPr>
    </w:p>
    <w:p>
      <w:pPr>
        <w:ind w:left="19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Act </w:t>
      </w:r>
      <w:r>
        <w:rPr>
          <w:rFonts w:ascii="Times New Roman" w:cs="Times New Roman" w:eastAsia="Times New Roman" w:hAnsi="Times New Roman"/>
          <w:sz w:val="18"/>
          <w:szCs w:val="18"/>
          <w:color w:val="auto"/>
        </w:rPr>
        <w:t>means the Companies Act 2006;</w:t>
      </w:r>
    </w:p>
    <w:p>
      <w:pPr>
        <w:spacing w:after="0" w:line="116" w:lineRule="exact"/>
        <w:rPr>
          <w:rFonts w:ascii="Times New Roman" w:cs="Times New Roman" w:eastAsia="Times New Roman" w:hAnsi="Times New Roman"/>
          <w:sz w:val="18"/>
          <w:szCs w:val="18"/>
          <w:color w:val="auto"/>
        </w:rPr>
      </w:pPr>
    </w:p>
    <w:p>
      <w:pPr>
        <w:ind w:left="19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these articles </w:t>
      </w:r>
      <w:r>
        <w:rPr>
          <w:rFonts w:ascii="Times New Roman" w:cs="Times New Roman" w:eastAsia="Times New Roman" w:hAnsi="Times New Roman"/>
          <w:sz w:val="18"/>
          <w:szCs w:val="18"/>
          <w:color w:val="auto"/>
        </w:rPr>
        <w:t>means these articles of association, as amended from time to time;</w:t>
      </w:r>
    </w:p>
    <w:p>
      <w:pPr>
        <w:spacing w:after="0" w:line="116" w:lineRule="exact"/>
        <w:rPr>
          <w:rFonts w:ascii="Times New Roman" w:cs="Times New Roman" w:eastAsia="Times New Roman" w:hAnsi="Times New Roman"/>
          <w:sz w:val="18"/>
          <w:szCs w:val="18"/>
          <w:color w:val="auto"/>
        </w:rPr>
      </w:pPr>
    </w:p>
    <w:p>
      <w:pPr>
        <w:ind w:left="197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of any Person means any other Person which (i)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such Person, and (ii) as to any individual, in addition to any Person in clause (i), (a) any member of the immediate family of an individual, including parents, siblings, spouse and children (including those by adoption), the parents, siblings, spouse, or children (including those by adoption) of such immediate family member, and, in any such case, any trust whose primary beneficiary is such individual or one or more members of such immediate family and/or such individual’s lineal descendants, and (b) the legal representative or guardian of such individual or of any such immediate family member in the event such individual or any such immediate family member becomes mentally incompetent; provided, however, that in no event shall the Company or any of its subsidiaries be deemed an Affiliate of any Relevant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123"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98"/>
          </w:cols>
          <w:pgMar w:left="442" w:top="266" w:right="55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Auditor </w:t>
      </w:r>
      <w:r>
        <w:rPr>
          <w:rFonts w:ascii="Times New Roman" w:cs="Times New Roman" w:eastAsia="Times New Roman" w:hAnsi="Times New Roman"/>
          <w:sz w:val="18"/>
          <w:szCs w:val="18"/>
          <w:color w:val="auto"/>
        </w:rPr>
        <w:t>means the auditor for the time being of the Company;</w:t>
      </w:r>
    </w:p>
    <w:p>
      <w:pPr>
        <w:spacing w:after="0" w:line="117" w:lineRule="exact"/>
        <w:rPr>
          <w:sz w:val="20"/>
          <w:szCs w:val="20"/>
          <w:color w:val="auto"/>
        </w:rPr>
      </w:pPr>
    </w:p>
    <w:p>
      <w:pPr>
        <w:jc w:val="both"/>
        <w:ind w:left="98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Beneficially Own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Beneficial Owner </w:t>
      </w:r>
      <w:r>
        <w:rPr>
          <w:rFonts w:ascii="Times New Roman" w:cs="Times New Roman" w:eastAsia="Times New Roman" w:hAnsi="Times New Roman"/>
          <w:sz w:val="18"/>
          <w:szCs w:val="18"/>
          <w:color w:val="auto"/>
        </w:rPr>
        <w:t>includes without limitation a person who is a Beneficial Owner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such term in Rule 13d-3 under the US Securities Exchange Act 1934 (irrespective of whether or not such Rule is actually applicable in such circumstance) or any person who has an interest in any shares held by a Depository including any holder of a certificate of deposit;</w:t>
      </w:r>
    </w:p>
    <w:p>
      <w:pPr>
        <w:spacing w:after="0" w:line="67" w:lineRule="exact"/>
        <w:rPr>
          <w:sz w:val="20"/>
          <w:szCs w:val="20"/>
          <w:color w:val="auto"/>
        </w:rPr>
      </w:pPr>
    </w:p>
    <w:p>
      <w:pPr>
        <w:ind w:left="98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for the time being of the Company or the directors present or deemed to be present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convened meeting of the directors at which a quorum is present;</w:t>
      </w:r>
    </w:p>
    <w:p>
      <w:pPr>
        <w:spacing w:after="0" w:line="46" w:lineRule="exact"/>
        <w:rPr>
          <w:sz w:val="20"/>
          <w:szCs w:val="20"/>
          <w:color w:val="auto"/>
        </w:rPr>
      </w:pPr>
    </w:p>
    <w:p>
      <w:pPr>
        <w:ind w:left="98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clear days </w:t>
      </w:r>
      <w:r>
        <w:rPr>
          <w:rFonts w:ascii="Times New Roman" w:cs="Times New Roman" w:eastAsia="Times New Roman" w:hAnsi="Times New Roman"/>
          <w:sz w:val="18"/>
          <w:szCs w:val="18"/>
          <w:color w:val="auto"/>
        </w:rPr>
        <w:t>means, in relation to the period of a notice, that period excluding the day when the notice is given or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 and the day for which it is given or on which it is to take effect;</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a committee of the Board;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Rezolve AI Limited (company no. 14573691);</w:t>
      </w:r>
    </w:p>
    <w:p>
      <w:pPr>
        <w:spacing w:after="0" w:line="117" w:lineRule="exact"/>
        <w:rPr>
          <w:sz w:val="20"/>
          <w:szCs w:val="20"/>
          <w:color w:val="auto"/>
        </w:rPr>
      </w:pPr>
    </w:p>
    <w:p>
      <w:pPr>
        <w:ind w:left="98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Shares </w:t>
      </w:r>
      <w:r>
        <w:rPr>
          <w:rFonts w:ascii="Times New Roman" w:cs="Times New Roman" w:eastAsia="Times New Roman" w:hAnsi="Times New Roman"/>
          <w:sz w:val="18"/>
          <w:szCs w:val="18"/>
          <w:color w:val="auto"/>
        </w:rPr>
        <w:t>means the redeemable deferred shares in the capital of the Company from time to time,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4(b) and with the rights set out therein and in these articles generally;</w:t>
      </w:r>
    </w:p>
    <w:p>
      <w:pPr>
        <w:spacing w:after="0" w:line="46"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Depositary </w:t>
      </w:r>
      <w:r>
        <w:rPr>
          <w:rFonts w:ascii="Times New Roman" w:cs="Times New Roman" w:eastAsia="Times New Roman" w:hAnsi="Times New Roman"/>
          <w:sz w:val="18"/>
          <w:szCs w:val="18"/>
          <w:color w:val="auto"/>
        </w:rPr>
        <w:t>means any depositary, clearing agency, custodian, nominee or similar entity authorised under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by the Company, or otherwise approved by the Board that holds legal title to shares in the capital of the Company for the purposes of facilitating beneficial ownership of such shares (or the transfer thereof) by other persons, and may include a person that holds, or is interested directly or indirectly, including through a nominee in shares or rights or interests in respect thereof, and that issues certificates, instruments, securities or other documents of title, or maintains accounts evidencing or recording the entitlement of the holders thereof, or account holders to or to receive such shares, rights or interests and shall include, where so approved by the Board the trustees (acting in their capacity as such) of any employees’ share scheme established by the Company, including for the avoidance of doubt DTC;</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for the time being of the Company;</w:t>
      </w:r>
    </w:p>
    <w:p>
      <w:pPr>
        <w:spacing w:after="0" w:line="117" w:lineRule="exact"/>
        <w:rPr>
          <w:sz w:val="20"/>
          <w:szCs w:val="20"/>
          <w:color w:val="auto"/>
        </w:rPr>
      </w:pPr>
    </w:p>
    <w:p>
      <w:pPr>
        <w:ind w:left="9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DTC </w:t>
      </w:r>
      <w:r>
        <w:rPr>
          <w:rFonts w:ascii="Times New Roman" w:cs="Times New Roman" w:eastAsia="Times New Roman" w:hAnsi="Times New Roman"/>
          <w:sz w:val="18"/>
          <w:szCs w:val="18"/>
          <w:color w:val="auto"/>
        </w:rPr>
        <w:t>means The Depository Trust Company and any affiliate or nominee therefor, including Cede &amp; Co. and any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w:t>
      </w:r>
    </w:p>
    <w:p>
      <w:pPr>
        <w:spacing w:after="0" w:line="46" w:lineRule="exact"/>
        <w:rPr>
          <w:sz w:val="20"/>
          <w:szCs w:val="20"/>
          <w:color w:val="auto"/>
        </w:rPr>
      </w:pPr>
    </w:p>
    <w:p>
      <w:pPr>
        <w:ind w:left="98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address </w:t>
      </w:r>
      <w:r>
        <w:rPr>
          <w:rFonts w:ascii="Times New Roman" w:cs="Times New Roman" w:eastAsia="Times New Roman" w:hAnsi="Times New Roman"/>
          <w:sz w:val="18"/>
          <w:szCs w:val="18"/>
          <w:color w:val="auto"/>
        </w:rPr>
        <w:t>means any number or address used for the purposes of sending or receiving notices, documents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by electronic means;</w:t>
      </w:r>
    </w:p>
    <w:p>
      <w:pPr>
        <w:spacing w:after="0" w:line="46" w:lineRule="exact"/>
        <w:rPr>
          <w:sz w:val="20"/>
          <w:szCs w:val="20"/>
          <w:color w:val="auto"/>
        </w:rPr>
      </w:pPr>
    </w:p>
    <w:p>
      <w:pPr>
        <w:ind w:left="98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form </w:t>
      </w:r>
      <w:r>
        <w:rPr>
          <w:rFonts w:ascii="Times New Roman" w:cs="Times New Roman" w:eastAsia="Times New Roman" w:hAnsi="Times New Roman"/>
          <w:sz w:val="18"/>
          <w:szCs w:val="18"/>
          <w:color w:val="auto"/>
        </w:rPr>
        <w:t>means a document sent or supplied by electronic means (for example, by e-mail or fax, or by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while in an electronic form);</w:t>
      </w:r>
    </w:p>
    <w:p>
      <w:pPr>
        <w:spacing w:after="0" w:line="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00"/>
          </w:cols>
          <w:pgMar w:left="1440" w:top="266" w:right="459" w:bottom="1440" w:gutter="0" w:footer="0" w:header="0"/>
        </w:sectPr>
      </w:pPr>
    </w:p>
    <w:bookmarkStart w:id="59" w:name="page60"/>
    <w:bookmarkEnd w:id="59"/>
    <w:p>
      <w:pPr>
        <w:ind w:left="9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w:t>
      </w:r>
      <w:r>
        <w:rPr>
          <w:rFonts w:ascii="Times New Roman" w:cs="Times New Roman" w:eastAsia="Times New Roman" w:hAnsi="Times New Roman"/>
          <w:sz w:val="18"/>
          <w:szCs w:val="18"/>
          <w:b w:val="1"/>
          <w:bCs w:val="1"/>
          <w:color w:val="auto"/>
        </w:rPr>
        <w:t>electronic general meeting</w:t>
      </w:r>
      <w:r>
        <w:rPr>
          <w:rFonts w:ascii="Times New Roman" w:cs="Times New Roman" w:eastAsia="Times New Roman" w:hAnsi="Times New Roman"/>
          <w:sz w:val="18"/>
          <w:szCs w:val="18"/>
          <w:color w:val="auto"/>
        </w:rPr>
        <w:t xml:space="preserve"> means, subject to the Statutes, a general meeting held or conducted in such a way that allows persons who may not be physically present together to participate in the general meeting and communicate with each other any information or opinions they may have on any particular item of business of the meeting, and for the avoidance of doubt, such participation and communication requires that each member participating and communicating at the meeting can both hear any other of them or be heard by any other of them;</w:t>
      </w:r>
    </w:p>
    <w:p>
      <w:pPr>
        <w:spacing w:after="0" w:line="70" w:lineRule="exact"/>
        <w:rPr>
          <w:sz w:val="20"/>
          <w:szCs w:val="20"/>
          <w:color w:val="auto"/>
        </w:rPr>
      </w:pPr>
    </w:p>
    <w:p>
      <w:pPr>
        <w:ind w:left="98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sent initially and received at its destination by means of electronic equipment for the processing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includes digital compression) or storage of data, and entirely transmitted, conveyed and received by wire, by radio, by optical means or by other electromagnetic means;</w:t>
      </w:r>
    </w:p>
    <w:p>
      <w:pPr>
        <w:spacing w:after="0" w:line="62" w:lineRule="exact"/>
        <w:rPr>
          <w:sz w:val="20"/>
          <w:szCs w:val="20"/>
          <w:color w:val="auto"/>
        </w:rPr>
      </w:pPr>
    </w:p>
    <w:p>
      <w:pPr>
        <w:ind w:left="98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as the same may be amended from time to time;</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xml:space="preserve"> means Daniel Wagner;</w:t>
      </w:r>
    </w:p>
    <w:p>
      <w:pPr>
        <w:spacing w:after="0" w:line="117" w:lineRule="exact"/>
        <w:rPr>
          <w:sz w:val="20"/>
          <w:szCs w:val="20"/>
          <w:color w:val="auto"/>
        </w:rPr>
      </w:pPr>
    </w:p>
    <w:p>
      <w:pPr>
        <w:ind w:left="980"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Authority </w:t>
      </w:r>
      <w:r>
        <w:rPr>
          <w:rFonts w:ascii="Times New Roman" w:cs="Times New Roman" w:eastAsia="Times New Roman" w:hAnsi="Times New Roman"/>
          <w:sz w:val="18"/>
          <w:szCs w:val="18"/>
          <w:color w:val="auto"/>
        </w:rPr>
        <w:t>means any federal, state, provincial, municipal, local or foreign government,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regulatory or administrative agency, governmental commission, department, board, bureau, agency or instrumentality, court or tribunal;</w:t>
      </w:r>
    </w:p>
    <w:p>
      <w:pPr>
        <w:spacing w:after="0" w:line="62" w:lineRule="exact"/>
        <w:rPr>
          <w:sz w:val="20"/>
          <w:szCs w:val="20"/>
          <w:color w:val="auto"/>
        </w:rPr>
      </w:pPr>
    </w:p>
    <w:p>
      <w:pPr>
        <w:ind w:left="980" w:right="74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hard copy form </w:t>
      </w:r>
      <w:r>
        <w:rPr>
          <w:rFonts w:ascii="Times New Roman" w:cs="Times New Roman" w:eastAsia="Times New Roman" w:hAnsi="Times New Roman"/>
          <w:sz w:val="17"/>
          <w:szCs w:val="17"/>
          <w:color w:val="auto"/>
        </w:rPr>
        <w:t>means a document sent or supplied by paper copy or a similar form capable of being read;</w:t>
      </w:r>
      <w:r>
        <w:rPr>
          <w:rFonts w:ascii="Times New Roman" w:cs="Times New Roman" w:eastAsia="Times New Roman" w:hAnsi="Times New Roman"/>
          <w:sz w:val="17"/>
          <w:szCs w:val="17"/>
          <w:b w:val="1"/>
          <w:bCs w:val="1"/>
          <w:color w:val="auto"/>
        </w:rPr>
        <w:t xml:space="preserve"> holder </w:t>
      </w:r>
      <w:r>
        <w:rPr>
          <w:rFonts w:ascii="Times New Roman" w:cs="Times New Roman" w:eastAsia="Times New Roman" w:hAnsi="Times New Roman"/>
          <w:sz w:val="17"/>
          <w:szCs w:val="17"/>
          <w:color w:val="auto"/>
        </w:rPr>
        <w:t>in relation to any share means the member whose name is entered in the register as the holder of that share;</w:t>
      </w:r>
    </w:p>
    <w:p>
      <w:pPr>
        <w:spacing w:after="0" w:line="1" w:lineRule="exact"/>
        <w:rPr>
          <w:sz w:val="20"/>
          <w:szCs w:val="20"/>
          <w:color w:val="auto"/>
        </w:rPr>
      </w:pPr>
    </w:p>
    <w:p>
      <w:pPr>
        <w:ind w:left="98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meeting </w:t>
      </w:r>
      <w:r>
        <w:rPr>
          <w:rFonts w:ascii="Times New Roman" w:cs="Times New Roman" w:eastAsia="Times New Roman" w:hAnsi="Times New Roman"/>
          <w:sz w:val="18"/>
          <w:szCs w:val="18"/>
          <w:color w:val="auto"/>
        </w:rPr>
        <w:t>means a general meeting hosted on an electronic platform, where that meeting is physically hosted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location simultaneously;</w:t>
      </w:r>
    </w:p>
    <w:p>
      <w:pPr>
        <w:spacing w:after="0" w:line="46" w:lineRule="exact"/>
        <w:rPr>
          <w:sz w:val="20"/>
          <w:szCs w:val="20"/>
          <w:color w:val="auto"/>
        </w:rPr>
      </w:pPr>
    </w:p>
    <w:p>
      <w:pPr>
        <w:ind w:left="98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mutually determined by the nomination committee of the Board, and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who shall satisfy the independence criteria of NASDAQ or otherwise the applicable national exchange on which the Ordinary Shares are then listed;</w:t>
      </w:r>
    </w:p>
    <w:p>
      <w:pPr>
        <w:spacing w:after="0" w:line="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Initial Sponsor Director </w:t>
      </w:r>
      <w:r>
        <w:rPr>
          <w:rFonts w:ascii="Times New Roman" w:cs="Times New Roman" w:eastAsia="Times New Roman" w:hAnsi="Times New Roman"/>
          <w:sz w:val="18"/>
          <w:szCs w:val="18"/>
          <w:color w:val="auto"/>
        </w:rPr>
        <w:t>means a maximum of two (2) directors nominated in writing by the Sponsor;</w:t>
      </w:r>
    </w:p>
    <w:p>
      <w:pPr>
        <w:spacing w:after="0" w:line="117" w:lineRule="exact"/>
        <w:rPr>
          <w:sz w:val="20"/>
          <w:szCs w:val="20"/>
          <w:color w:val="auto"/>
        </w:rPr>
      </w:pPr>
    </w:p>
    <w:p>
      <w:pPr>
        <w:ind w:left="980"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nominee </w:t>
      </w:r>
      <w:r>
        <w:rPr>
          <w:rFonts w:ascii="Times New Roman" w:cs="Times New Roman" w:eastAsia="Times New Roman" w:hAnsi="Times New Roman"/>
          <w:sz w:val="18"/>
          <w:szCs w:val="18"/>
          <w:color w:val="auto"/>
        </w:rPr>
        <w:t>means a recognised clearing house or a nominee of a recognised clearing house or of a recognised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exchange within the meaning of section 769(2), 776(3) and 778(1) of the 2006 Act;</w:t>
      </w:r>
    </w:p>
    <w:p>
      <w:pPr>
        <w:spacing w:after="0" w:line="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80"/>
          </w:cols>
          <w:pgMar w:left="1440" w:top="266" w:right="479" w:bottom="1440" w:gutter="0" w:footer="0" w:header="0"/>
        </w:sectPr>
      </w:pPr>
    </w:p>
    <w:bookmarkStart w:id="60" w:name="page61"/>
    <w:bookmarkEnd w:id="60"/>
    <w:p>
      <w:pPr>
        <w:ind w:left="980" w:right="46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Merger Agreement </w:t>
      </w:r>
      <w:r>
        <w:rPr>
          <w:rFonts w:ascii="Times New Roman" w:cs="Times New Roman" w:eastAsia="Times New Roman" w:hAnsi="Times New Roman"/>
          <w:sz w:val="17"/>
          <w:szCs w:val="17"/>
          <w:color w:val="auto"/>
        </w:rPr>
        <w:t>means the Business Combination Agreement, dated as of December 17 2021, as amended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November 10 2022 and further amended and restated on 16 June 2023 and further amended on 4 August 2023, by and</w:t>
      </w:r>
    </w:p>
    <w:p>
      <w:pPr>
        <w:spacing w:after="0" w:line="27" w:lineRule="exact"/>
        <w:rPr>
          <w:sz w:val="20"/>
          <w:szCs w:val="20"/>
          <w:color w:val="auto"/>
        </w:rPr>
      </w:pPr>
    </w:p>
    <w:p>
      <w:pPr>
        <w:ind w:left="980" w:right="160"/>
        <w:spacing w:after="0" w:line="281" w:lineRule="auto"/>
        <w:rPr>
          <w:sz w:val="20"/>
          <w:szCs w:val="20"/>
          <w:color w:val="auto"/>
        </w:rPr>
      </w:pPr>
      <w:r>
        <w:rPr>
          <w:rFonts w:ascii="Times New Roman" w:cs="Times New Roman" w:eastAsia="Times New Roman" w:hAnsi="Times New Roman"/>
          <w:sz w:val="18"/>
          <w:szCs w:val="18"/>
          <w:color w:val="auto"/>
        </w:rPr>
        <w:t>among Armada Acquisition Corp. I, a Delaware corporation, Rezolve Limited, a private limited company organized under the laws of England and Wales, the Company and Rezolve Merger Sub, Inc., a Delaware corporation;</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calendar month;</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NASDAQ Rules </w:t>
      </w: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means the registered office for the time being of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has the meaning given in the Regulations;</w:t>
      </w:r>
    </w:p>
    <w:p>
      <w:pPr>
        <w:spacing w:after="0" w:line="117" w:lineRule="exact"/>
        <w:rPr>
          <w:sz w:val="20"/>
          <w:szCs w:val="20"/>
          <w:color w:val="auto"/>
        </w:rPr>
      </w:pPr>
    </w:p>
    <w:p>
      <w:pPr>
        <w:ind w:left="9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means the ordinary shares in the capital of the Company from time to time, identified in article 4(a)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rights set out therein and in these articles generally;</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paid up </w:t>
      </w:r>
      <w:r>
        <w:rPr>
          <w:rFonts w:ascii="Times New Roman" w:cs="Times New Roman" w:eastAsia="Times New Roman" w:hAnsi="Times New Roman"/>
          <w:sz w:val="18"/>
          <w:szCs w:val="18"/>
          <w:color w:val="auto"/>
        </w:rPr>
        <w:t>means paid up or credited as paid up;</w:t>
      </w:r>
    </w:p>
    <w:p>
      <w:pPr>
        <w:spacing w:after="0" w:line="117" w:lineRule="exact"/>
        <w:rPr>
          <w:sz w:val="20"/>
          <w:szCs w:val="20"/>
          <w:color w:val="auto"/>
        </w:rPr>
      </w:pPr>
    </w:p>
    <w:p>
      <w:pPr>
        <w:jc w:val="both"/>
        <w:ind w:left="980" w:right="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Permitted Transferee </w:t>
      </w:r>
      <w:r>
        <w:rPr>
          <w:rFonts w:ascii="Times New Roman" w:cs="Times New Roman" w:eastAsia="Times New Roman" w:hAnsi="Times New Roman"/>
          <w:sz w:val="17"/>
          <w:szCs w:val="17"/>
          <w:color w:val="auto"/>
        </w:rPr>
        <w:t>means, with respect to a Relevant Holder, (a) any of its Affiliates or any related or controlled fund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sub-fund, partnership or investment vehicle or any general partner, managing limited partner or management company who holds or manages any business of, or whose business is held or managed by, that Relevant Holder or any of its Affiliates or</w:t>
      </w:r>
    </w:p>
    <w:p>
      <w:pPr>
        <w:ind w:left="980" w:firstLine="3"/>
        <w:spacing w:after="0" w:line="251" w:lineRule="auto"/>
        <w:tabs>
          <w:tab w:leader="none" w:pos="12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the prior written consent of the Company (not to be unreasonably withheld, delayed or conditioned). With respect to a Relevant Holder that is an individual, a “Permitted Transferee” shall also include, and for the purposes of Article 7(d)(i) a “Permitted Transferee” shall be, (x) any member of such holder’s immediate family, or a trust for the benefit of the holder or any member of the holder’s immediate family the sole trustees of which are such holder or any member of such holders’s immediate family or (y) a person who becomes entitled to such shares by will, other testamentary document, under the laws of intestacy or by virtue of laws of descent and distribution upon the death of the holder.</w:t>
      </w:r>
    </w:p>
    <w:p>
      <w:pPr>
        <w:spacing w:after="0" w:line="80" w:lineRule="exact"/>
        <w:rPr>
          <w:sz w:val="20"/>
          <w:szCs w:val="20"/>
          <w:color w:val="auto"/>
        </w:rPr>
      </w:pPr>
    </w:p>
    <w:p>
      <w:pPr>
        <w:jc w:val="both"/>
        <w:ind w:left="980" w:right="2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sole proprietorship, partnership, limited liability company, joint venture, trust, 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corporation, institution, public benefit corporation, Governmental Authority or any other entity;</w:t>
      </w:r>
    </w:p>
    <w:p>
      <w:pPr>
        <w:spacing w:after="0" w:line="23"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entitled by transmission </w:t>
      </w:r>
      <w:r>
        <w:rPr>
          <w:rFonts w:ascii="Times New Roman" w:cs="Times New Roman" w:eastAsia="Times New Roman" w:hAnsi="Times New Roman"/>
          <w:sz w:val="18"/>
          <w:szCs w:val="18"/>
          <w:color w:val="auto"/>
        </w:rPr>
        <w:t>means a person whose entitlement to a share in consequence of the death or bankruptcy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or of any other event giving rise to its transmission by operation of law has been noted in the register;</w:t>
      </w:r>
    </w:p>
    <w:p>
      <w:pPr>
        <w:spacing w:after="0" w:line="46" w:lineRule="exact"/>
        <w:rPr>
          <w:sz w:val="20"/>
          <w:szCs w:val="20"/>
          <w:color w:val="auto"/>
        </w:rPr>
      </w:pPr>
    </w:p>
    <w:p>
      <w:pPr>
        <w:ind w:left="980" w:right="120"/>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physical general meeting</w:t>
      </w:r>
      <w:r>
        <w:rPr>
          <w:rFonts w:ascii="Times New Roman" w:cs="Times New Roman" w:eastAsia="Times New Roman" w:hAnsi="Times New Roman"/>
          <w:sz w:val="18"/>
          <w:szCs w:val="18"/>
          <w:color w:val="auto"/>
        </w:rPr>
        <w:t xml:space="preserve"> means a general meeting held or conducted at one or more physical venues (at which facilities are not available to allow for persons who are not at such physical venue to attend or participate in the meeting electronically);</w:t>
      </w:r>
    </w:p>
    <w:p>
      <w:pPr>
        <w:spacing w:after="0" w:line="1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40"/>
          </w:cols>
          <w:pgMar w:left="1440" w:top="266" w:right="519" w:bottom="1440" w:gutter="0" w:footer="0" w:header="0"/>
        </w:sectPr>
      </w:pPr>
    </w:p>
    <w:bookmarkStart w:id="61" w:name="page62"/>
    <w:bookmarkEnd w:id="6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principal register </w:t>
      </w:r>
      <w:r>
        <w:rPr>
          <w:rFonts w:ascii="Times New Roman" w:cs="Times New Roman" w:eastAsia="Times New Roman" w:hAnsi="Times New Roman"/>
          <w:sz w:val="18"/>
          <w:szCs w:val="18"/>
          <w:color w:val="auto"/>
        </w:rPr>
        <w:t>means the register maintained in England;</w:t>
      </w:r>
    </w:p>
    <w:p>
      <w:pPr>
        <w:spacing w:after="0" w:line="117" w:lineRule="exact"/>
        <w:rPr>
          <w:sz w:val="20"/>
          <w:szCs w:val="20"/>
          <w:color w:val="auto"/>
        </w:rPr>
      </w:pPr>
    </w:p>
    <w:p>
      <w:pPr>
        <w:ind w:left="980" w:right="26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xml:space="preserve"> means the address or addresses (including any electronic address) specified in a notice of a meeting or in any other information issued by the Company in relation to a meeting (or, as the case may be, an adjourned meeting or a poll) for the receipt of proxy notices relating to that meeting (or adjourned meeting or poll) or, if no such address is specified, the office;</w:t>
      </w:r>
    </w:p>
    <w:p>
      <w:pPr>
        <w:spacing w:after="0" w:line="67" w:lineRule="exact"/>
        <w:rPr>
          <w:sz w:val="20"/>
          <w:szCs w:val="20"/>
          <w:color w:val="auto"/>
        </w:rPr>
      </w:pPr>
    </w:p>
    <w:p>
      <w:pPr>
        <w:ind w:left="98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means the register of members of the Company to be kept and maintained under section 113 of the 2006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20 of the Regulations;</w:t>
      </w:r>
    </w:p>
    <w:p>
      <w:pPr>
        <w:spacing w:after="0" w:line="46" w:lineRule="exact"/>
        <w:rPr>
          <w:sz w:val="20"/>
          <w:szCs w:val="20"/>
          <w:color w:val="auto"/>
        </w:rPr>
      </w:pPr>
    </w:p>
    <w:p>
      <w:pPr>
        <w:ind w:left="9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means the Uncertificated Securities Regulations 2001 (SI 2001 no. 3755) including any rules made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regulations made in substitution for them for the time being in force;</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Relevant Holder </w:t>
      </w:r>
      <w:r>
        <w:rPr>
          <w:rFonts w:ascii="Times New Roman" w:cs="Times New Roman" w:eastAsia="Times New Roman" w:hAnsi="Times New Roman"/>
          <w:sz w:val="18"/>
          <w:szCs w:val="18"/>
          <w:color w:val="auto"/>
        </w:rPr>
        <w:t>means any holder of shares in the capital of the Company;</w:t>
      </w:r>
    </w:p>
    <w:p>
      <w:pPr>
        <w:spacing w:after="0" w:line="117" w:lineRule="exact"/>
        <w:rPr>
          <w:sz w:val="20"/>
          <w:szCs w:val="20"/>
          <w:color w:val="auto"/>
        </w:rPr>
      </w:pPr>
    </w:p>
    <w:p>
      <w:pPr>
        <w:ind w:left="9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system </w:t>
      </w:r>
      <w:r>
        <w:rPr>
          <w:rFonts w:ascii="Times New Roman" w:cs="Times New Roman" w:eastAsia="Times New Roman" w:hAnsi="Times New Roman"/>
          <w:sz w:val="18"/>
          <w:szCs w:val="18"/>
          <w:color w:val="auto"/>
        </w:rPr>
        <w:t>means a computer-based system, and procedures, which enable title to units of a security to be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transferred without a written instrument;</w:t>
      </w:r>
    </w:p>
    <w:p>
      <w:pPr>
        <w:spacing w:after="0" w:line="46"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any common seal of the Company (if any) or any official seal or securities seal which the Company may have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permitted to have under the Statutes;</w:t>
      </w:r>
    </w:p>
    <w:p>
      <w:pPr>
        <w:spacing w:after="0" w:line="46" w:lineRule="exact"/>
        <w:rPr>
          <w:sz w:val="20"/>
          <w:szCs w:val="20"/>
          <w:color w:val="auto"/>
        </w:rPr>
      </w:pPr>
    </w:p>
    <w:p>
      <w:pPr>
        <w:ind w:left="98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the secretary of the Company or, if there are joint secretaries, any of the joint secretaries and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or deputy secretary and any person appointed by the Board to perform any of the duties of the secretary of the Company;</w:t>
      </w:r>
    </w:p>
    <w:p>
      <w:pPr>
        <w:spacing w:after="0" w:line="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Sponsor </w:t>
      </w:r>
      <w:r>
        <w:rPr>
          <w:rFonts w:ascii="Times New Roman" w:cs="Times New Roman" w:eastAsia="Times New Roman" w:hAnsi="Times New Roman"/>
          <w:sz w:val="18"/>
          <w:szCs w:val="18"/>
          <w:color w:val="auto"/>
        </w:rPr>
        <w:t>means Armada Sponsor LLC;</w:t>
      </w:r>
    </w:p>
    <w:p>
      <w:pPr>
        <w:spacing w:after="0" w:line="117" w:lineRule="exact"/>
        <w:rPr>
          <w:sz w:val="20"/>
          <w:szCs w:val="20"/>
          <w:color w:val="auto"/>
        </w:rPr>
      </w:pPr>
    </w:p>
    <w:p>
      <w:pPr>
        <w:ind w:left="980"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Sponsor Group </w:t>
      </w:r>
      <w:r>
        <w:rPr>
          <w:rFonts w:ascii="Times New Roman" w:cs="Times New Roman" w:eastAsia="Times New Roman" w:hAnsi="Times New Roman"/>
          <w:sz w:val="18"/>
          <w:szCs w:val="18"/>
          <w:color w:val="auto"/>
        </w:rPr>
        <w:t>means the Sponsor, any of its Permitted Transferees or any other Relevant Holder that has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(as agreed with the Company) from the Sponsor or any of its Permitted Transferees;</w:t>
      </w:r>
    </w:p>
    <w:p>
      <w:pPr>
        <w:spacing w:after="0" w:line="46" w:lineRule="exact"/>
        <w:rPr>
          <w:sz w:val="20"/>
          <w:szCs w:val="20"/>
          <w:color w:val="auto"/>
        </w:rPr>
      </w:pPr>
    </w:p>
    <w:p>
      <w:pPr>
        <w:ind w:left="98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means the 2006 Act, the Uncertificated Securities Regulations and every other act, statute, statutory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order for the time being in force concerning companies in so far as they concern the Company;</w:t>
      </w:r>
    </w:p>
    <w:p>
      <w:pPr>
        <w:spacing w:after="0" w:line="46" w:lineRule="exact"/>
        <w:rPr>
          <w:sz w:val="20"/>
          <w:szCs w:val="20"/>
          <w:color w:val="auto"/>
        </w:rPr>
      </w:pPr>
    </w:p>
    <w:p>
      <w:pPr>
        <w:ind w:left="98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transfer office </w:t>
      </w:r>
      <w:r>
        <w:rPr>
          <w:rFonts w:ascii="Times New Roman" w:cs="Times New Roman" w:eastAsia="Times New Roman" w:hAnsi="Times New Roman"/>
          <w:sz w:val="18"/>
          <w:szCs w:val="18"/>
          <w:color w:val="auto"/>
        </w:rPr>
        <w:t>means: (i) in relation to the principal register, the location in England where the principal register is kept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and (ii) where the Company keeps an overseas branch register in respect of any country, territory or place outside of the United Kingdom the location in that country, territory or place where that overseas branch register is kept and maintained;</w:t>
      </w:r>
    </w:p>
    <w:p>
      <w:pPr>
        <w:spacing w:after="0" w:line="6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transmission event </w:t>
      </w:r>
      <w:r>
        <w:rPr>
          <w:rFonts w:ascii="Times New Roman" w:cs="Times New Roman" w:eastAsia="Times New Roman" w:hAnsi="Times New Roman"/>
          <w:sz w:val="18"/>
          <w:szCs w:val="18"/>
          <w:color w:val="auto"/>
        </w:rPr>
        <w:t>means death, bankruptcy or any other event giving rise to the transmission of a person’s entitlement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by operation of law;</w:t>
      </w:r>
    </w:p>
    <w:p>
      <w:pPr>
        <w:spacing w:after="0" w:line="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40"/>
          </w:cols>
          <w:pgMar w:left="1440" w:top="266" w:right="51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treasury shares </w:t>
      </w:r>
      <w:r>
        <w:rPr>
          <w:rFonts w:ascii="Times New Roman" w:cs="Times New Roman" w:eastAsia="Times New Roman" w:hAnsi="Times New Roman"/>
          <w:sz w:val="18"/>
          <w:szCs w:val="18"/>
          <w:color w:val="auto"/>
        </w:rPr>
        <w:t>means those shares held by the Company in treasury in accordance with section 724(1) of the 2006 Act;</w:t>
      </w:r>
    </w:p>
    <w:p>
      <w:pPr>
        <w:spacing w:after="0" w:line="117" w:lineRule="exact"/>
        <w:rPr>
          <w:sz w:val="20"/>
          <w:szCs w:val="20"/>
          <w:color w:val="auto"/>
        </w:rPr>
      </w:pPr>
    </w:p>
    <w:p>
      <w:pPr>
        <w:ind w:left="9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Securities Regulations </w:t>
      </w:r>
      <w:r>
        <w:rPr>
          <w:rFonts w:ascii="Times New Roman" w:cs="Times New Roman" w:eastAsia="Times New Roman" w:hAnsi="Times New Roman"/>
          <w:sz w:val="18"/>
          <w:szCs w:val="18"/>
          <w:color w:val="auto"/>
        </w:rPr>
        <w:t>means the Uncertificated Securities Regulations 2001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Statutes which supplement or replace such Regulations;</w:t>
      </w:r>
    </w:p>
    <w:p>
      <w:pPr>
        <w:spacing w:after="0" w:line="46" w:lineRule="exact"/>
        <w:rPr>
          <w:sz w:val="20"/>
          <w:szCs w:val="20"/>
          <w:color w:val="auto"/>
        </w:rPr>
      </w:pPr>
    </w:p>
    <w:p>
      <w:pPr>
        <w:ind w:left="980" w:right="350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undertaking </w:t>
      </w:r>
      <w:r>
        <w:rPr>
          <w:rFonts w:ascii="Times New Roman" w:cs="Times New Roman" w:eastAsia="Times New Roman" w:hAnsi="Times New Roman"/>
          <w:sz w:val="18"/>
          <w:szCs w:val="18"/>
          <w:color w:val="auto"/>
        </w:rPr>
        <w:t>means undertaking as defined in section 1161 of the 2006 Act;</w:t>
      </w:r>
      <w:r>
        <w:rPr>
          <w:rFonts w:ascii="Times New Roman" w:cs="Times New Roman" w:eastAsia="Times New Roman" w:hAnsi="Times New Roman"/>
          <w:sz w:val="18"/>
          <w:szCs w:val="18"/>
          <w:b w:val="1"/>
          <w:bCs w:val="1"/>
          <w:color w:val="auto"/>
        </w:rPr>
        <w:t xml:space="preserve"> the United Kingdom </w:t>
      </w:r>
      <w:r>
        <w:rPr>
          <w:rFonts w:ascii="Times New Roman" w:cs="Times New Roman" w:eastAsia="Times New Roman" w:hAnsi="Times New Roman"/>
          <w:sz w:val="18"/>
          <w:szCs w:val="18"/>
          <w:color w:val="auto"/>
        </w:rPr>
        <w:t>means Great Britain and Northern Ireland;</w:t>
      </w:r>
    </w:p>
    <w:p>
      <w:pPr>
        <w:ind w:left="9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States of America </w:t>
      </w:r>
      <w:r>
        <w:rPr>
          <w:rFonts w:ascii="Times New Roman" w:cs="Times New Roman" w:eastAsia="Times New Roman" w:hAnsi="Times New Roman"/>
          <w:sz w:val="18"/>
          <w:szCs w:val="18"/>
          <w:color w:val="auto"/>
        </w:rPr>
        <w:t>means the United States of America and its territories and possessions, including the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46" w:lineRule="exact"/>
        <w:rPr>
          <w:sz w:val="20"/>
          <w:szCs w:val="20"/>
          <w:color w:val="auto"/>
        </w:rPr>
      </w:pPr>
    </w:p>
    <w:p>
      <w:pPr>
        <w:ind w:left="980" w:right="60"/>
        <w:spacing w:after="0" w:line="444" w:lineRule="auto"/>
        <w:rPr>
          <w:sz w:val="20"/>
          <w:szCs w:val="20"/>
          <w:color w:val="auto"/>
        </w:rPr>
      </w:pPr>
      <w:r>
        <w:rPr>
          <w:rFonts w:ascii="Times New Roman" w:cs="Times New Roman" w:eastAsia="Times New Roman" w:hAnsi="Times New Roman"/>
          <w:sz w:val="18"/>
          <w:szCs w:val="18"/>
          <w:b w:val="1"/>
          <w:bCs w:val="1"/>
          <w:color w:val="auto"/>
        </w:rPr>
        <w:t xml:space="preserve">US branch register </w:t>
      </w:r>
      <w:r>
        <w:rPr>
          <w:rFonts w:ascii="Times New Roman" w:cs="Times New Roman" w:eastAsia="Times New Roman" w:hAnsi="Times New Roman"/>
          <w:sz w:val="18"/>
          <w:szCs w:val="18"/>
          <w:color w:val="auto"/>
        </w:rPr>
        <w:t>means the overseas branch register of the Company, if any, maintained in the United States of America;</w:t>
      </w:r>
      <w:r>
        <w:rPr>
          <w:rFonts w:ascii="Times New Roman" w:cs="Times New Roman" w:eastAsia="Times New Roman" w:hAnsi="Times New Roman"/>
          <w:sz w:val="18"/>
          <w:szCs w:val="18"/>
          <w:b w:val="1"/>
          <w:bCs w:val="1"/>
          <w:color w:val="auto"/>
        </w:rPr>
        <w:t xml:space="preserve"> working day </w:t>
      </w:r>
      <w:r>
        <w:rPr>
          <w:rFonts w:ascii="Times New Roman" w:cs="Times New Roman" w:eastAsia="Times New Roman" w:hAnsi="Times New Roman"/>
          <w:sz w:val="18"/>
          <w:szCs w:val="18"/>
          <w:color w:val="auto"/>
        </w:rPr>
        <w:t>means working day as defined in section 1173 of the 2006 Act; and</w:t>
      </w:r>
      <w:r>
        <w:rPr>
          <w:rFonts w:ascii="Times New Roman" w:cs="Times New Roman" w:eastAsia="Times New Roman" w:hAnsi="Times New Roman"/>
          <w:sz w:val="18"/>
          <w:szCs w:val="18"/>
          <w:b w:val="1"/>
          <w:bCs w:val="1"/>
          <w:color w:val="auto"/>
        </w:rPr>
        <w:t xml:space="preserve"> year </w:t>
      </w:r>
      <w:r>
        <w:rPr>
          <w:rFonts w:ascii="Times New Roman" w:cs="Times New Roman" w:eastAsia="Times New Roman" w:hAnsi="Times New Roman"/>
          <w:sz w:val="18"/>
          <w:szCs w:val="18"/>
          <w:color w:val="auto"/>
        </w:rPr>
        <w:t>means calendar year;</w:t>
      </w:r>
    </w:p>
    <w:p>
      <w:pPr>
        <w:spacing w:after="0" w:line="222" w:lineRule="exact"/>
        <w:rPr>
          <w:sz w:val="20"/>
          <w:szCs w:val="20"/>
          <w:color w:val="auto"/>
        </w:rPr>
      </w:pPr>
    </w:p>
    <w:p>
      <w:pPr>
        <w:ind w:left="980" w:hanging="548"/>
        <w:spacing w:after="0" w:line="26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uncertificated share, or to a share being held in uncertificated form, shall (subject to regulation 42(11)(a) of the Uncertificated Securities Regulations) mean a share in the capital of the Company which is for the time being recorded on the Operator Register of Members (as defined in regulation 20(1) of the Uncertificated Securities Regulations), and any reference to a certificated share means any share other than an uncertificated share;</w:t>
      </w:r>
    </w:p>
    <w:p>
      <w:pPr>
        <w:spacing w:after="0" w:line="83" w:lineRule="exact"/>
        <w:rPr>
          <w:rFonts w:ascii="Times New Roman" w:cs="Times New Roman" w:eastAsia="Times New Roman" w:hAnsi="Times New Roman"/>
          <w:sz w:val="18"/>
          <w:szCs w:val="18"/>
          <w:color w:val="auto"/>
        </w:rPr>
      </w:pPr>
    </w:p>
    <w:p>
      <w:pPr>
        <w:ind w:left="980" w:right="600" w:hanging="548"/>
        <w:spacing w:after="0" w:line="28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expression </w:t>
      </w:r>
      <w:r>
        <w:rPr>
          <w:rFonts w:ascii="Times New Roman" w:cs="Times New Roman" w:eastAsia="Times New Roman" w:hAnsi="Times New Roman"/>
          <w:sz w:val="18"/>
          <w:szCs w:val="18"/>
          <w:b w:val="1"/>
          <w:bCs w:val="1"/>
          <w:color w:val="auto"/>
        </w:rPr>
        <w:t>member present in person</w:t>
      </w:r>
      <w:r>
        <w:rPr>
          <w:rFonts w:ascii="Times New Roman" w:cs="Times New Roman" w:eastAsia="Times New Roman" w:hAnsi="Times New Roman"/>
          <w:sz w:val="18"/>
          <w:szCs w:val="18"/>
          <w:color w:val="auto"/>
        </w:rPr>
        <w:t xml:space="preserve"> shall be deemed to include a member present by proxy or, in the case of a corporate member, by a duly authorised representative and cognate expressions shall be construed accordingly;</w:t>
      </w:r>
    </w:p>
    <w:p>
      <w:pPr>
        <w:spacing w:after="0" w:line="59" w:lineRule="exact"/>
        <w:rPr>
          <w:rFonts w:ascii="Times New Roman" w:cs="Times New Roman" w:eastAsia="Times New Roman" w:hAnsi="Times New Roman"/>
          <w:sz w:val="18"/>
          <w:szCs w:val="18"/>
          <w:color w:val="auto"/>
        </w:rPr>
      </w:pPr>
    </w:p>
    <w:p>
      <w:pPr>
        <w:ind w:left="980" w:hanging="548"/>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xml:space="preserve"> of notice shall be construed as meaning clear days;</w:t>
      </w:r>
    </w:p>
    <w:p>
      <w:pPr>
        <w:spacing w:after="0" w:line="134" w:lineRule="exact"/>
        <w:rPr>
          <w:rFonts w:ascii="Times New Roman" w:cs="Times New Roman" w:eastAsia="Times New Roman" w:hAnsi="Times New Roman"/>
          <w:sz w:val="18"/>
          <w:szCs w:val="18"/>
          <w:color w:val="auto"/>
        </w:rPr>
      </w:pPr>
    </w:p>
    <w:p>
      <w:pPr>
        <w:jc w:val="both"/>
        <w:ind w:left="980" w:right="100" w:hanging="548"/>
        <w:spacing w:after="0" w:line="288"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words or expressions defined in the 2006 Act or the Uncertificated Securities Regulations or, if not defined in that Act or those Regulations, in any other of the Statutes (in each case as in force on the date these articles take effect) have the same meaning in these articles or that part (as the case may be) except that the word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includes any body corporate;</w:t>
      </w:r>
    </w:p>
    <w:p>
      <w:pPr>
        <w:spacing w:after="0" w:line="64" w:lineRule="exact"/>
        <w:rPr>
          <w:rFonts w:ascii="Times New Roman" w:cs="Times New Roman" w:eastAsia="Times New Roman" w:hAnsi="Times New Roman"/>
          <w:sz w:val="17"/>
          <w:szCs w:val="17"/>
          <w:color w:val="auto"/>
        </w:rPr>
      </w:pPr>
    </w:p>
    <w:p>
      <w:pPr>
        <w:ind w:left="980" w:right="160" w:hanging="548"/>
        <w:spacing w:after="0" w:line="28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any statute or statutory provision includes a reference to any modification or re-enactment of it for the time being in force;</w:t>
      </w:r>
    </w:p>
    <w:p>
      <w:pPr>
        <w:spacing w:after="0" w:line="68" w:lineRule="exact"/>
        <w:rPr>
          <w:rFonts w:ascii="Times New Roman" w:cs="Times New Roman" w:eastAsia="Times New Roman" w:hAnsi="Times New Roman"/>
          <w:sz w:val="18"/>
          <w:szCs w:val="18"/>
          <w:color w:val="auto"/>
        </w:rPr>
      </w:pPr>
    </w:p>
    <w:p>
      <w:pPr>
        <w:ind w:left="980" w:hanging="548"/>
        <w:spacing w:after="0" w:line="28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 words importing one gender include the other gender and words importing persons include bodies corporate and unincorporated associations;</w:t>
      </w:r>
    </w:p>
    <w:p>
      <w:pPr>
        <w:spacing w:after="0" w:line="68" w:lineRule="exact"/>
        <w:rPr>
          <w:rFonts w:ascii="Times New Roman" w:cs="Times New Roman" w:eastAsia="Times New Roman" w:hAnsi="Times New Roman"/>
          <w:sz w:val="18"/>
          <w:szCs w:val="18"/>
          <w:color w:val="auto"/>
        </w:rPr>
      </w:pPr>
    </w:p>
    <w:p>
      <w:pPr>
        <w:ind w:left="980" w:hanging="548"/>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includes a reference to any method of reproducing words in a legible form;</w:t>
      </w:r>
    </w:p>
    <w:p>
      <w:pPr>
        <w:spacing w:after="0" w:line="1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80"/>
          </w:cols>
          <w:pgMar w:left="1440" w:top="266" w:right="479" w:bottom="1440" w:gutter="0" w:footer="0" w:header="0"/>
        </w:sectPr>
      </w:pPr>
    </w:p>
    <w:bookmarkStart w:id="63" w:name="page64"/>
    <w:bookmarkEnd w:id="63"/>
    <w:p>
      <w:pPr>
        <w:ind w:left="980" w:hanging="548"/>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reference to:</w:t>
      </w:r>
    </w:p>
    <w:p>
      <w:pPr>
        <w:spacing w:after="0" w:line="126" w:lineRule="exact"/>
        <w:rPr>
          <w:rFonts w:ascii="Times New Roman" w:cs="Times New Roman" w:eastAsia="Times New Roman" w:hAnsi="Times New Roman"/>
          <w:sz w:val="18"/>
          <w:szCs w:val="18"/>
          <w:color w:val="auto"/>
        </w:rPr>
      </w:pPr>
    </w:p>
    <w:p>
      <w:pPr>
        <w:ind w:left="1400" w:hanging="429"/>
        <w:spacing w:after="0"/>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xml:space="preserve"> includes reference to an electronic communication;</w:t>
      </w:r>
    </w:p>
    <w:p>
      <w:pPr>
        <w:spacing w:after="0" w:line="134" w:lineRule="exact"/>
        <w:rPr>
          <w:rFonts w:ascii="Times New Roman" w:cs="Times New Roman" w:eastAsia="Times New Roman" w:hAnsi="Times New Roman"/>
          <w:sz w:val="18"/>
          <w:szCs w:val="18"/>
          <w:color w:val="auto"/>
        </w:rPr>
      </w:pPr>
    </w:p>
    <w:p>
      <w:pPr>
        <w:ind w:left="1400" w:hanging="429"/>
        <w:spacing w:after="0" w:line="265"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being sealed or executed under seal or under the common seal of any body corporate (including the Company) or any similar expression includes a reference to its being executed in any other manner which has the same effect as if it were executed under seal;</w:t>
      </w:r>
    </w:p>
    <w:p>
      <w:pPr>
        <w:spacing w:after="0" w:line="78" w:lineRule="exact"/>
        <w:rPr>
          <w:rFonts w:ascii="Times New Roman" w:cs="Times New Roman" w:eastAsia="Times New Roman" w:hAnsi="Times New Roman"/>
          <w:sz w:val="18"/>
          <w:szCs w:val="18"/>
          <w:color w:val="auto"/>
        </w:rPr>
      </w:pPr>
    </w:p>
    <w:p>
      <w:pPr>
        <w:ind w:left="1400" w:right="380" w:hanging="429"/>
        <w:spacing w:after="0" w:line="286"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a written document having tangible form (e.g. on paper) and not comprised in an electronic communication;</w:t>
      </w:r>
    </w:p>
    <w:p>
      <w:pPr>
        <w:spacing w:after="0" w:line="59" w:lineRule="exact"/>
        <w:rPr>
          <w:rFonts w:ascii="Times New Roman" w:cs="Times New Roman" w:eastAsia="Times New Roman" w:hAnsi="Times New Roman"/>
          <w:sz w:val="18"/>
          <w:szCs w:val="18"/>
          <w:color w:val="auto"/>
        </w:rPr>
      </w:pPr>
    </w:p>
    <w:p>
      <w:pPr>
        <w:ind w:left="1400" w:right="120" w:hanging="429"/>
        <w:spacing w:after="0" w:line="268"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means the representation or reproduction of words, numbers or symbols in a legible and non-transitory form by any method or combination of methods whether comprised in an electronic communication or otherwise and including (without limitation) by e-mail;</w:t>
      </w:r>
    </w:p>
    <w:p>
      <w:pPr>
        <w:spacing w:after="0" w:line="75" w:lineRule="exact"/>
        <w:rPr>
          <w:rFonts w:ascii="Times New Roman" w:cs="Times New Roman" w:eastAsia="Times New Roman" w:hAnsi="Times New Roman"/>
          <w:sz w:val="18"/>
          <w:szCs w:val="18"/>
          <w:color w:val="auto"/>
        </w:rPr>
      </w:pPr>
    </w:p>
    <w:p>
      <w:pPr>
        <w:jc w:val="both"/>
        <w:ind w:left="1400" w:right="500" w:hanging="429"/>
        <w:spacing w:after="0" w:line="268"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in relation to electronic communications, includes any number or address (including, in the case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Uncertificated Proxy Instruction permitted by article 57, an identification number or a participant in the relevant system concerned) used for the purposes of such communications;</w:t>
      </w:r>
    </w:p>
    <w:p>
      <w:pPr>
        <w:spacing w:after="0" w:line="75" w:lineRule="exact"/>
        <w:rPr>
          <w:rFonts w:ascii="Times New Roman" w:cs="Times New Roman" w:eastAsia="Times New Roman" w:hAnsi="Times New Roman"/>
          <w:sz w:val="18"/>
          <w:szCs w:val="18"/>
          <w:color w:val="auto"/>
        </w:rPr>
      </w:pPr>
    </w:p>
    <w:p>
      <w:pPr>
        <w:ind w:left="1400" w:right="100" w:hanging="429"/>
        <w:spacing w:after="0" w:line="268" w:lineRule="auto"/>
        <w:tabs>
          <w:tab w:leader="none" w:pos="14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 </w:t>
      </w:r>
      <w:r>
        <w:rPr>
          <w:rFonts w:ascii="Times New Roman" w:cs="Times New Roman" w:eastAsia="Times New Roman" w:hAnsi="Times New Roman"/>
          <w:sz w:val="18"/>
          <w:szCs w:val="18"/>
          <w:color w:val="auto"/>
        </w:rPr>
        <w:t>means, for the purposes of physical general meetings, present in person, or, for the purposes of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general meetings, present by electronic means (and references to persons attending </w:t>
      </w:r>
      <w:r>
        <w:rPr>
          <w:rFonts w:ascii="Times New Roman" w:cs="Times New Roman" w:eastAsia="Times New Roman" w:hAnsi="Times New Roman"/>
          <w:sz w:val="18"/>
          <w:szCs w:val="18"/>
          <w:b w:val="1"/>
          <w:bCs w:val="1"/>
          <w:color w:val="auto"/>
        </w:rPr>
        <w:t>by electronic means</w:t>
      </w:r>
      <w:r>
        <w:rPr>
          <w:rFonts w:ascii="Times New Roman" w:cs="Times New Roman" w:eastAsia="Times New Roman" w:hAnsi="Times New Roman"/>
          <w:sz w:val="18"/>
          <w:szCs w:val="18"/>
          <w:color w:val="auto"/>
        </w:rPr>
        <w:t xml:space="preserve"> is defined as attendance at electronic general meetings via the electronic platform(s) stated in the notice of such meeting);</w:t>
      </w:r>
    </w:p>
    <w:p>
      <w:pPr>
        <w:spacing w:after="0" w:line="79" w:lineRule="exact"/>
        <w:rPr>
          <w:rFonts w:ascii="Times New Roman" w:cs="Times New Roman" w:eastAsia="Times New Roman" w:hAnsi="Times New Roman"/>
          <w:sz w:val="18"/>
          <w:szCs w:val="18"/>
          <w:color w:val="auto"/>
        </w:rPr>
      </w:pPr>
    </w:p>
    <w:p>
      <w:pPr>
        <w:ind w:left="980" w:right="540" w:hanging="548"/>
        <w:spacing w:after="0" w:line="281"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meeting shall not be taken as requiring more than one person to be present in person if any quorum requirement can be satisfied by one person;</w:t>
      </w:r>
    </w:p>
    <w:p>
      <w:pPr>
        <w:spacing w:after="0" w:line="68" w:lineRule="exact"/>
        <w:rPr>
          <w:rFonts w:ascii="Times New Roman" w:cs="Times New Roman" w:eastAsia="Times New Roman" w:hAnsi="Times New Roman"/>
          <w:sz w:val="18"/>
          <w:szCs w:val="18"/>
          <w:color w:val="auto"/>
        </w:rPr>
      </w:pPr>
    </w:p>
    <w:p>
      <w:pPr>
        <w:ind w:left="980" w:hanging="548"/>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show of hands includes such other method of casting votes as the Board may from time to time approve;</w:t>
      </w:r>
    </w:p>
    <w:p>
      <w:pPr>
        <w:spacing w:after="0" w:line="130" w:lineRule="exact"/>
        <w:rPr>
          <w:rFonts w:ascii="Times New Roman" w:cs="Times New Roman" w:eastAsia="Times New Roman" w:hAnsi="Times New Roman"/>
          <w:sz w:val="18"/>
          <w:szCs w:val="18"/>
          <w:color w:val="auto"/>
        </w:rPr>
      </w:pPr>
    </w:p>
    <w:p>
      <w:pPr>
        <w:ind w:left="980" w:right="180" w:hanging="548"/>
        <w:spacing w:after="0" w:line="258"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person who is attending or participating in a meeting electronically is a reference to a person whose attendance or participation at that meeting is enabled by a facility or facilities (whether electronic or otherwise), other than physical presence at a general meeting, which allows persons who may not be physically present together to communicate with each other any information or opinions they may have on any particular item of business of the meeting; electronic attendance and participation shall be construed accordingly;</w:t>
      </w:r>
    </w:p>
    <w:p>
      <w:pPr>
        <w:spacing w:after="0" w:line="87" w:lineRule="exact"/>
        <w:rPr>
          <w:rFonts w:ascii="Times New Roman" w:cs="Times New Roman" w:eastAsia="Times New Roman" w:hAnsi="Times New Roman"/>
          <w:sz w:val="18"/>
          <w:szCs w:val="18"/>
          <w:color w:val="auto"/>
        </w:rPr>
      </w:pPr>
    </w:p>
    <w:p>
      <w:pPr>
        <w:ind w:left="980" w:right="40" w:hanging="548"/>
        <w:spacing w:after="0" w:line="260"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a power of sale or other right of disposal in relation to any share, any reference to the power of the Company or the Board to authorise a person to transfer that share to or as directed by the person to whom the share has been sold or disposed of shall, in the case of an uncertificated share, be deemed to include a reference to such other action as may be necessary to enable that share to be registered in the name of that person or as directed by that person; and</w:t>
      </w:r>
    </w:p>
    <w:p>
      <w:pPr>
        <w:spacing w:after="0" w:line="1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60"/>
          </w:cols>
          <w:pgMar w:left="1440" w:top="270" w:right="499" w:bottom="1440" w:gutter="0" w:footer="0" w:header="0"/>
        </w:sectPr>
      </w:pPr>
    </w:p>
    <w:bookmarkStart w:id="64" w:name="page65"/>
    <w:bookmarkEnd w:id="64"/>
    <w:p>
      <w:pPr>
        <w:ind w:left="1978" w:hanging="548"/>
        <w:spacing w:after="0"/>
        <w:tabs>
          <w:tab w:leader="none" w:pos="19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reference to:</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attaching to any share;</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having a right to attend and vote at general meetings of the Company;</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being paid, or any other distribution of the Company’s assets being made, to members; or</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 certain proportion or percentage of the issued share capital, or any class of share capital,</w:t>
      </w:r>
    </w:p>
    <w:p>
      <w:pPr>
        <w:spacing w:after="0" w:line="117" w:lineRule="exact"/>
        <w:rPr>
          <w:sz w:val="20"/>
          <w:szCs w:val="20"/>
          <w:color w:val="auto"/>
        </w:rPr>
      </w:pPr>
    </w:p>
    <w:p>
      <w:pPr>
        <w:ind w:left="1978" w:right="100"/>
        <w:spacing w:after="0" w:line="281" w:lineRule="auto"/>
        <w:rPr>
          <w:sz w:val="20"/>
          <w:szCs w:val="20"/>
          <w:color w:val="auto"/>
        </w:rPr>
      </w:pPr>
      <w:r>
        <w:rPr>
          <w:rFonts w:ascii="Times New Roman" w:cs="Times New Roman" w:eastAsia="Times New Roman" w:hAnsi="Times New Roman"/>
          <w:sz w:val="18"/>
          <w:szCs w:val="18"/>
          <w:color w:val="auto"/>
        </w:rPr>
        <w:t>shall, unless otherwise expressly provided by the Statutes, be construed as though any treasury shares held by the Company had been cancelled.</w:t>
      </w:r>
    </w:p>
    <w:p>
      <w:pPr>
        <w:spacing w:after="0" w:line="68" w:lineRule="exact"/>
        <w:rPr>
          <w:sz w:val="20"/>
          <w:szCs w:val="20"/>
          <w:color w:val="auto"/>
        </w:rPr>
      </w:pPr>
    </w:p>
    <w:p>
      <w:pPr>
        <w:ind w:left="1978" w:hanging="548"/>
        <w:spacing w:after="0" w:line="281" w:lineRule="auto"/>
        <w:tabs>
          <w:tab w:leader="none" w:pos="197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special resolution shall be effective for any purpose for which an ordinary resolution is expressed to be required under these articles.</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these articles are inserted for convenience only and shall not affect construction.</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liability</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in the Company respectively held by them.</w:t>
      </w:r>
    </w:p>
    <w:p>
      <w:pPr>
        <w:spacing w:after="0" w:line="200" w:lineRule="exact"/>
        <w:rPr>
          <w:sz w:val="20"/>
          <w:szCs w:val="20"/>
          <w:color w:val="auto"/>
        </w:rPr>
      </w:pPr>
    </w:p>
    <w:p>
      <w:pPr>
        <w:spacing w:after="0" w:line="23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51" w:lineRule="exact"/>
        <w:rPr>
          <w:sz w:val="20"/>
          <w:szCs w:val="20"/>
          <w:color w:val="auto"/>
        </w:rPr>
      </w:pPr>
    </w:p>
    <w:p>
      <w:pPr>
        <w:ind w:left="438" w:hanging="438"/>
        <w:spacing w:after="0"/>
        <w:tabs>
          <w:tab w:leader="none" w:pos="43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rights attached to shares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issue the following shares in the capital of the Company with rights attaching to them as follows:</w:t>
      </w:r>
    </w:p>
    <w:p>
      <w:pPr>
        <w:spacing w:after="0" w:line="126" w:lineRule="exact"/>
        <w:rPr>
          <w:rFonts w:ascii="Times New Roman" w:cs="Times New Roman" w:eastAsia="Times New Roman" w:hAnsi="Times New Roman"/>
          <w:sz w:val="18"/>
          <w:szCs w:val="18"/>
          <w:b w:val="1"/>
          <w:bCs w:val="1"/>
          <w:color w:val="auto"/>
        </w:rPr>
      </w:pPr>
    </w:p>
    <w:p>
      <w:pPr>
        <w:jc w:val="both"/>
        <w:ind w:left="1418" w:right="240" w:hanging="433"/>
        <w:spacing w:after="0" w:line="268" w:lineRule="auto"/>
        <w:tabs>
          <w:tab w:leader="none" w:pos="14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Each Ordinary Share shall be non-redeemable and shall have one vote attaching to it for voting purposes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as provided in article 5(b) in respect of those shares held by the Founder and/or in which he is interested or of which he is Beneficial Owner).</w:t>
      </w:r>
    </w:p>
    <w:p>
      <w:pPr>
        <w:spacing w:after="0" w:line="75" w:lineRule="exact"/>
        <w:rPr>
          <w:rFonts w:ascii="Times New Roman" w:cs="Times New Roman" w:eastAsia="Times New Roman" w:hAnsi="Times New Roman"/>
          <w:sz w:val="18"/>
          <w:szCs w:val="18"/>
          <w:color w:val="auto"/>
        </w:rPr>
      </w:pPr>
    </w:p>
    <w:p>
      <w:pPr>
        <w:ind w:left="1418" w:right="40" w:hanging="433"/>
        <w:spacing w:after="0" w:line="286" w:lineRule="auto"/>
        <w:tabs>
          <w:tab w:leader="none" w:pos="14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Each Deferred Share shall be redeemable at the option of the Company and shall have the rights and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restrictions set out in article 6 below.</w:t>
      </w:r>
    </w:p>
    <w:p>
      <w:pPr>
        <w:spacing w:after="0" w:line="50" w:lineRule="exact"/>
        <w:rPr>
          <w:sz w:val="20"/>
          <w:szCs w:val="20"/>
          <w:color w:val="auto"/>
        </w:rPr>
      </w:pPr>
    </w:p>
    <w:p>
      <w:pPr>
        <w:ind w:left="438" w:right="20"/>
        <w:spacing w:after="0" w:line="260" w:lineRule="auto"/>
        <w:rPr>
          <w:sz w:val="20"/>
          <w:szCs w:val="20"/>
          <w:color w:val="auto"/>
        </w:rPr>
      </w:pPr>
      <w:r>
        <w:rPr>
          <w:rFonts w:ascii="Times New Roman" w:cs="Times New Roman" w:eastAsia="Times New Roman" w:hAnsi="Times New Roman"/>
          <w:sz w:val="18"/>
          <w:szCs w:val="18"/>
          <w:color w:val="auto"/>
        </w:rPr>
        <w:t>The Ordinary Shares shall form a single class in the capital of the Company in all respects including as to rights: (i) to receive a dividend or other distribution; (ii) upon a liquidation, dissolution or winding up of the Company; or (iii) upon a direct or indirect change of control of the Company. For the avoidance of doubt, the Deferred Shares shall have the rights and be subject to the restrictions set out in article 6 below only and shall be treated in all respects as a distinct and separate class of shares in the capital of the Company to those of the Ordinary Shares.</w:t>
      </w:r>
    </w:p>
    <w:p>
      <w:pPr>
        <w:spacing w:after="0" w:line="11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58"/>
          </w:cols>
          <w:pgMar w:left="442" w:top="270" w:right="499" w:bottom="1440" w:gutter="0" w:footer="0" w:header="0"/>
        </w:sectPr>
      </w:pPr>
    </w:p>
    <w:bookmarkStart w:id="65" w:name="page66"/>
    <w:bookmarkEnd w:id="65"/>
    <w:p>
      <w:pPr>
        <w:ind w:left="438" w:hanging="438"/>
        <w:spacing w:after="0"/>
        <w:tabs>
          <w:tab w:leader="none" w:pos="43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attaching to Founder’s Shares</w:t>
      </w:r>
    </w:p>
    <w:p>
      <w:pPr>
        <w:spacing w:after="0" w:line="134" w:lineRule="exact"/>
        <w:rPr>
          <w:rFonts w:ascii="Times New Roman" w:cs="Times New Roman" w:eastAsia="Times New Roman" w:hAnsi="Times New Roman"/>
          <w:sz w:val="18"/>
          <w:szCs w:val="18"/>
          <w:b w:val="1"/>
          <w:bCs w:val="1"/>
          <w:color w:val="auto"/>
        </w:rPr>
      </w:pPr>
    </w:p>
    <w:p>
      <w:pPr>
        <w:ind w:left="1418" w:right="120" w:hanging="433"/>
        <w:spacing w:after="0" w:line="281" w:lineRule="auto"/>
        <w:tabs>
          <w:tab w:leader="none" w:pos="14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this article 5, any rights attaching to the Ordinary Shares may only be varied in accordance with the provisions of article 18.</w:t>
      </w:r>
    </w:p>
    <w:p>
      <w:pPr>
        <w:spacing w:after="0" w:line="68" w:lineRule="exact"/>
        <w:rPr>
          <w:rFonts w:ascii="Times New Roman" w:cs="Times New Roman" w:eastAsia="Times New Roman" w:hAnsi="Times New Roman"/>
          <w:sz w:val="18"/>
          <w:szCs w:val="18"/>
          <w:color w:val="auto"/>
        </w:rPr>
      </w:pPr>
    </w:p>
    <w:p>
      <w:pPr>
        <w:ind w:left="1418" w:right="40" w:hanging="433"/>
        <w:spacing w:after="0" w:line="281" w:lineRule="auto"/>
        <w:tabs>
          <w:tab w:leader="none" w:pos="14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the aggregate number of votes attaching to all the shares held by the Founder and/or in which he is interested or of which he is Beneficial Owner shall be equal to the higher of:</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have been conferred on the Founder if this article 5, did not apply.</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the Deferred Shares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Deferred Share shall confer upon the holder such rights, and be subject to restrictions, as follows:</w:t>
      </w:r>
    </w:p>
    <w:p>
      <w:pPr>
        <w:spacing w:after="0" w:line="130"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a Deferred Share:</w:t>
      </w:r>
    </w:p>
    <w:p>
      <w:pPr>
        <w:spacing w:after="0" w:line="130" w:lineRule="exact"/>
        <w:rPr>
          <w:rFonts w:ascii="Times New Roman" w:cs="Times New Roman" w:eastAsia="Times New Roman" w:hAnsi="Times New Roman"/>
          <w:sz w:val="18"/>
          <w:szCs w:val="18"/>
          <w:color w:val="auto"/>
        </w:rPr>
      </w:pPr>
    </w:p>
    <w:p>
      <w:pPr>
        <w:ind w:left="1978" w:hanging="548"/>
        <w:spacing w:after="0" w:line="281" w:lineRule="auto"/>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any dividend or distribution declared, made or paid or any return of capital and does not entitle its holder to any further or other right of participation in the assets of the Company;</w:t>
      </w:r>
    </w:p>
    <w:p>
      <w:pPr>
        <w:spacing w:after="0" w:line="68" w:lineRule="exact"/>
        <w:rPr>
          <w:rFonts w:ascii="Times New Roman" w:cs="Times New Roman" w:eastAsia="Times New Roman" w:hAnsi="Times New Roman"/>
          <w:sz w:val="18"/>
          <w:szCs w:val="18"/>
          <w:color w:val="auto"/>
        </w:rPr>
      </w:pPr>
    </w:p>
    <w:p>
      <w:pPr>
        <w:ind w:left="1978" w:right="260" w:hanging="548"/>
        <w:spacing w:after="0" w:line="281" w:lineRule="auto"/>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participate on a return of assets on a winding up of the Company beyond $1 for all Deferred Shares in issue;</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entitle its holder to receive a share certificate in respect of his or her shareholding, save as required by the Statutes;</w:t>
      </w:r>
    </w:p>
    <w:p>
      <w:pPr>
        <w:spacing w:after="0" w:line="141" w:lineRule="exact"/>
        <w:rPr>
          <w:rFonts w:ascii="Times New Roman" w:cs="Times New Roman" w:eastAsia="Times New Roman" w:hAnsi="Times New Roman"/>
          <w:sz w:val="17"/>
          <w:szCs w:val="17"/>
          <w:color w:val="auto"/>
        </w:rPr>
      </w:pPr>
    </w:p>
    <w:p>
      <w:pPr>
        <w:ind w:left="1978" w:hanging="548"/>
        <w:spacing w:after="0"/>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notice of, attend, speak or vote at, any general meeting of the Company; and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transferable at any time other than with the prior written consent of the Board;</w:t>
      </w:r>
    </w:p>
    <w:p>
      <w:pPr>
        <w:spacing w:after="0" w:line="130" w:lineRule="exact"/>
        <w:rPr>
          <w:rFonts w:ascii="Times New Roman" w:cs="Times New Roman" w:eastAsia="Times New Roman" w:hAnsi="Times New Roman"/>
          <w:sz w:val="18"/>
          <w:szCs w:val="18"/>
          <w:color w:val="auto"/>
        </w:rPr>
      </w:pPr>
    </w:p>
    <w:p>
      <w:pPr>
        <w:jc w:val="both"/>
        <w:ind w:left="1418" w:right="20" w:hanging="433"/>
        <w:spacing w:after="0" w:line="265" w:lineRule="auto"/>
        <w:tabs>
          <w:tab w:leader="none" w:pos="14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Deferred Shares from time to time shall be redeemable at the option of the Company (but not any member) for US$ 1.00 in aggregate for all such Deferred Shares being redeemed or such higher amount as may be determined by the Board and, as the case may be, specified in any agreement with the member holding such Deferred Shares;</w:t>
      </w:r>
    </w:p>
    <w:p>
      <w:pPr>
        <w:spacing w:after="0" w:line="82" w:lineRule="exact"/>
        <w:rPr>
          <w:rFonts w:ascii="Times New Roman" w:cs="Times New Roman" w:eastAsia="Times New Roman" w:hAnsi="Times New Roman"/>
          <w:sz w:val="18"/>
          <w:szCs w:val="18"/>
          <w:color w:val="auto"/>
        </w:rPr>
      </w:pPr>
    </w:p>
    <w:p>
      <w:pPr>
        <w:ind w:left="1418" w:right="200" w:hanging="433"/>
        <w:spacing w:after="0" w:line="281" w:lineRule="auto"/>
        <w:tabs>
          <w:tab w:leader="none" w:pos="14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and where required pursuant to the terms of the Merger Agreement (but subject always to any applicable law) the Board shall:</w:t>
      </w:r>
    </w:p>
    <w:p>
      <w:pPr>
        <w:spacing w:after="0" w:line="68" w:lineRule="exact"/>
        <w:rPr>
          <w:rFonts w:ascii="Times New Roman" w:cs="Times New Roman" w:eastAsia="Times New Roman" w:hAnsi="Times New Roman"/>
          <w:sz w:val="18"/>
          <w:szCs w:val="18"/>
          <w:color w:val="auto"/>
        </w:rPr>
      </w:pPr>
    </w:p>
    <w:p>
      <w:pPr>
        <w:ind w:left="1978" w:right="80" w:hanging="548"/>
        <w:spacing w:after="0" w:line="281" w:lineRule="auto"/>
        <w:tabs>
          <w:tab w:leader="none" w:pos="197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actions as are required to redeem any or all of the Deferred Shares in issue from time to time (subject to the requirements of the Statutes) and without any requirement to obtain the consent or sanction of the holders thereof; and</w:t>
      </w:r>
    </w:p>
    <w:p>
      <w:pPr>
        <w:spacing w:after="0" w:line="95"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98"/>
          </w:cols>
          <w:pgMar w:left="442" w:top="266" w:right="559" w:bottom="1440" w:gutter="0" w:footer="0" w:header="0"/>
        </w:sectPr>
      </w:pPr>
    </w:p>
    <w:bookmarkStart w:id="66" w:name="page67"/>
    <w:bookmarkEnd w:id="66"/>
    <w:p>
      <w:pPr>
        <w:ind w:left="1978" w:right="100" w:hanging="548"/>
        <w:spacing w:after="0" w:line="281" w:lineRule="auto"/>
        <w:tabs>
          <w:tab w:leader="none" w:pos="1978"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nominate any person to execute and do all such deeds, documents, acts and things as may be necessary to give effect to the actions contemplated by this article 6; and</w:t>
      </w:r>
    </w:p>
    <w:p>
      <w:pPr>
        <w:spacing w:after="0" w:line="68"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attached to the Deferred Shares shall not be deemed to be varied or abrogated by the creation or issue of any new shares ranking in priority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shares, any amendment or variation of the rights of any other class of shares of the Company, the Company reducing its share capital or surrender or purchase of any share, whether a Deferred Share or otherwise.</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to Deferred Shares</w:t>
      </w:r>
    </w:p>
    <w:p>
      <w:pPr>
        <w:spacing w:after="0" w:line="134" w:lineRule="exact"/>
        <w:rPr>
          <w:rFonts w:ascii="Times New Roman" w:cs="Times New Roman" w:eastAsia="Times New Roman" w:hAnsi="Times New Roman"/>
          <w:sz w:val="18"/>
          <w:szCs w:val="18"/>
          <w:b w:val="1"/>
          <w:bCs w:val="1"/>
          <w:color w:val="auto"/>
        </w:rPr>
      </w:pPr>
    </w:p>
    <w:p>
      <w:pPr>
        <w:ind w:left="1418" w:right="20" w:hanging="433"/>
        <w:spacing w:after="0" w:line="265" w:lineRule="auto"/>
        <w:tabs>
          <w:tab w:leader="none" w:pos="14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agree with any member terms and conditions upon which all or any part of the Ordinary Shares held by such member from time to time shall be automatically and irrevocably converted into Deferred Shares without any requirement to obtain the further consent or sanction of such member and may deal with any such Deferred Shares in accordance with article 6.</w:t>
      </w:r>
    </w:p>
    <w:p>
      <w:pPr>
        <w:spacing w:after="0" w:line="82" w:lineRule="exact"/>
        <w:rPr>
          <w:rFonts w:ascii="Times New Roman" w:cs="Times New Roman" w:eastAsia="Times New Roman" w:hAnsi="Times New Roman"/>
          <w:sz w:val="18"/>
          <w:szCs w:val="18"/>
          <w:color w:val="auto"/>
        </w:rPr>
      </w:pPr>
    </w:p>
    <w:p>
      <w:pPr>
        <w:ind w:left="1418" w:right="220" w:hanging="433"/>
        <w:spacing w:after="0" w:line="260" w:lineRule="auto"/>
        <w:tabs>
          <w:tab w:leader="none" w:pos="14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other provisions of these articles (including but not limited to article 7(a) or article 10(c)(iii)), the Board may, pursuant to any agreement with a member granting the Company an express right to do so, convert any Ordinary Shares to Deferred Shares without any requirement to obtain the further consent or sanction of that member and may deal with any such Deferred Shares in accordance with article 6.</w:t>
      </w:r>
    </w:p>
    <w:p>
      <w:pPr>
        <w:spacing w:after="0" w:line="87" w:lineRule="exact"/>
        <w:rPr>
          <w:rFonts w:ascii="Times New Roman" w:cs="Times New Roman" w:eastAsia="Times New Roman" w:hAnsi="Times New Roman"/>
          <w:sz w:val="18"/>
          <w:szCs w:val="18"/>
          <w:color w:val="auto"/>
        </w:rPr>
      </w:pPr>
    </w:p>
    <w:p>
      <w:pPr>
        <w:ind w:left="1418" w:right="20" w:hanging="433"/>
        <w:spacing w:after="0" w:line="260" w:lineRule="auto"/>
        <w:tabs>
          <w:tab w:leader="none" w:pos="14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of the Company (or any affiliate of any such director) is a holder of Ordinary Shares that are subject to conversion to Deferred Shares as envisaged by articles 7(a) and 7(b) above, such director shall be prohibited from counting in the quorum or voting in respect of any resolutions proposed to be passed by the Board in connection with the conversion and/or subsequent redemption of such shares.</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130" w:lineRule="exact"/>
        <w:rPr>
          <w:rFonts w:ascii="Times New Roman" w:cs="Times New Roman" w:eastAsia="Times New Roman" w:hAnsi="Times New Roman"/>
          <w:sz w:val="18"/>
          <w:szCs w:val="18"/>
          <w:color w:val="auto"/>
        </w:rPr>
      </w:pPr>
    </w:p>
    <w:p>
      <w:pPr>
        <w:ind w:left="1978" w:hanging="548"/>
        <w:spacing w:after="0" w:line="256" w:lineRule="auto"/>
        <w:tabs>
          <w:tab w:leader="none" w:pos="1978"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 employee or consultant (other than the Founder) ceases to be an employee or consultant of or to the Company or any subsidiary (such that he is neither an employee or consultant of or to the Company or any subsidiary), then unless the Board resolves otherwise with the written consent of the Founder all the Shares held by (or in which an interest is held by or of which the Beneficial Owner is) such employee or consultant and/or his Permitted Transferees (the “</w:t>
      </w:r>
      <w:r>
        <w:rPr>
          <w:rFonts w:ascii="Times New Roman" w:cs="Times New Roman" w:eastAsia="Times New Roman" w:hAnsi="Times New Roman"/>
          <w:sz w:val="18"/>
          <w:szCs w:val="18"/>
          <w:b w:val="1"/>
          <w:bCs w:val="1"/>
          <w:color w:val="auto"/>
        </w:rPr>
        <w:t>Departing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Shares</w:t>
      </w:r>
      <w:r>
        <w:rPr>
          <w:rFonts w:ascii="Times New Roman" w:cs="Times New Roman" w:eastAsia="Times New Roman" w:hAnsi="Times New Roman"/>
          <w:sz w:val="18"/>
          <w:szCs w:val="18"/>
          <w:color w:val="auto"/>
        </w:rPr>
        <w:t>”) shall automatically convert into Deferred Shares (on the basis of one Deferred Share for each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on the date of such cessation (the “Cessation Date”) (rounded down to the nearest whole share).</w:t>
      </w:r>
    </w:p>
    <w:p>
      <w:pPr>
        <w:spacing w:after="0" w:line="118"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98"/>
          </w:cols>
          <w:pgMar w:left="442" w:top="270" w:right="559" w:bottom="1440" w:gutter="0" w:footer="0" w:header="0"/>
        </w:sectPr>
      </w:pPr>
    </w:p>
    <w:bookmarkStart w:id="67" w:name="page68"/>
    <w:bookmarkEnd w:id="67"/>
    <w:p>
      <w:pPr>
        <w:ind w:left="1978" w:hanging="548"/>
        <w:spacing w:after="0" w:line="274" w:lineRule="auto"/>
        <w:tabs>
          <w:tab w:leader="none" w:pos="1978"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such conversion into Deferred Shares, the Company shall be entitled to enter the holder of the Deferred Shares on the register of members of the Company as the holder of the appropriate number of Deferred Shares as from the Cessation Date. Upon the Cessation Date, the holder of the Departing Employee Shares shall deliver to the Company at its registered office the share certificate(s) (to the extent not already in the possession of the Company) (or an indemnity for lost certificate in a form acceptable to the Board) for the Shares so converting and upon such delivery there shall be issued to him (or his Permitted Transferee(s)) share certificate(s) for the number of Deferred Shares resulting from the relevant conversion.</w:t>
      </w:r>
    </w:p>
    <w:p>
      <w:pPr>
        <w:spacing w:after="0" w:line="315" w:lineRule="exact"/>
        <w:rPr>
          <w:rFonts w:ascii="Times New Roman" w:cs="Times New Roman" w:eastAsia="Times New Roman" w:hAnsi="Times New Roman"/>
          <w:sz w:val="17"/>
          <w:szCs w:val="17"/>
          <w:color w:val="auto"/>
        </w:rPr>
      </w:pPr>
    </w:p>
    <w:p>
      <w:pPr>
        <w:ind w:left="438" w:hanging="438"/>
        <w:spacing w:after="0"/>
        <w:tabs>
          <w:tab w:leader="none" w:pos="43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to allot shares and grant rights</w:t>
      </w:r>
    </w:p>
    <w:p>
      <w:pPr>
        <w:spacing w:after="0" w:line="120" w:lineRule="exact"/>
        <w:rPr>
          <w:rFonts w:ascii="Times New Roman" w:cs="Times New Roman" w:eastAsia="Times New Roman" w:hAnsi="Times New Roman"/>
          <w:sz w:val="18"/>
          <w:szCs w:val="18"/>
          <w:b w:val="1"/>
          <w:bCs w:val="1"/>
          <w:color w:val="auto"/>
        </w:rPr>
      </w:pPr>
    </w:p>
    <w:p>
      <w:pPr>
        <w:ind w:left="438" w:right="2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these articles and any resolution of the Company, the Board may offer, allot (with or without conferring a right of renunciation), grant options over, grant rights to subscribe for or to convert any security into or otherwise deal with or dispose of any unissued shares in the Company to such persons, at such times and generally on such terms as the Board may decide.</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pay commission</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commissions or brokerage fees in respect of shares on such terms as the directors may think proper.</w:t>
      </w:r>
    </w:p>
    <w:p>
      <w:pPr>
        <w:spacing w:after="0" w:line="368"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alter share capital</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exercise the powers conferred by the Statutes to:</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creating new shares of such amount and in such currency or currencies as it thinks expedient;</w:t>
      </w:r>
    </w:p>
    <w:p>
      <w:pPr>
        <w:spacing w:after="0" w:line="130" w:lineRule="exact"/>
        <w:rPr>
          <w:sz w:val="20"/>
          <w:szCs w:val="20"/>
          <w:color w:val="auto"/>
        </w:rPr>
      </w:pPr>
    </w:p>
    <w:p>
      <w:pPr>
        <w:ind w:left="1978" w:hanging="548"/>
        <w:spacing w:after="0"/>
        <w:tabs>
          <w:tab w:leader="none" w:pos="1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consolidate and divide all or any of its share capital;</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 all or any of its shares and cancel some of its shares in connection with such a redenomination; and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its share capital in any other manner permitted by the 2006 Act.</w:t>
      </w:r>
    </w:p>
    <w:p>
      <w:pPr>
        <w:spacing w:after="0" w:line="130" w:lineRule="exact"/>
        <w:rPr>
          <w:rFonts w:ascii="Times New Roman" w:cs="Times New Roman" w:eastAsia="Times New Roman" w:hAnsi="Times New Roman"/>
          <w:sz w:val="18"/>
          <w:szCs w:val="18"/>
          <w:color w:val="auto"/>
        </w:rPr>
      </w:pPr>
    </w:p>
    <w:p>
      <w:pPr>
        <w:ind w:left="1418" w:hanging="433"/>
        <w:spacing w:after="0" w:line="265" w:lineRule="auto"/>
        <w:tabs>
          <w:tab w:leader="none" w:pos="14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which any share is sub-divided may determine that, as between the holders of the shares resulting from the sub-division, one or more of the shares may have such preferred or other special rights or may have such qualified or deferred rights or be subject to such restrictions, as compared with the other or others, as the Company has power to attach to new shares.</w:t>
      </w:r>
    </w:p>
    <w:p>
      <w:pPr>
        <w:spacing w:after="0" w:line="82" w:lineRule="exact"/>
        <w:rPr>
          <w:rFonts w:ascii="Times New Roman" w:cs="Times New Roman" w:eastAsia="Times New Roman" w:hAnsi="Times New Roman"/>
          <w:sz w:val="18"/>
          <w:szCs w:val="18"/>
          <w:color w:val="auto"/>
        </w:rPr>
      </w:pPr>
    </w:p>
    <w:p>
      <w:pPr>
        <w:ind w:left="1418" w:right="20" w:hanging="433"/>
        <w:spacing w:after="0" w:line="281" w:lineRule="auto"/>
        <w:tabs>
          <w:tab w:leader="none" w:pos="14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consolidation and division or sub-division of shares any members would become entitled to fractions of a share, the Board may deal with the fractions as it thinks fit. In particular, the Board may:</w:t>
      </w:r>
    </w:p>
    <w:p>
      <w:pPr>
        <w:spacing w:after="0" w:line="68" w:lineRule="exact"/>
        <w:rPr>
          <w:rFonts w:ascii="Times New Roman" w:cs="Times New Roman" w:eastAsia="Times New Roman" w:hAnsi="Times New Roman"/>
          <w:sz w:val="18"/>
          <w:szCs w:val="18"/>
          <w:color w:val="auto"/>
        </w:rPr>
      </w:pPr>
    </w:p>
    <w:p>
      <w:pPr>
        <w:ind w:left="1978" w:right="20" w:hanging="548"/>
        <w:spacing w:after="0" w:line="281" w:lineRule="auto"/>
        <w:tabs>
          <w:tab w:leader="none" w:pos="19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those members) aggregate and sell the shares representing the fractions to any person (including, subject to the Statutes, the Company) and</w:t>
      </w:r>
    </w:p>
    <w:p>
      <w:pPr>
        <w:spacing w:after="0" w:line="9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18"/>
          </w:cols>
          <w:pgMar w:left="442" w:top="270" w:right="539" w:bottom="1440" w:gutter="0" w:footer="0" w:header="0"/>
        </w:sectPr>
      </w:pPr>
    </w:p>
    <w:bookmarkStart w:id="68" w:name="page69"/>
    <w:bookmarkEnd w:id="68"/>
    <w:p>
      <w:pPr>
        <w:ind w:left="1978" w:right="8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 the net proceeds of sale in due proportion among those members (except that any proceeds in respect of any holding less than a sum fixed by the Board may be retained for the benefit of the Company) and the directors may authorise some person to execute an instrument of transfer of shares and/or any relevant buyback instrument (if applicable) to, or in accordance with the directions of, the purchaser; or</w:t>
      </w:r>
    </w:p>
    <w:p>
      <w:pPr>
        <w:spacing w:after="0" w:line="87" w:lineRule="exact"/>
        <w:rPr>
          <w:sz w:val="20"/>
          <w:szCs w:val="20"/>
          <w:color w:val="auto"/>
        </w:rPr>
      </w:pPr>
    </w:p>
    <w:p>
      <w:pPr>
        <w:ind w:left="1978" w:right="220" w:hanging="548"/>
        <w:spacing w:after="0" w:line="265" w:lineRule="auto"/>
        <w:tabs>
          <w:tab w:leader="none" w:pos="1978"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first, allot to a member credited as fully paid by way of capitalisation of any reserve account of the Company such number of shares as rounds up the member’s holding to a number which, following consolidation and division or sub-division, leaves a whole number of shares; or</w:t>
      </w:r>
    </w:p>
    <w:p>
      <w:pPr>
        <w:spacing w:after="0" w:line="82"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such fractional entitlements into Deferred Shares.</w:t>
      </w:r>
    </w:p>
    <w:p>
      <w:pPr>
        <w:spacing w:after="0" w:line="130" w:lineRule="exact"/>
        <w:rPr>
          <w:rFonts w:ascii="Times New Roman" w:cs="Times New Roman" w:eastAsia="Times New Roman" w:hAnsi="Times New Roman"/>
          <w:sz w:val="18"/>
          <w:szCs w:val="18"/>
          <w:color w:val="auto"/>
        </w:rPr>
      </w:pPr>
    </w:p>
    <w:p>
      <w:pPr>
        <w:ind w:left="1418" w:right="100" w:hanging="433"/>
        <w:spacing w:after="0" w:line="265" w:lineRule="auto"/>
        <w:tabs>
          <w:tab w:leader="none" w:pos="14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sale under paragraph (c)(i) above, the Board may authorise a person to transfer the shares to, or as directed by, the purchaser, who shall not be bound to see to the application of the purchase money and the title of the new holder to the shares shall not be affected by any irregularity in or invalidity of the proceedings relating to the sale.</w:t>
      </w:r>
    </w:p>
    <w:p>
      <w:pPr>
        <w:spacing w:after="0" w:line="321" w:lineRule="exact"/>
        <w:rPr>
          <w:rFonts w:ascii="Times New Roman" w:cs="Times New Roman" w:eastAsia="Times New Roman" w:hAnsi="Times New Roman"/>
          <w:sz w:val="18"/>
          <w:szCs w:val="18"/>
          <w:color w:val="auto"/>
        </w:rPr>
      </w:pPr>
    </w:p>
    <w:p>
      <w:pPr>
        <w:ind w:left="438" w:right="4100" w:hanging="438"/>
        <w:spacing w:after="0" w:line="385" w:lineRule="auto"/>
        <w:tabs>
          <w:tab w:leader="none" w:pos="42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 to issue redeemable shares and conversion of existing non-redeemable shares </w:t>
      </w:r>
      <w:r>
        <w:rPr>
          <w:rFonts w:ascii="Times New Roman" w:cs="Times New Roman" w:eastAsia="Times New Roman" w:hAnsi="Times New Roman"/>
          <w:sz w:val="18"/>
          <w:szCs w:val="18"/>
          <w:color w:val="auto"/>
        </w:rPr>
        <w:t>Subject to the Statutes:</w:t>
      </w:r>
    </w:p>
    <w:p>
      <w:pPr>
        <w:jc w:val="both"/>
        <w:ind w:left="1418" w:right="100" w:hanging="433"/>
        <w:spacing w:after="0" w:line="265" w:lineRule="auto"/>
        <w:tabs>
          <w:tab w:leader="none" w:pos="14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may be issued on terms that it is to be redeemed or is liable to be redeemed at the option of the Company or the holder and the terms, conditions and manner of redemption of such shares shall be determined by the Board before the shares are allotted (and such terms and conditions shall apply as if the same were set out in these articles); and</w:t>
      </w:r>
    </w:p>
    <w:p>
      <w:pPr>
        <w:spacing w:after="0" w:line="82" w:lineRule="exact"/>
        <w:rPr>
          <w:rFonts w:ascii="Times New Roman" w:cs="Times New Roman" w:eastAsia="Times New Roman" w:hAnsi="Times New Roman"/>
          <w:sz w:val="18"/>
          <w:szCs w:val="18"/>
          <w:color w:val="auto"/>
        </w:rPr>
      </w:pPr>
    </w:p>
    <w:p>
      <w:pPr>
        <w:ind w:left="1418" w:right="40" w:hanging="433"/>
        <w:spacing w:after="0" w:line="265" w:lineRule="auto"/>
        <w:tabs>
          <w:tab w:leader="none" w:pos="14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non-redeemable shares (whether issued or not) may, where permitted by these articles and determined by the Board, be converted into shares that are to be redeemed or are liable to be redeemed in accordance with their terms, which may include provision for redemption at the option of either or both of the Company or holder thereof.</w:t>
      </w:r>
    </w:p>
    <w:p>
      <w:pPr>
        <w:spacing w:after="0" w:line="321"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purchase own shares</w:t>
      </w:r>
    </w:p>
    <w:p>
      <w:pPr>
        <w:spacing w:after="0" w:line="120" w:lineRule="exact"/>
        <w:rPr>
          <w:rFonts w:ascii="Times New Roman" w:cs="Times New Roman" w:eastAsia="Times New Roman" w:hAnsi="Times New Roman"/>
          <w:sz w:val="18"/>
          <w:szCs w:val="18"/>
          <w:b w:val="1"/>
          <w:bCs w:val="1"/>
          <w:color w:val="auto"/>
        </w:rPr>
      </w:pPr>
    </w:p>
    <w:p>
      <w:pPr>
        <w:jc w:val="both"/>
        <w:ind w:left="438"/>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Subject to the Statutes, and to any rights conferred on the holders of any class of shares, the Company may purchase all or any of its shares of any class, including any redeemable shares. Subject to the Statutes, the Company may hold as treasury shares any shares purchased or redeemed by it.</w:t>
      </w:r>
    </w:p>
    <w:p>
      <w:pPr>
        <w:spacing w:after="0" w:line="283"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reduce capital</w:t>
      </w:r>
    </w:p>
    <w:p>
      <w:pPr>
        <w:spacing w:after="0" w:line="120" w:lineRule="exact"/>
        <w:rPr>
          <w:rFonts w:ascii="Times New Roman" w:cs="Times New Roman" w:eastAsia="Times New Roman" w:hAnsi="Times New Roman"/>
          <w:sz w:val="18"/>
          <w:szCs w:val="18"/>
          <w:b w:val="1"/>
          <w:bCs w:val="1"/>
          <w:color w:val="auto"/>
        </w:rPr>
      </w:pPr>
    </w:p>
    <w:p>
      <w:pPr>
        <w:ind w:left="438" w:right="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by ordinary resolution reduce its share capital, any capital redemption reserves and any share premium account in any way.</w:t>
      </w:r>
    </w:p>
    <w:p>
      <w:pPr>
        <w:spacing w:after="0" w:line="9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38"/>
          </w:cols>
          <w:pgMar w:left="442" w:top="270" w:right="519" w:bottom="1440" w:gutter="0" w:footer="0" w:header="0"/>
        </w:sectPr>
      </w:pPr>
    </w:p>
    <w:bookmarkStart w:id="69" w:name="page70"/>
    <w:bookmarkEnd w:id="69"/>
    <w:p>
      <w:pPr>
        <w:ind w:left="438" w:hanging="438"/>
        <w:spacing w:after="0"/>
        <w:tabs>
          <w:tab w:leader="none" w:pos="43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Trusts not recognised</w:t>
      </w:r>
    </w:p>
    <w:p>
      <w:pPr>
        <w:spacing w:after="0" w:line="120" w:lineRule="exact"/>
        <w:rPr>
          <w:rFonts w:ascii="Times New Roman" w:cs="Times New Roman" w:eastAsia="Times New Roman" w:hAnsi="Times New Roman"/>
          <w:sz w:val="18"/>
          <w:szCs w:val="18"/>
          <w:b w:val="1"/>
          <w:bCs w:val="1"/>
          <w:color w:val="auto"/>
        </w:rPr>
      </w:pPr>
    </w:p>
    <w:p>
      <w:pPr>
        <w:jc w:val="both"/>
        <w:ind w:left="438"/>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a court of competent jurisdiction or these articles, no person shall be recognised by the Company as holding any share upon any trust and the Company shall not be bound by or required to recognise (even when having notice of it) any equitable, contingent, future, partial or other claim to or interest in or in respect of any share, except the holder’s absolute right to the entirety of the share.</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Redemption, Purchase and Surrender.</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that the Company redeems, purchases, accepts by way of surrender or otherwise acquires pursuant to these articles may:</w:t>
      </w:r>
    </w:p>
    <w:p>
      <w:pPr>
        <w:spacing w:after="0" w:line="130"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20" w:lineRule="exact"/>
        <w:rPr>
          <w:rFonts w:ascii="Times New Roman" w:cs="Times New Roman" w:eastAsia="Times New Roman" w:hAnsi="Times New Roman"/>
          <w:sz w:val="18"/>
          <w:szCs w:val="18"/>
          <w:b w:val="1"/>
          <w:bCs w:val="1"/>
          <w:color w:val="auto"/>
        </w:rPr>
      </w:pPr>
    </w:p>
    <w:p>
      <w:pPr>
        <w:ind w:left="438" w:right="3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 other than as set out in this article. The Company may:</w:t>
      </w:r>
    </w:p>
    <w:p>
      <w:pPr>
        <w:spacing w:after="0" w:line="68"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in accordance with these articles.</w:t>
      </w:r>
    </w:p>
    <w:p>
      <w:pPr>
        <w:spacing w:after="0" w:line="200" w:lineRule="exact"/>
        <w:rPr>
          <w:sz w:val="20"/>
          <w:szCs w:val="20"/>
          <w:color w:val="auto"/>
        </w:rPr>
      </w:pPr>
    </w:p>
    <w:p>
      <w:pPr>
        <w:spacing w:after="0" w:line="236"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8"/>
          <w:szCs w:val="18"/>
          <w:b w:val="1"/>
          <w:bCs w:val="1"/>
          <w:color w:val="auto"/>
        </w:rPr>
        <w:t>UNCERTIFICATED SHARES – GENERAL POWERS</w:t>
      </w:r>
    </w:p>
    <w:p>
      <w:pPr>
        <w:spacing w:after="0" w:line="251" w:lineRule="exact"/>
        <w:rPr>
          <w:sz w:val="20"/>
          <w:szCs w:val="20"/>
          <w:color w:val="auto"/>
        </w:rPr>
      </w:pPr>
    </w:p>
    <w:p>
      <w:pPr>
        <w:ind w:left="438" w:hanging="438"/>
        <w:spacing w:after="0"/>
        <w:tabs>
          <w:tab w:leader="none" w:pos="43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Uncertificated shares – general powers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81" w:lineRule="auto"/>
        <w:tabs>
          <w:tab w:leader="none" w:pos="141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permit any class of shares to be held in uncertificated form and to be transferred by means of a relevant system and may revoke any such permission.</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share which is for the time being held in uncertificated form:</w:t>
      </w:r>
    </w:p>
    <w:p>
      <w:pPr>
        <w:spacing w:after="0" w:line="130" w:lineRule="exact"/>
        <w:rPr>
          <w:rFonts w:ascii="Times New Roman" w:cs="Times New Roman" w:eastAsia="Times New Roman" w:hAnsi="Times New Roman"/>
          <w:sz w:val="18"/>
          <w:szCs w:val="18"/>
          <w:color w:val="auto"/>
        </w:rPr>
      </w:pPr>
    </w:p>
    <w:p>
      <w:pPr>
        <w:ind w:left="1978" w:right="200" w:hanging="548"/>
        <w:spacing w:after="0" w:line="260" w:lineRule="auto"/>
        <w:tabs>
          <w:tab w:leader="none" w:pos="197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utilise the relevant system in which it is held to the fullest extent available from time to time in the exercise of any of its powers or functions under the Statutes or these articles or otherwise in effecting any actions and the Board may from time to time determine the manner in which such powers, functions and actions shall be so exercised or effected;</w:t>
      </w:r>
    </w:p>
    <w:p>
      <w:pPr>
        <w:spacing w:after="0" w:line="87"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these articles which is inconsistent with:</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or transfer of that share in the manner prescribed or permitted by the Statutes;</w:t>
      </w:r>
    </w:p>
    <w:p>
      <w:pPr>
        <w:spacing w:after="0" w:line="157"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78"/>
          </w:cols>
          <w:pgMar w:left="442" w:top="266" w:right="579" w:bottom="1440" w:gutter="0" w:footer="0" w:header="0"/>
        </w:sectPr>
      </w:pPr>
    </w:p>
    <w:bookmarkStart w:id="70" w:name="page71"/>
    <w:bookmarkEnd w:id="70"/>
    <w:p>
      <w:pPr>
        <w:ind w:left="2398" w:hanging="429"/>
        <w:spacing w:after="0"/>
        <w:tabs>
          <w:tab w:leader="none" w:pos="239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provision of the Statutes relating to shares held in uncertificated form;</w:t>
      </w:r>
    </w:p>
    <w:p>
      <w:pPr>
        <w:spacing w:after="0" w:line="130" w:lineRule="exact"/>
        <w:rPr>
          <w:rFonts w:ascii="Times New Roman" w:cs="Times New Roman" w:eastAsia="Times New Roman" w:hAnsi="Times New Roman"/>
          <w:sz w:val="18"/>
          <w:szCs w:val="18"/>
          <w:color w:val="auto"/>
        </w:rPr>
      </w:pPr>
    </w:p>
    <w:p>
      <w:pPr>
        <w:ind w:left="2398" w:right="60" w:hanging="429"/>
        <w:spacing w:after="0" w:line="281" w:lineRule="auto"/>
        <w:tabs>
          <w:tab w:leader="none" w:pos="239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powers or functions by the Company or the effecting by the Company of any actions by means of a relevant system; or</w:t>
      </w:r>
    </w:p>
    <w:p>
      <w:pPr>
        <w:spacing w:after="0" w:line="68"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provisions of the Statutes relating to the shares held in uncertificated form, shall not apply;</w:t>
      </w:r>
    </w:p>
    <w:p>
      <w:pPr>
        <w:spacing w:after="0" w:line="130" w:lineRule="exact"/>
        <w:rPr>
          <w:rFonts w:ascii="Times New Roman" w:cs="Times New Roman" w:eastAsia="Times New Roman" w:hAnsi="Times New Roman"/>
          <w:sz w:val="18"/>
          <w:szCs w:val="18"/>
          <w:color w:val="auto"/>
        </w:rPr>
      </w:pPr>
    </w:p>
    <w:p>
      <w:pPr>
        <w:ind w:left="1978" w:right="280" w:hanging="548"/>
        <w:spacing w:after="0" w:line="281" w:lineRule="auto"/>
        <w:tabs>
          <w:tab w:leader="none" w:pos="19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that share, require the holder to change the form of such share to certificated form within such period as may be specified in the notice;</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that share to be converted into certificated form in accordance with the Statutes; and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 certificate.</w:t>
      </w:r>
    </w:p>
    <w:p>
      <w:pPr>
        <w:spacing w:after="0" w:line="130" w:lineRule="exact"/>
        <w:rPr>
          <w:rFonts w:ascii="Times New Roman" w:cs="Times New Roman" w:eastAsia="Times New Roman" w:hAnsi="Times New Roman"/>
          <w:sz w:val="18"/>
          <w:szCs w:val="18"/>
          <w:color w:val="auto"/>
        </w:rPr>
      </w:pPr>
    </w:p>
    <w:p>
      <w:pPr>
        <w:ind w:left="1418" w:right="20" w:hanging="433"/>
        <w:spacing w:after="0" w:line="281" w:lineRule="auto"/>
        <w:tabs>
          <w:tab w:leader="none" w:pos="14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any share in certificated form, direct that the form of such share may not be changed to uncertificated form for a period specified in such notice.</w:t>
      </w:r>
    </w:p>
    <w:p>
      <w:pPr>
        <w:spacing w:after="0" w:line="68" w:lineRule="exact"/>
        <w:rPr>
          <w:rFonts w:ascii="Times New Roman" w:cs="Times New Roman" w:eastAsia="Times New Roman" w:hAnsi="Times New Roman"/>
          <w:sz w:val="18"/>
          <w:szCs w:val="18"/>
          <w:color w:val="auto"/>
        </w:rPr>
      </w:pPr>
    </w:p>
    <w:p>
      <w:pPr>
        <w:ind w:left="1418" w:hanging="433"/>
        <w:spacing w:after="0" w:line="265" w:lineRule="auto"/>
        <w:tabs>
          <w:tab w:leader="none" w:pos="14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effecting any action by the Company, the Board may determine that shares held by a person in uncertificated form shall be treated as a separate holding from shares held by that person in certificated form but shares of a class held by a person in uncertificated form shall not be treated as a separate class from shares of that class held by that person in certificated form.</w:t>
      </w:r>
    </w:p>
    <w:p>
      <w:pPr>
        <w:spacing w:after="0" w:line="38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51" w:lineRule="exact"/>
        <w:rPr>
          <w:sz w:val="20"/>
          <w:szCs w:val="20"/>
          <w:color w:val="auto"/>
        </w:rPr>
      </w:pPr>
    </w:p>
    <w:p>
      <w:pPr>
        <w:ind w:left="438" w:hanging="438"/>
        <w:spacing w:after="0"/>
        <w:tabs>
          <w:tab w:leader="none" w:pos="43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34" w:lineRule="exact"/>
        <w:rPr>
          <w:rFonts w:ascii="Times New Roman" w:cs="Times New Roman" w:eastAsia="Times New Roman" w:hAnsi="Times New Roman"/>
          <w:sz w:val="18"/>
          <w:szCs w:val="18"/>
          <w:b w:val="1"/>
          <w:bCs w:val="1"/>
          <w:color w:val="auto"/>
        </w:rPr>
      </w:pPr>
    </w:p>
    <w:p>
      <w:pPr>
        <w:ind w:left="1418" w:right="40" w:hanging="433"/>
        <w:spacing w:after="0" w:line="254" w:lineRule="auto"/>
        <w:tabs>
          <w:tab w:leader="none" w:pos="141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share capital of the Company is divided into different classes of shares, all or any of the rights for the time being attached to any class of shares in issue may from time to time (subject to the Statutes and whether or not the Company is being wound up) be varied in such manner as those rights may provide or (if no such provision is made) either with the consent in writing of the holders entitled to exercise 75% of the votes attaching to the issued shares of that class or with the authority of a special resolution passed at a separate general meeting of the holders of those shares and for this purpose the Founder shall be deemed to have not less than 75% of the voting rights attaching to the Ordinary Shares in which he has an interest or of which he is Beneficial Owner or such greater percentage as is determined pursuant to article 5(b). To every such separate general meeting all the provisions of these articles relating to general meetings of the Company and to the proceedings at such general meetings shall with necessary modifications apply, except that:</w:t>
      </w:r>
    </w:p>
    <w:p>
      <w:pPr>
        <w:spacing w:after="0" w:line="11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98"/>
          </w:cols>
          <w:pgMar w:left="442" w:top="270" w:right="459" w:bottom="1440" w:gutter="0" w:footer="0" w:header="0"/>
        </w:sectPr>
      </w:pPr>
    </w:p>
    <w:bookmarkStart w:id="71" w:name="page72"/>
    <w:bookmarkEnd w:id="71"/>
    <w:p>
      <w:pPr>
        <w:ind w:left="1978" w:hanging="548"/>
        <w:spacing w:after="0" w:line="260" w:lineRule="auto"/>
        <w:tabs>
          <w:tab w:leader="none" w:pos="197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necessary quorum shall be two persons holding or being a proxy in respect of issued shares of the class (and including the Founder in respect of a class meeting for shares in which he is interested or of some of which he is Beneficial Owner) (but so that if at any adjourned meeting a quorum as defined above is not present, any one such person holding or being a proxy in respect of issued shares of the class shall be a quorum); and</w:t>
      </w:r>
    </w:p>
    <w:p>
      <w:pPr>
        <w:spacing w:after="0" w:line="87" w:lineRule="exact"/>
        <w:rPr>
          <w:rFonts w:ascii="Times New Roman" w:cs="Times New Roman" w:eastAsia="Times New Roman" w:hAnsi="Times New Roman"/>
          <w:sz w:val="18"/>
          <w:szCs w:val="18"/>
          <w:color w:val="auto"/>
        </w:rPr>
      </w:pPr>
    </w:p>
    <w:p>
      <w:pPr>
        <w:ind w:left="1978" w:right="80" w:hanging="548"/>
        <w:spacing w:after="0" w:line="281" w:lineRule="auto"/>
        <w:tabs>
          <w:tab w:leader="none" w:pos="197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may demand a poll and every such holder shall on a poll have one vote for every share of the class held by him.</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by the rights attached to any class of shares those rights shall not be deemed to be varied:</w:t>
      </w:r>
    </w:p>
    <w:p>
      <w:pPr>
        <w:spacing w:after="0" w:line="12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them but in no respect in priority to such shares;</w:t>
      </w:r>
    </w:p>
    <w:p>
      <w:pPr>
        <w:spacing w:after="0" w:line="132" w:lineRule="exact"/>
        <w:rPr>
          <w:rFonts w:ascii="Times New Roman" w:cs="Times New Roman" w:eastAsia="Times New Roman" w:hAnsi="Times New Roman"/>
          <w:sz w:val="18"/>
          <w:szCs w:val="18"/>
          <w:color w:val="auto"/>
        </w:rPr>
      </w:pPr>
    </w:p>
    <w:p>
      <w:pPr>
        <w:ind w:left="1978" w:right="440" w:hanging="548"/>
        <w:spacing w:after="0" w:line="281" w:lineRule="auto"/>
        <w:tabs>
          <w:tab w:leader="none" w:pos="19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 or redemption by the Company of any of its own shares (and the holding of any such shares as treasury shares); or</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 of the relevant system permitting such class of shares to be, a participating security.</w:t>
      </w:r>
    </w:p>
    <w:p>
      <w:pPr>
        <w:spacing w:after="0" w:line="200" w:lineRule="exact"/>
        <w:rPr>
          <w:sz w:val="20"/>
          <w:szCs w:val="20"/>
          <w:color w:val="auto"/>
        </w:rPr>
      </w:pPr>
    </w:p>
    <w:p>
      <w:pPr>
        <w:spacing w:after="0" w:line="23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TRANSFERS OF SHARES</w:t>
      </w:r>
    </w:p>
    <w:p>
      <w:pPr>
        <w:spacing w:after="0" w:line="130" w:lineRule="exact"/>
        <w:rPr>
          <w:sz w:val="20"/>
          <w:szCs w:val="20"/>
          <w:color w:val="auto"/>
        </w:rPr>
      </w:pPr>
    </w:p>
    <w:p>
      <w:pPr>
        <w:ind w:left="438" w:hanging="438"/>
        <w:spacing w:after="0"/>
        <w:tabs>
          <w:tab w:leader="none" w:pos="4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transfer shares</w:t>
      </w:r>
    </w:p>
    <w:p>
      <w:pPr>
        <w:spacing w:after="0" w:line="120" w:lineRule="exact"/>
        <w:rPr>
          <w:rFonts w:ascii="Times New Roman" w:cs="Times New Roman" w:eastAsia="Times New Roman" w:hAnsi="Times New Roman"/>
          <w:sz w:val="18"/>
          <w:szCs w:val="18"/>
          <w:b w:val="1"/>
          <w:bCs w:val="1"/>
          <w:color w:val="auto"/>
        </w:rPr>
      </w:pPr>
    </w:p>
    <w:p>
      <w:pPr>
        <w:ind w:left="438" w:right="4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restrictions in these articles, a member may transfer all or any of the member’s shares in any manner which is permitted by the Statutes, save that no Deferred Shares may be transferred without the consent of the Board.</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uncertificated shares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 record of uncertificated shares in accordance with the Statutes.</w:t>
      </w:r>
    </w:p>
    <w:p>
      <w:pPr>
        <w:spacing w:after="0" w:line="368"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certificated shares</w:t>
      </w:r>
    </w:p>
    <w:p>
      <w:pPr>
        <w:spacing w:after="0" w:line="134" w:lineRule="exact"/>
        <w:rPr>
          <w:rFonts w:ascii="Times New Roman" w:cs="Times New Roman" w:eastAsia="Times New Roman" w:hAnsi="Times New Roman"/>
          <w:sz w:val="18"/>
          <w:szCs w:val="18"/>
          <w:b w:val="1"/>
          <w:bCs w:val="1"/>
          <w:color w:val="auto"/>
        </w:rPr>
      </w:pPr>
    </w:p>
    <w:p>
      <w:pPr>
        <w:ind w:left="1418" w:right="280" w:hanging="433"/>
        <w:spacing w:after="0" w:line="312" w:lineRule="auto"/>
        <w:tabs>
          <w:tab w:leader="none" w:pos="141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instrument of transfer of a certificated share may be in any usual form or in any other form which the Board may approve and shall be signed by or on behalf of the transferor and (except in the case of a fully paid share) by or on behalf of the transferee.</w:t>
      </w:r>
    </w:p>
    <w:p>
      <w:pPr>
        <w:spacing w:after="0" w:line="44" w:lineRule="exact"/>
        <w:rPr>
          <w:rFonts w:ascii="Times New Roman" w:cs="Times New Roman" w:eastAsia="Times New Roman" w:hAnsi="Times New Roman"/>
          <w:sz w:val="17"/>
          <w:szCs w:val="17"/>
          <w:color w:val="auto"/>
        </w:rPr>
      </w:pPr>
    </w:p>
    <w:p>
      <w:pPr>
        <w:ind w:left="1418" w:right="240" w:hanging="433"/>
        <w:spacing w:after="0" w:line="281" w:lineRule="auto"/>
        <w:tabs>
          <w:tab w:leader="none" w:pos="14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the Board may in its absolute discretion refuse to register any instrument of transfer of a certificated share unless it is:</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left at the office, the transfer office, or at such other place as the Board may decide, for registration;</w:t>
      </w:r>
    </w:p>
    <w:p>
      <w:pPr>
        <w:spacing w:after="0" w:line="130" w:lineRule="exact"/>
        <w:rPr>
          <w:rFonts w:ascii="Times New Roman" w:cs="Times New Roman" w:eastAsia="Times New Roman" w:hAnsi="Times New Roman"/>
          <w:sz w:val="18"/>
          <w:szCs w:val="18"/>
          <w:color w:val="auto"/>
        </w:rPr>
      </w:pPr>
    </w:p>
    <w:p>
      <w:pPr>
        <w:ind w:left="1978" w:right="120" w:hanging="548"/>
        <w:spacing w:after="0" w:line="281" w:lineRule="auto"/>
        <w:tabs>
          <w:tab w:leader="none" w:pos="197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accompanied by the certificate for the shares to be transferred and such other evidence (if any) as the Board may reasonably require to prove the title of the intending transferor or the intending transferor’s right to transfer the shares; and</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98"/>
          </w:cols>
          <w:pgMar w:left="442" w:top="270" w:right="459" w:bottom="1440" w:gutter="0" w:footer="0" w:header="0"/>
        </w:sectPr>
      </w:pPr>
    </w:p>
    <w:bookmarkStart w:id="72" w:name="page73"/>
    <w:bookmarkEnd w:id="72"/>
    <w:p>
      <w:pPr>
        <w:ind w:left="1978" w:hanging="548"/>
        <w:spacing w:after="0"/>
        <w:tabs>
          <w:tab w:leader="none" w:pos="197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only one class of shares.</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absolute discretion also refuse to register:</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share which is not a fully paid share; and</w:t>
      </w:r>
    </w:p>
    <w:p>
      <w:pPr>
        <w:spacing w:after="0" w:line="130" w:lineRule="exact"/>
        <w:rPr>
          <w:sz w:val="20"/>
          <w:szCs w:val="20"/>
          <w:color w:val="auto"/>
        </w:rPr>
      </w:pPr>
    </w:p>
    <w:p>
      <w:pPr>
        <w:ind w:left="1978" w:hanging="548"/>
        <w:spacing w:after="0"/>
        <w:tabs>
          <w:tab w:leader="none" w:pos="19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and/or uncertificated share on which the Company has a lien,</w:t>
      </w:r>
    </w:p>
    <w:p>
      <w:pPr>
        <w:spacing w:after="0" w:line="117" w:lineRule="exact"/>
        <w:rPr>
          <w:sz w:val="20"/>
          <w:szCs w:val="20"/>
          <w:color w:val="auto"/>
        </w:rPr>
      </w:pPr>
    </w:p>
    <w:p>
      <w:pPr>
        <w:ind w:left="998" w:right="220"/>
        <w:spacing w:after="0" w:line="281" w:lineRule="auto"/>
        <w:rPr>
          <w:sz w:val="20"/>
          <w:szCs w:val="20"/>
          <w:color w:val="auto"/>
        </w:rPr>
      </w:pPr>
      <w:r>
        <w:rPr>
          <w:rFonts w:ascii="Times New Roman" w:cs="Times New Roman" w:eastAsia="Times New Roman" w:hAnsi="Times New Roman"/>
          <w:sz w:val="18"/>
          <w:szCs w:val="18"/>
          <w:color w:val="auto"/>
        </w:rPr>
        <w:t>provided that in the case of any class of shares which is admitted to trading on NASDAQ, the refusal does not prevent dealings in those shares from taking place on an open and proper basis.</w:t>
      </w:r>
    </w:p>
    <w:p>
      <w:pPr>
        <w:spacing w:after="0" w:line="68" w:lineRule="exact"/>
        <w:rPr>
          <w:sz w:val="20"/>
          <w:szCs w:val="20"/>
          <w:color w:val="auto"/>
        </w:rPr>
      </w:pPr>
    </w:p>
    <w:p>
      <w:pPr>
        <w:ind w:left="1418" w:right="100" w:hanging="433"/>
        <w:spacing w:after="0" w:line="281" w:lineRule="auto"/>
        <w:tabs>
          <w:tab w:leader="none" w:pos="141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refuse to register a transfer of a certificated share to or from Cede &amp; Co. unless the registration of such transfer would be contrary to the provisions of these articles or applicable legislation.</w:t>
      </w:r>
    </w:p>
    <w:p>
      <w:pPr>
        <w:spacing w:after="0" w:line="68" w:lineRule="exact"/>
        <w:rPr>
          <w:rFonts w:ascii="Times New Roman" w:cs="Times New Roman" w:eastAsia="Times New Roman" w:hAnsi="Times New Roman"/>
          <w:sz w:val="18"/>
          <w:szCs w:val="18"/>
          <w:color w:val="auto"/>
        </w:rPr>
      </w:pPr>
    </w:p>
    <w:p>
      <w:pPr>
        <w:ind w:left="1418" w:right="260" w:hanging="433"/>
        <w:spacing w:after="0" w:line="265" w:lineRule="auto"/>
        <w:tabs>
          <w:tab w:leader="none" w:pos="141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may be retained by the Company, but any instrument of transfer which the Board refuses to register shall (except in any case where fraud or any other crime involving dishonesty is suspected in relation to such transfer) be returned to the person presenting it.</w:t>
      </w:r>
    </w:p>
    <w:p>
      <w:pPr>
        <w:spacing w:after="0" w:line="321"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relating to transfers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shall be charged for registration of a transfer or other document or instruction relating to or affecting the title to any share.</w:t>
      </w:r>
    </w:p>
    <w:p>
      <w:pPr>
        <w:spacing w:after="0" w:line="130" w:lineRule="exact"/>
        <w:rPr>
          <w:rFonts w:ascii="Times New Roman" w:cs="Times New Roman" w:eastAsia="Times New Roman" w:hAnsi="Times New Roman"/>
          <w:sz w:val="18"/>
          <w:szCs w:val="18"/>
          <w:color w:val="auto"/>
        </w:rPr>
      </w:pPr>
    </w:p>
    <w:p>
      <w:pPr>
        <w:ind w:left="1418" w:right="140" w:hanging="433"/>
        <w:spacing w:after="0" w:line="281" w:lineRule="auto"/>
        <w:tabs>
          <w:tab w:leader="none" w:pos="14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shall be deemed to remain the holder of the share until the name of the transferee is entered in the register in respect of the share.</w:t>
      </w:r>
    </w:p>
    <w:p>
      <w:pPr>
        <w:spacing w:after="0" w:line="68" w:lineRule="exact"/>
        <w:rPr>
          <w:rFonts w:ascii="Times New Roman" w:cs="Times New Roman" w:eastAsia="Times New Roman" w:hAnsi="Times New Roman"/>
          <w:sz w:val="18"/>
          <w:szCs w:val="18"/>
          <w:color w:val="auto"/>
        </w:rPr>
      </w:pPr>
    </w:p>
    <w:p>
      <w:pPr>
        <w:ind w:left="1418" w:right="300" w:hanging="433"/>
        <w:spacing w:after="0" w:line="281" w:lineRule="auto"/>
        <w:tabs>
          <w:tab w:leader="none" w:pos="14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articles shall preclude the Board from recognising a renunciation of the allotment of any share by the allottee in favour of some other person.</w:t>
      </w:r>
    </w:p>
    <w:p>
      <w:pPr>
        <w:spacing w:after="0" w:line="68" w:lineRule="exact"/>
        <w:rPr>
          <w:rFonts w:ascii="Times New Roman" w:cs="Times New Roman" w:eastAsia="Times New Roman" w:hAnsi="Times New Roman"/>
          <w:sz w:val="18"/>
          <w:szCs w:val="18"/>
          <w:color w:val="auto"/>
        </w:rPr>
      </w:pPr>
    </w:p>
    <w:p>
      <w:pPr>
        <w:ind w:left="1418" w:right="160" w:hanging="433"/>
        <w:spacing w:after="0" w:line="281" w:lineRule="auto"/>
        <w:tabs>
          <w:tab w:leader="none" w:pos="14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unless otherwise agreed by the Board in any particular case, the maximum number of persons who may be entered on the register as joint holders of a share is four.</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refusal</w:t>
      </w:r>
    </w:p>
    <w:p>
      <w:pPr>
        <w:spacing w:after="0" w:line="120" w:lineRule="exact"/>
        <w:rPr>
          <w:rFonts w:ascii="Times New Roman" w:cs="Times New Roman" w:eastAsia="Times New Roman" w:hAnsi="Times New Roman"/>
          <w:sz w:val="18"/>
          <w:szCs w:val="18"/>
          <w:b w:val="1"/>
          <w:bCs w:val="1"/>
          <w:color w:val="auto"/>
        </w:rPr>
      </w:pPr>
    </w:p>
    <w:p>
      <w:pPr>
        <w:ind w:left="438"/>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Board refuses to register a transfer of a certificated share it shall, as soon as practicable and in any event within two months after the date on which the instrument of transfer was lodged, give to the transferor and the transferee notice of the refusal together with its reasons for refusal. The Board shall provide the transferor and/or the transferee with such further information about the reasons for the refusal as the transferor and/or the transferee may reasonably request.</w:t>
      </w:r>
    </w:p>
    <w:p>
      <w:pPr>
        <w:spacing w:after="0" w:line="114"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58"/>
          </w:cols>
          <w:pgMar w:left="442" w:top="270" w:right="499" w:bottom="1440" w:gutter="0" w:footer="0" w:header="0"/>
        </w:sectPr>
      </w:pPr>
    </w:p>
    <w:bookmarkStart w:id="73" w:name="page74"/>
    <w:bookmarkEnd w:id="73"/>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TRANSMISSION OF SHARES</w:t>
      </w:r>
    </w:p>
    <w:p>
      <w:pPr>
        <w:spacing w:after="0" w:line="251" w:lineRule="exact"/>
        <w:rPr>
          <w:sz w:val="20"/>
          <w:szCs w:val="20"/>
          <w:color w:val="auto"/>
        </w:rPr>
      </w:pPr>
    </w:p>
    <w:p>
      <w:pPr>
        <w:ind w:left="438" w:hanging="438"/>
        <w:spacing w:after="0"/>
        <w:tabs>
          <w:tab w:leader="none" w:pos="43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on death</w:t>
      </w:r>
    </w:p>
    <w:p>
      <w:pPr>
        <w:spacing w:after="0" w:line="120" w:lineRule="exact"/>
        <w:rPr>
          <w:rFonts w:ascii="Times New Roman" w:cs="Times New Roman" w:eastAsia="Times New Roman" w:hAnsi="Times New Roman"/>
          <w:sz w:val="18"/>
          <w:szCs w:val="18"/>
          <w:b w:val="1"/>
          <w:bCs w:val="1"/>
          <w:color w:val="auto"/>
        </w:rPr>
      </w:pPr>
    </w:p>
    <w:p>
      <w:pPr>
        <w:jc w:val="both"/>
        <w:ind w:left="438" w:right="40"/>
        <w:spacing w:after="0" w:line="28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If a member dies, the survivor, where the deceased was a joint holder, and the member’s personal representatives where the member was a sole or the only surviving holder, shall be the only person or persons recognised by the Company as having any title to the member’s shares; but nothing in these articles shall release the estate of a deceased holder from any liability in respect of any share held by the member solely or jointly.</w:t>
      </w:r>
    </w:p>
    <w:p>
      <w:pPr>
        <w:spacing w:after="0" w:line="303"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418" w:right="120" w:hanging="433"/>
        <w:spacing w:after="0" w:line="260" w:lineRule="auto"/>
        <w:tabs>
          <w:tab w:leader="none" w:pos="14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the death or bankruptcy of a member or of any other event giving rise to a transmission by operation of law may, on producing such evidence as the Board may require and subject as provided in this article, elect either to be registered personally as the holder of the share or to nominate some other person to be registered as the holder of the share.</w:t>
      </w:r>
    </w:p>
    <w:p>
      <w:pPr>
        <w:spacing w:after="0" w:line="87" w:lineRule="exact"/>
        <w:rPr>
          <w:rFonts w:ascii="Times New Roman" w:cs="Times New Roman" w:eastAsia="Times New Roman" w:hAnsi="Times New Roman"/>
          <w:sz w:val="18"/>
          <w:szCs w:val="18"/>
          <w:color w:val="auto"/>
        </w:rPr>
      </w:pPr>
    </w:p>
    <w:p>
      <w:pPr>
        <w:ind w:left="1418" w:right="20" w:hanging="433"/>
        <w:spacing w:after="0" w:line="265" w:lineRule="auto"/>
        <w:tabs>
          <w:tab w:leader="none" w:pos="14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elects to be registered personally, the person shall give notice to the Company to that effect. If the person elects to have another person registered, the first person shall execute a transfer of the share to that other person or shall execute such other document or take such other action as the Board may require to enable that other person to be registered.</w:t>
      </w:r>
    </w:p>
    <w:p>
      <w:pPr>
        <w:spacing w:after="0" w:line="82" w:lineRule="exact"/>
        <w:rPr>
          <w:rFonts w:ascii="Times New Roman" w:cs="Times New Roman" w:eastAsia="Times New Roman" w:hAnsi="Times New Roman"/>
          <w:sz w:val="18"/>
          <w:szCs w:val="18"/>
          <w:color w:val="auto"/>
        </w:rPr>
      </w:pPr>
    </w:p>
    <w:p>
      <w:pPr>
        <w:ind w:left="1418" w:right="40" w:hanging="433"/>
        <w:spacing w:after="0" w:line="265" w:lineRule="auto"/>
        <w:tabs>
          <w:tab w:leader="none" w:pos="14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the transfer of shares shall apply to the notice or instrument of transfer or other document or action as if it were a transfer effected by the person from whom the title by transmission is derived and the event giving rise to such transmission had not occurred.</w:t>
      </w:r>
    </w:p>
    <w:p>
      <w:pPr>
        <w:spacing w:after="0" w:line="321"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58" w:lineRule="auto"/>
        <w:tabs>
          <w:tab w:leader="none" w:pos="14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a death or bankruptcy or of any other event giving rise to a transmission by operation of law shall (upon supplying to the Company such evidence as the Board may reasonably require to show his title to the share) have the right to receive and give a discharge for any dividends or other moneys payable in respect of the share and shall have the same rights in relation to the share as the person would have if the person were the holder except that, until the person becomes the holder, the person shall not be entitled to attend or vote at any general meeting of the Company.</w:t>
      </w:r>
    </w:p>
    <w:p>
      <w:pPr>
        <w:spacing w:after="0" w:line="87" w:lineRule="exact"/>
        <w:rPr>
          <w:rFonts w:ascii="Times New Roman" w:cs="Times New Roman" w:eastAsia="Times New Roman" w:hAnsi="Times New Roman"/>
          <w:sz w:val="18"/>
          <w:szCs w:val="18"/>
          <w:color w:val="auto"/>
        </w:rPr>
      </w:pPr>
    </w:p>
    <w:p>
      <w:pPr>
        <w:ind w:left="1418" w:right="200" w:hanging="433"/>
        <w:spacing w:after="0" w:line="265" w:lineRule="auto"/>
        <w:tabs>
          <w:tab w:leader="none" w:pos="141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give notice requiring any such person to elect either to be registered personally or to transfer the share and, if after 90 days the notice has not been complied with, the Board may withhold payment of all dividends or other moneys payable in respect of the share until the requirements of the notice have been complied with.</w:t>
      </w:r>
    </w:p>
    <w:p>
      <w:pPr>
        <w:spacing w:after="0" w:line="110"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58"/>
          </w:cols>
          <w:pgMar w:left="442" w:top="266" w:right="499" w:bottom="1440" w:gutter="0" w:footer="0" w:header="0"/>
        </w:sectPr>
      </w:pPr>
    </w:p>
    <w:bookmarkStart w:id="74" w:name="page75"/>
    <w:bookmarkEnd w:id="74"/>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OF INTERESTS IN SHARES</w:t>
      </w:r>
    </w:p>
    <w:p>
      <w:pPr>
        <w:spacing w:after="0" w:line="251" w:lineRule="exact"/>
        <w:rPr>
          <w:sz w:val="20"/>
          <w:szCs w:val="20"/>
          <w:color w:val="auto"/>
        </w:rPr>
      </w:pPr>
    </w:p>
    <w:p>
      <w:pPr>
        <w:ind w:left="438" w:hanging="438"/>
        <w:spacing w:after="0"/>
        <w:tabs>
          <w:tab w:leader="none" w:pos="43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Disenfranchisement</w:t>
      </w:r>
    </w:p>
    <w:p>
      <w:pPr>
        <w:spacing w:after="0" w:line="134" w:lineRule="exact"/>
        <w:rPr>
          <w:rFonts w:ascii="Times New Roman" w:cs="Times New Roman" w:eastAsia="Times New Roman" w:hAnsi="Times New Roman"/>
          <w:sz w:val="18"/>
          <w:szCs w:val="18"/>
          <w:b w:val="1"/>
          <w:bCs w:val="1"/>
          <w:color w:val="auto"/>
        </w:rPr>
      </w:pPr>
    </w:p>
    <w:p>
      <w:pPr>
        <w:ind w:left="1418" w:right="40" w:hanging="433"/>
        <w:spacing w:after="0" w:line="260" w:lineRule="auto"/>
        <w:tabs>
          <w:tab w:leader="none" w:pos="14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or any other person appearing to be interested in, any share has been given notice under section 793 of the 2006 Act (a </w:t>
      </w:r>
      <w:r>
        <w:rPr>
          <w:rFonts w:ascii="Times New Roman" w:cs="Times New Roman" w:eastAsia="Times New Roman" w:hAnsi="Times New Roman"/>
          <w:sz w:val="18"/>
          <w:szCs w:val="18"/>
          <w:b w:val="1"/>
          <w:bCs w:val="1"/>
          <w:color w:val="auto"/>
        </w:rPr>
        <w:t>section 793 notice</w:t>
      </w:r>
      <w:r>
        <w:rPr>
          <w:rFonts w:ascii="Times New Roman" w:cs="Times New Roman" w:eastAsia="Times New Roman" w:hAnsi="Times New Roman"/>
          <w:sz w:val="18"/>
          <w:szCs w:val="18"/>
          <w:color w:val="auto"/>
        </w:rPr>
        <w:t xml:space="preserve">) and has failed in relation to that share (the </w:t>
      </w:r>
      <w:r>
        <w:rPr>
          <w:rFonts w:ascii="Times New Roman" w:cs="Times New Roman" w:eastAsia="Times New Roman" w:hAnsi="Times New Roman"/>
          <w:sz w:val="18"/>
          <w:szCs w:val="18"/>
          <w:b w:val="1"/>
          <w:bCs w:val="1"/>
          <w:color w:val="auto"/>
        </w:rPr>
        <w:t>default share</w:t>
      </w:r>
      <w:r>
        <w:rPr>
          <w:rFonts w:ascii="Times New Roman" w:cs="Times New Roman" w:eastAsia="Times New Roman" w:hAnsi="Times New Roman"/>
          <w:sz w:val="18"/>
          <w:szCs w:val="18"/>
          <w:color w:val="auto"/>
        </w:rPr>
        <w:t>) to give the Company the information required by that notice within the prescribed period from the date of service of the notice, the restrictions referred to below shall apply (provided that the Board may waive those restrictions in whole or in part at any time).</w:t>
      </w:r>
    </w:p>
    <w:p>
      <w:pPr>
        <w:spacing w:after="0" w:line="87" w:lineRule="exact"/>
        <w:rPr>
          <w:rFonts w:ascii="Times New Roman" w:cs="Times New Roman" w:eastAsia="Times New Roman" w:hAnsi="Times New Roman"/>
          <w:sz w:val="18"/>
          <w:szCs w:val="18"/>
          <w:color w:val="auto"/>
        </w:rPr>
      </w:pPr>
    </w:p>
    <w:p>
      <w:pPr>
        <w:ind w:left="1418" w:right="240" w:hanging="433"/>
        <w:spacing w:after="0" w:line="281" w:lineRule="auto"/>
        <w:tabs>
          <w:tab w:leader="none" w:pos="14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while any of the restrictions referred to below apply to a share, another share is allotted in right of it (or in right of any share to which this article applies), the same restrictions shall apply to that other share as if it were a default share.</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2398" w:right="160" w:hanging="429"/>
        <w:spacing w:after="0" w:line="281" w:lineRule="auto"/>
        <w:tabs>
          <w:tab w:leader="none" w:pos="2398"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default shares shall not be entitled in respect of those shares to attend or vote at any general meeting or any separate meeting of the holders on that class of shares or on a poll;</w:t>
      </w:r>
    </w:p>
    <w:p>
      <w:pPr>
        <w:spacing w:after="0" w:line="68" w:lineRule="exact"/>
        <w:rPr>
          <w:rFonts w:ascii="Times New Roman" w:cs="Times New Roman" w:eastAsia="Times New Roman" w:hAnsi="Times New Roman"/>
          <w:sz w:val="18"/>
          <w:szCs w:val="18"/>
          <w:color w:val="auto"/>
        </w:rPr>
      </w:pPr>
    </w:p>
    <w:p>
      <w:pPr>
        <w:ind w:left="2398" w:right="140" w:hanging="429"/>
        <w:spacing w:after="0" w:line="281" w:lineRule="auto"/>
        <w:tabs>
          <w:tab w:leader="none" w:pos="2398"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where the default shares in which any one person is interested or appears to the Company to be interested represent 0.25 per cent or more in nominal value of the issued shares of their class:</w:t>
      </w:r>
    </w:p>
    <w:p>
      <w:pPr>
        <w:spacing w:after="0" w:line="68" w:lineRule="exact"/>
        <w:rPr>
          <w:sz w:val="20"/>
          <w:szCs w:val="20"/>
          <w:color w:val="auto"/>
        </w:rPr>
      </w:pPr>
    </w:p>
    <w:p>
      <w:pPr>
        <w:ind w:left="2838" w:right="60" w:hanging="424"/>
        <w:spacing w:after="0" w:line="265" w:lineRule="auto"/>
        <w:tabs>
          <w:tab w:leader="none" w:pos="28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be retained by the Company without any liability to pay interest on it when such dividend or other money is finally paid to the member and the member shall not be entitled to receive shares in lieu of any dividend; and</w:t>
      </w:r>
    </w:p>
    <w:p>
      <w:pPr>
        <w:spacing w:after="0" w:line="83" w:lineRule="exact"/>
        <w:rPr>
          <w:sz w:val="20"/>
          <w:szCs w:val="20"/>
          <w:color w:val="auto"/>
        </w:rPr>
      </w:pPr>
    </w:p>
    <w:p>
      <w:pPr>
        <w:ind w:left="2838" w:hanging="424"/>
        <w:spacing w:after="0" w:line="258" w:lineRule="auto"/>
        <w:tabs>
          <w:tab w:leader="none" w:pos="283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shares held by the member shall be registered unless: (a) the holder is not himself in default as regards supplying the information required and the holder provides evidence to the satisfaction of the Board that no person in default as regards supplying such information is interested in any of the shares which are the subject of the transfer, or (b) the transfer is an approved transfer, or (c) registration of the transfer is required by the Uncertificated Securities Regulations.</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w:t>
      </w:r>
    </w:p>
    <w:p>
      <w:pPr>
        <w:spacing w:after="0" w:line="130" w:lineRule="exact"/>
        <w:rPr>
          <w:rFonts w:ascii="Times New Roman" w:cs="Times New Roman" w:eastAsia="Times New Roman" w:hAnsi="Times New Roman"/>
          <w:sz w:val="18"/>
          <w:szCs w:val="18"/>
          <w:color w:val="auto"/>
        </w:rPr>
      </w:pPr>
    </w:p>
    <w:p>
      <w:pPr>
        <w:ind w:left="1978" w:right="120" w:hanging="548"/>
        <w:spacing w:after="0" w:line="260" w:lineRule="auto"/>
        <w:tabs>
          <w:tab w:leader="none" w:pos="19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under any section 793 notice and any other relevant information) knows or has reasonable cause to believe that the person is, or may be, so interested;</w:t>
      </w:r>
    </w:p>
    <w:p>
      <w:pPr>
        <w:spacing w:after="0" w:line="87"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transfer in relation to any shares is a transfer under:</w:t>
      </w:r>
    </w:p>
    <w:p>
      <w:pPr>
        <w:spacing w:after="0" w:line="15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78"/>
          </w:cols>
          <w:pgMar w:left="442" w:top="266" w:right="479" w:bottom="1440" w:gutter="0" w:footer="0" w:header="0"/>
        </w:sectPr>
      </w:pPr>
    </w:p>
    <w:bookmarkStart w:id="75" w:name="page76"/>
    <w:bookmarkEnd w:id="75"/>
    <w:p>
      <w:pPr>
        <w:ind w:left="2398" w:hanging="429"/>
        <w:spacing w:after="0"/>
        <w:tabs>
          <w:tab w:leader="none" w:pos="2398"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takeover offer (within the meaning of section 974 of the 2006 Act) which relates to the share; or</w:t>
      </w:r>
    </w:p>
    <w:p>
      <w:pPr>
        <w:spacing w:after="0" w:line="130" w:lineRule="exact"/>
        <w:rPr>
          <w:rFonts w:ascii="Times New Roman" w:cs="Times New Roman" w:eastAsia="Times New Roman" w:hAnsi="Times New Roman"/>
          <w:sz w:val="18"/>
          <w:szCs w:val="18"/>
          <w:color w:val="auto"/>
        </w:rPr>
      </w:pPr>
    </w:p>
    <w:p>
      <w:pPr>
        <w:ind w:left="2398" w:right="240" w:hanging="429"/>
        <w:spacing w:after="0" w:line="265" w:lineRule="auto"/>
        <w:tabs>
          <w:tab w:leader="none" w:pos="2398"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made through a recognised investment exchange (as defined in section 285 of the Financial Services and Markets Act 2000) or any other stock exchange or market outside the United Kingdom on which shares of that class are normally traded; or</w:t>
      </w:r>
    </w:p>
    <w:p>
      <w:pPr>
        <w:spacing w:after="0" w:line="82" w:lineRule="exact"/>
        <w:rPr>
          <w:rFonts w:ascii="Times New Roman" w:cs="Times New Roman" w:eastAsia="Times New Roman" w:hAnsi="Times New Roman"/>
          <w:sz w:val="18"/>
          <w:szCs w:val="18"/>
          <w:color w:val="auto"/>
        </w:rPr>
      </w:pPr>
    </w:p>
    <w:p>
      <w:pPr>
        <w:ind w:left="2398" w:right="760" w:hanging="429"/>
        <w:spacing w:after="0" w:line="281" w:lineRule="auto"/>
        <w:tabs>
          <w:tab w:leader="none" w:pos="2398"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sale of the whole of the beneficial interest in the shares to a person whom the Board is satisfied is unconnected with the member or with any other person appearing to be interested in the share; and</w:t>
      </w:r>
    </w:p>
    <w:p>
      <w:pPr>
        <w:spacing w:after="0" w:line="68" w:lineRule="exact"/>
        <w:rPr>
          <w:rFonts w:ascii="Times New Roman" w:cs="Times New Roman" w:eastAsia="Times New Roman" w:hAnsi="Times New Roman"/>
          <w:sz w:val="18"/>
          <w:szCs w:val="18"/>
          <w:color w:val="auto"/>
        </w:rPr>
      </w:pPr>
    </w:p>
    <w:p>
      <w:pPr>
        <w:ind w:left="1978" w:right="100" w:hanging="548"/>
        <w:spacing w:after="0" w:line="281" w:lineRule="auto"/>
        <w:tabs>
          <w:tab w:leader="none" w:pos="1978"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issued shares of a class represented by a particular holding shall be calculated by reference to the shares in issue at the time that the section 793 notice is served.</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of notices on non-members and Depositaries</w:t>
      </w:r>
    </w:p>
    <w:p>
      <w:pPr>
        <w:spacing w:after="0" w:line="134" w:lineRule="exact"/>
        <w:rPr>
          <w:rFonts w:ascii="Times New Roman" w:cs="Times New Roman" w:eastAsia="Times New Roman" w:hAnsi="Times New Roman"/>
          <w:sz w:val="18"/>
          <w:szCs w:val="18"/>
          <w:b w:val="1"/>
          <w:bCs w:val="1"/>
          <w:color w:val="auto"/>
        </w:rPr>
      </w:pPr>
    </w:p>
    <w:p>
      <w:pPr>
        <w:jc w:val="both"/>
        <w:ind w:left="1418" w:right="400" w:hanging="433"/>
        <w:spacing w:after="0" w:line="265" w:lineRule="auto"/>
        <w:tabs>
          <w:tab w:leader="none" w:pos="14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section 793 notice is given by the Company to a person appearing to be interested in any share, a copy of the notice shall be given to the holder at the same time, but the failure or omission to do so, or the non-receipt by that person of the copy, shall not prejudice the operation of this article.</w:t>
      </w:r>
    </w:p>
    <w:p>
      <w:pPr>
        <w:spacing w:after="0" w:line="82"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default shares in which a person appears to be interested are held by a Depositary, the provisions of articles 27 and 28 shall be treated as applying only to those shares held by the Depositary in which such person appears to be interested and not (insofar as such person’s apparent interest is concerned) to any other shares held by the Depositary and references to default share or default shares shall be construed accordingly.</w:t>
      </w:r>
    </w:p>
    <w:p>
      <w:pPr>
        <w:spacing w:after="0" w:line="87" w:lineRule="exact"/>
        <w:rPr>
          <w:rFonts w:ascii="Times New Roman" w:cs="Times New Roman" w:eastAsia="Times New Roman" w:hAnsi="Times New Roman"/>
          <w:sz w:val="18"/>
          <w:szCs w:val="18"/>
          <w:color w:val="auto"/>
        </w:rPr>
      </w:pPr>
    </w:p>
    <w:p>
      <w:pPr>
        <w:ind w:left="1418" w:right="20" w:hanging="433"/>
        <w:spacing w:after="0" w:line="260" w:lineRule="auto"/>
        <w:tabs>
          <w:tab w:leader="none" w:pos="14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member on whom a section 793 notice has been served is a Depositary, the obligations of the Depositary (acting solely in the Depositary’s capacity as such) shall be limited to disclosing to the Company such information relating to any person appearing to be interested in the shares held by it as has been recorded by the Depositary and the provision of such information shall be at the Company’s cost.</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disenfranchisement</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sanctions under article 27 shall have effect for the period determined by the Board being not more than seven days after the earlier of:</w:t>
      </w:r>
    </w:p>
    <w:p>
      <w:pPr>
        <w:spacing w:after="0" w:line="130" w:lineRule="exact"/>
        <w:rPr>
          <w:rFonts w:ascii="Times New Roman" w:cs="Times New Roman" w:eastAsia="Times New Roman" w:hAnsi="Times New Roman"/>
          <w:sz w:val="18"/>
          <w:szCs w:val="18"/>
          <w:b w:val="1"/>
          <w:bCs w:val="1"/>
          <w:color w:val="auto"/>
        </w:rPr>
      </w:pPr>
    </w:p>
    <w:p>
      <w:pPr>
        <w:ind w:left="1418" w:right="40" w:hanging="433"/>
        <w:spacing w:after="0" w:line="281" w:lineRule="auto"/>
        <w:tabs>
          <w:tab w:leader="none" w:pos="14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notified that the default shares have been transferred under an approved transfer or otherwise in accordance with article 27(c)(i)(B)II; or</w:t>
      </w:r>
    </w:p>
    <w:p>
      <w:pPr>
        <w:spacing w:after="0" w:line="68" w:lineRule="exact"/>
        <w:rPr>
          <w:rFonts w:ascii="Times New Roman" w:cs="Times New Roman" w:eastAsia="Times New Roman" w:hAnsi="Times New Roman"/>
          <w:sz w:val="18"/>
          <w:szCs w:val="18"/>
          <w:color w:val="auto"/>
        </w:rPr>
      </w:pPr>
    </w:p>
    <w:p>
      <w:pPr>
        <w:jc w:val="both"/>
        <w:ind w:left="1418" w:right="220" w:hanging="433"/>
        <w:spacing w:after="0" w:line="265" w:lineRule="auto"/>
        <w:tabs>
          <w:tab w:leader="none" w:pos="14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the section 793 notice has been received in writing by the Company to the satisfaction of the Board at the address supplied by the Company in the section 793 notice or otherwise expressly supplied by the Company for the purpose of receiving such information.</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98"/>
          </w:cols>
          <w:pgMar w:left="442" w:top="270" w:right="459" w:bottom="1440" w:gutter="0" w:footer="0" w:header="0"/>
        </w:sectPr>
      </w:pPr>
    </w:p>
    <w:bookmarkStart w:id="76" w:name="page77"/>
    <w:bookmarkEnd w:id="76"/>
    <w:p>
      <w:pPr>
        <w:ind w:left="1420" w:right="40" w:hanging="433"/>
        <w:spacing w:after="0" w:line="281" w:lineRule="auto"/>
        <w:tabs>
          <w:tab w:leader="none" w:pos="14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dividend or other distribution is withheld under article 27(c)(i)(B)I above, the member shall be entitled to receive it as soon as practicable after the sanction ceases to apply.</w:t>
      </w:r>
    </w:p>
    <w:p>
      <w:pPr>
        <w:spacing w:after="0" w:line="30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uncertificated shares</w:t>
      </w:r>
    </w:p>
    <w:p>
      <w:pPr>
        <w:spacing w:after="0" w:line="120"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exercise any of its powers under article 17in respect of any default share that is held in uncertificated form.</w:t>
      </w:r>
    </w:p>
    <w:p>
      <w:pPr>
        <w:spacing w:after="0" w:line="368"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794 and 795 of the 2006 Act</w:t>
      </w:r>
    </w:p>
    <w:p>
      <w:pPr>
        <w:spacing w:after="0" w:line="120" w:lineRule="exact"/>
        <w:rPr>
          <w:rFonts w:ascii="Times New Roman" w:cs="Times New Roman" w:eastAsia="Times New Roman" w:hAnsi="Times New Roman"/>
          <w:sz w:val="18"/>
          <w:szCs w:val="18"/>
          <w:b w:val="1"/>
          <w:bCs w:val="1"/>
          <w:color w:val="auto"/>
        </w:rPr>
      </w:pPr>
    </w:p>
    <w:p>
      <w:pPr>
        <w:ind w:left="440" w:right="1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articles 22 to 25 are without prejudice to the provisions of section 794 and 795 of the 2006 Act, and in particular the Company may apply to the Court under section 794(1) of the 2006 Act whether or not these provisions apply or have been applied.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1" w:lineRule="exact"/>
        <w:rPr>
          <w:sz w:val="20"/>
          <w:szCs w:val="20"/>
          <w:color w:val="auto"/>
        </w:rPr>
      </w:pPr>
    </w:p>
    <w:p>
      <w:pPr>
        <w:ind w:left="440" w:hanging="438"/>
        <w:spacing w:after="0"/>
        <w:tabs>
          <w:tab w:leader="none" w:pos="4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determine whether any general meeting is to be held as:</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physical general meeting; or</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general meeting; or</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hybrid general meeting.</w:t>
      </w:r>
    </w:p>
    <w:p>
      <w:pPr>
        <w:spacing w:after="0" w:line="130" w:lineRule="exact"/>
        <w:rPr>
          <w:rFonts w:ascii="Times New Roman" w:cs="Times New Roman" w:eastAsia="Times New Roman" w:hAnsi="Times New Roman"/>
          <w:sz w:val="18"/>
          <w:szCs w:val="18"/>
          <w:color w:val="auto"/>
        </w:rPr>
      </w:pPr>
    </w:p>
    <w:p>
      <w:pPr>
        <w:ind w:left="1420" w:right="60" w:hanging="433"/>
        <w:spacing w:after="0" w:line="265" w:lineRule="auto"/>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make whatever arrangements it considers fit to allow those entitled to do so to participate in any general meeting. In the case of an electronic general meeting, the Board need only make arrangements for those entitled to do so to participate electronically (and need not make any provision for attendance at any physical venue).</w:t>
      </w:r>
    </w:p>
    <w:p>
      <w:pPr>
        <w:spacing w:after="0" w:line="82" w:lineRule="exact"/>
        <w:rPr>
          <w:rFonts w:ascii="Times New Roman" w:cs="Times New Roman" w:eastAsia="Times New Roman" w:hAnsi="Times New Roman"/>
          <w:sz w:val="18"/>
          <w:szCs w:val="18"/>
          <w:color w:val="auto"/>
        </w:rPr>
      </w:pPr>
    </w:p>
    <w:p>
      <w:pPr>
        <w:ind w:left="1420" w:hanging="433"/>
        <w:spacing w:after="0" w:line="265" w:lineRule="auto"/>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notice of meeting; decided by the Board in accordance with article 33(a)(ii); or determined by the chair of the meeting either pursuant to article 33(a)(iii) or otherwise, a general meeting is deemed to take place at the place where the chair of the meeting is at the time of the meeting.</w:t>
      </w:r>
    </w:p>
    <w:p>
      <w:pPr>
        <w:spacing w:after="0" w:line="82" w:lineRule="exact"/>
        <w:rPr>
          <w:rFonts w:ascii="Times New Roman" w:cs="Times New Roman" w:eastAsia="Times New Roman" w:hAnsi="Times New Roman"/>
          <w:sz w:val="18"/>
          <w:szCs w:val="18"/>
          <w:color w:val="auto"/>
        </w:rPr>
      </w:pPr>
    </w:p>
    <w:p>
      <w:pPr>
        <w:ind w:left="1420" w:right="60" w:hanging="433"/>
        <w:spacing w:after="0" w:line="281" w:lineRule="auto"/>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who may not be in the same place as each other attend a general meeting if their circumstances are such that if they have rights to speak and vote at that meeting, they are able to exercise them, and are able to hear the other attendees.</w:t>
      </w:r>
    </w:p>
    <w:p>
      <w:pPr>
        <w:spacing w:after="0" w:line="68"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present at a general meeting if the person attends it in accordance with the provisions of these articles.</w:t>
      </w:r>
    </w:p>
    <w:p>
      <w:pPr>
        <w:spacing w:after="0" w:line="130" w:lineRule="exact"/>
        <w:rPr>
          <w:rFonts w:ascii="Times New Roman" w:cs="Times New Roman" w:eastAsia="Times New Roman" w:hAnsi="Times New Roman"/>
          <w:sz w:val="18"/>
          <w:szCs w:val="18"/>
          <w:color w:val="auto"/>
        </w:rPr>
      </w:pPr>
    </w:p>
    <w:p>
      <w:pPr>
        <w:ind w:left="1420" w:right="480" w:hanging="433"/>
        <w:spacing w:after="0" w:line="281" w:lineRule="auto"/>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participate in a meeting if the person’s circumstances are such that if the person has rights in relation to the meeting, the person is able to exercise them.</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9" w:right="479" w:bottom="1440" w:gutter="0" w:footer="0" w:header="0"/>
        </w:sectPr>
      </w:pPr>
    </w:p>
    <w:bookmarkStart w:id="77" w:name="page78"/>
    <w:bookmarkEnd w:id="77"/>
    <w:p>
      <w:pPr>
        <w:ind w:left="1418" w:right="260" w:hanging="433"/>
        <w:spacing w:after="0" w:line="312" w:lineRule="auto"/>
        <w:tabs>
          <w:tab w:leader="none" w:pos="1418"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determining whether persons are attending or participating in a meeting, other than a physical general meeting, it is immaterial where any of them are or how they are able to communicate with each other, provided they can hear each other speak.</w:t>
      </w:r>
    </w:p>
    <w:p>
      <w:pPr>
        <w:spacing w:after="0" w:line="44" w:lineRule="exact"/>
        <w:rPr>
          <w:rFonts w:ascii="Times New Roman" w:cs="Times New Roman" w:eastAsia="Times New Roman" w:hAnsi="Times New Roman"/>
          <w:sz w:val="17"/>
          <w:szCs w:val="17"/>
          <w:color w:val="auto"/>
        </w:rPr>
      </w:pPr>
    </w:p>
    <w:p>
      <w:pPr>
        <w:jc w:val="both"/>
        <w:ind w:left="1418" w:right="20" w:hanging="433"/>
        <w:spacing w:after="0" w:line="265" w:lineRule="auto"/>
        <w:tabs>
          <w:tab w:leader="none" w:pos="14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speak at a general meeting when the chair of the meeting is satisfied that arrangements are in place so as to enable that person to communicate by speaking to all those attending the meeting, during the meeting, any information or opinions which that person has on the business of the meeting.</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vote at a general meeting when:</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able to vote, during the meeting, on resolutions put to the vote at the meeting; and</w:t>
      </w:r>
    </w:p>
    <w:p>
      <w:pPr>
        <w:spacing w:after="0" w:line="130" w:lineRule="exact"/>
        <w:rPr>
          <w:rFonts w:ascii="Times New Roman" w:cs="Times New Roman" w:eastAsia="Times New Roman" w:hAnsi="Times New Roman"/>
          <w:sz w:val="18"/>
          <w:szCs w:val="18"/>
          <w:color w:val="auto"/>
        </w:rPr>
      </w:pPr>
    </w:p>
    <w:p>
      <w:pPr>
        <w:ind w:left="1978" w:hanging="548"/>
        <w:spacing w:after="0" w:line="281" w:lineRule="auto"/>
        <w:tabs>
          <w:tab w:leader="none" w:pos="1978"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vote can be taken into account in determining whether or not such resolutions are passed at the same time as the votes of all the other persons attending the meeting.</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at more than one place or in more than one format</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at more than one place, or may be participated in in more than one way, if:</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convening the meeting so specifies; or</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resolves, after the notice convening the meeting has been given, that:</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held at one or more than one place in addition to any place or places specified in the notice; or</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will also be made for attendance and participation electronically; or</w:t>
      </w:r>
    </w:p>
    <w:p>
      <w:pPr>
        <w:spacing w:after="0" w:line="130" w:lineRule="exact"/>
        <w:rPr>
          <w:rFonts w:ascii="Times New Roman" w:cs="Times New Roman" w:eastAsia="Times New Roman" w:hAnsi="Times New Roman"/>
          <w:sz w:val="18"/>
          <w:szCs w:val="18"/>
          <w:color w:val="auto"/>
        </w:rPr>
      </w:pPr>
    </w:p>
    <w:p>
      <w:pPr>
        <w:ind w:left="1978" w:hanging="548"/>
        <w:spacing w:after="0" w:line="281" w:lineRule="auto"/>
        <w:tabs>
          <w:tab w:leader="none" w:pos="1978"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the place of the meeting specified in the notice convening the meeting is inadequate to accommodate all persons entitled and wishing to attend at that place.</w:t>
      </w:r>
    </w:p>
    <w:p>
      <w:pPr>
        <w:spacing w:after="0" w:line="68" w:lineRule="exact"/>
        <w:rPr>
          <w:rFonts w:ascii="Times New Roman" w:cs="Times New Roman" w:eastAsia="Times New Roman" w:hAnsi="Times New Roman"/>
          <w:sz w:val="18"/>
          <w:szCs w:val="18"/>
          <w:color w:val="auto"/>
        </w:rPr>
      </w:pPr>
    </w:p>
    <w:p>
      <w:pPr>
        <w:ind w:left="1418" w:right="240" w:hanging="433"/>
        <w:spacing w:after="0" w:line="280" w:lineRule="auto"/>
        <w:tabs>
          <w:tab w:leader="none" w:pos="1418"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held at more than one place or participated in in more than one way in accordance with paragraph (a) above, is duly constituted and its proceedings are valid if (in addition to the other provisions of these articles relating to general meetings being satisfied) the chair of the meeting is satisfied that facilities (whether electronic or otherwise) are available to enable each person present at each place and/or attending or participating in it electronically to participate in the business of the meeting.</w:t>
      </w:r>
    </w:p>
    <w:p>
      <w:pPr>
        <w:spacing w:after="0" w:line="72" w:lineRule="exact"/>
        <w:rPr>
          <w:rFonts w:ascii="Times New Roman" w:cs="Times New Roman" w:eastAsia="Times New Roman" w:hAnsi="Times New Roman"/>
          <w:sz w:val="17"/>
          <w:szCs w:val="17"/>
          <w:color w:val="auto"/>
        </w:rPr>
      </w:pPr>
    </w:p>
    <w:p>
      <w:pPr>
        <w:ind w:left="1418" w:right="160" w:hanging="433"/>
        <w:spacing w:after="0" w:line="265" w:lineRule="auto"/>
        <w:tabs>
          <w:tab w:leader="none" w:pos="14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present at any place of the meeting or who is attending it electronically, and who would be entitled to count towards the quorum in accordance with the provisions of article 40 shall be counted in the quorum for, and shall be entitled to vote at, the meeting.</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78"/>
          </w:cols>
          <w:pgMar w:left="442" w:top="270" w:right="479" w:bottom="1440" w:gutter="0" w:footer="0" w:header="0"/>
        </w:sectPr>
      </w:pPr>
    </w:p>
    <w:bookmarkStart w:id="78" w:name="page79"/>
    <w:bookmarkEnd w:id="78"/>
    <w:p>
      <w:pPr>
        <w:ind w:left="438" w:hanging="438"/>
        <w:spacing w:after="0"/>
        <w:tabs>
          <w:tab w:leader="none" w:pos="43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Hybrid meetings</w:t>
      </w:r>
    </w:p>
    <w:p>
      <w:pPr>
        <w:spacing w:after="0" w:line="134" w:lineRule="exact"/>
        <w:rPr>
          <w:rFonts w:ascii="Times New Roman" w:cs="Times New Roman" w:eastAsia="Times New Roman" w:hAnsi="Times New Roman"/>
          <w:sz w:val="18"/>
          <w:szCs w:val="18"/>
          <w:b w:val="1"/>
          <w:bCs w:val="1"/>
          <w:color w:val="auto"/>
        </w:rPr>
      </w:pPr>
    </w:p>
    <w:p>
      <w:pPr>
        <w:ind w:left="1418" w:right="20" w:hanging="433"/>
        <w:spacing w:after="0" w:line="258" w:lineRule="auto"/>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at article 33, the directors may decide to enable persons entitled to attend a meeting to do so by either electronic means or physical attendance at the hybrid meeting. Members or their proxies present shall be counted in the quorum for, and entitled to vote at, the general meeting in question, and that meeting shall be duly constituted and its proceedings valid if the chair of the meeting is satisfied that adequate facilities are available throughout the hybrid meeting to ensure that members or their proxies attending the hybrid meeting who are not present together at the same place may:</w:t>
      </w:r>
    </w:p>
    <w:p>
      <w:pPr>
        <w:spacing w:after="0" w:line="87"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has been convened;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present at the meeting.</w:t>
      </w:r>
    </w:p>
    <w:p>
      <w:pPr>
        <w:spacing w:after="0" w:line="130"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 of the meeting that the electronic platform(s), facilities or security at the hybrid meeting have become inadequate for the purposes referred to in article 34(a), then the chair may, without the consent of the meeting, interrupt or adjourn the general meeting. All business conducted at that general meeting up to the time of that adjournment shall be valid and the relevant provisions of these articles shall apply to that adjournment.</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general meetings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convene and the Company shall hold annual general meetings in accordance with the Statutes.</w:t>
      </w:r>
    </w:p>
    <w:p>
      <w:pPr>
        <w:spacing w:after="0" w:line="368"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of general meetings other than annual general meetings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convene a general meeting other than an annual general meeting whenever it thinks fit.</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also be convened in accordance with article 79.</w:t>
      </w:r>
    </w:p>
    <w:p>
      <w:pPr>
        <w:spacing w:after="0" w:line="130" w:lineRule="exact"/>
        <w:rPr>
          <w:rFonts w:ascii="Times New Roman" w:cs="Times New Roman" w:eastAsia="Times New Roman" w:hAnsi="Times New Roman"/>
          <w:sz w:val="18"/>
          <w:szCs w:val="18"/>
          <w:color w:val="auto"/>
        </w:rPr>
      </w:pPr>
    </w:p>
    <w:p>
      <w:pPr>
        <w:ind w:left="1418" w:right="480" w:hanging="433"/>
        <w:spacing w:after="0" w:line="281" w:lineRule="auto"/>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shall also be convened by the Board on the requisition of members under the Statutes or, in default, may be convened by such requisitionists, as provided by the Statutes.</w:t>
      </w:r>
    </w:p>
    <w:p>
      <w:pPr>
        <w:spacing w:after="0" w:line="68" w:lineRule="exact"/>
        <w:rPr>
          <w:rFonts w:ascii="Times New Roman" w:cs="Times New Roman" w:eastAsia="Times New Roman" w:hAnsi="Times New Roman"/>
          <w:sz w:val="18"/>
          <w:szCs w:val="18"/>
          <w:color w:val="auto"/>
        </w:rPr>
      </w:pPr>
    </w:p>
    <w:p>
      <w:pPr>
        <w:ind w:left="1418" w:right="360" w:hanging="433"/>
        <w:spacing w:after="0" w:line="265" w:lineRule="auto"/>
        <w:tabs>
          <w:tab w:leader="none" w:pos="14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comply with the Statutes regarding the giving and the circulation, on the requisition of members, of notices of resolutions and of statements with respect to matters relating to any resolution to be proposed or business to be dealt with at any general meeting of the Company.</w:t>
      </w:r>
    </w:p>
    <w:p>
      <w:pPr>
        <w:spacing w:after="0" w:line="321"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general meetings</w:t>
      </w:r>
    </w:p>
    <w:p>
      <w:pPr>
        <w:spacing w:after="0" w:line="120" w:lineRule="exact"/>
        <w:rPr>
          <w:rFonts w:ascii="Times New Roman" w:cs="Times New Roman" w:eastAsia="Times New Roman" w:hAnsi="Times New Roman"/>
          <w:sz w:val="18"/>
          <w:szCs w:val="18"/>
          <w:b w:val="1"/>
          <w:bCs w:val="1"/>
          <w:color w:val="auto"/>
        </w:rPr>
      </w:pPr>
    </w:p>
    <w:p>
      <w:pPr>
        <w:ind w:left="438"/>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these articles and to any rights for the time being attached to any class of shares in the Company, the provisions of these articles relating to general meetings of the Company (including, for the avoidance of doubt, provisions relating to the proceedings at general meetings or to the rights of any person to attend or vote or be represented at general meetings or to any restrictions on these rights)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relation to every separate general meeting of the holders of any class of shares in the Company.</w:t>
      </w:r>
    </w:p>
    <w:p>
      <w:pPr>
        <w:spacing w:after="0" w:line="11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78"/>
          </w:cols>
          <w:pgMar w:left="442" w:top="266" w:right="479" w:bottom="1440" w:gutter="0" w:footer="0" w:header="0"/>
        </w:sectPr>
      </w:pPr>
    </w:p>
    <w:bookmarkStart w:id="79" w:name="page80"/>
    <w:bookmarkEnd w:id="79"/>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GENERAL MEETINGS</w:t>
      </w:r>
    </w:p>
    <w:p>
      <w:pPr>
        <w:spacing w:after="0" w:line="251" w:lineRule="exact"/>
        <w:rPr>
          <w:sz w:val="20"/>
          <w:szCs w:val="20"/>
          <w:color w:val="auto"/>
        </w:rPr>
      </w:pPr>
    </w:p>
    <w:p>
      <w:pPr>
        <w:ind w:left="438" w:hanging="438"/>
        <w:spacing w:after="0"/>
        <w:tabs>
          <w:tab w:leader="none" w:pos="43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Length, form and content of notice</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312" w:lineRule="auto"/>
        <w:tabs>
          <w:tab w:leader="none" w:pos="141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Statutes, an annual general meeting shall be called by not less than 21 clear days’ notice and all other general meetings shall be called by not less than 14 clear days’ notice or by not less than such minimum notice period as is permitted by the Statutes.</w:t>
      </w:r>
    </w:p>
    <w:p>
      <w:pPr>
        <w:spacing w:after="0" w:line="44" w:lineRule="exact"/>
        <w:rPr>
          <w:rFonts w:ascii="Times New Roman" w:cs="Times New Roman" w:eastAsia="Times New Roman" w:hAnsi="Times New Roman"/>
          <w:sz w:val="17"/>
          <w:szCs w:val="17"/>
          <w:color w:val="auto"/>
        </w:rPr>
      </w:pPr>
    </w:p>
    <w:p>
      <w:pPr>
        <w:jc w:val="both"/>
        <w:ind w:left="1418" w:right="240" w:hanging="433"/>
        <w:spacing w:after="0" w:line="265" w:lineRule="auto"/>
        <w:tabs>
          <w:tab w:leader="none" w:pos="141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 all members other than any who, under these articles or the terms of issue of the shares they hold, are not entitled to receive such notices from the Company, and also to the auditors (or, if more than one, each of them) and to each director.</w:t>
      </w:r>
    </w:p>
    <w:p>
      <w:pPr>
        <w:spacing w:after="0" w:line="82" w:lineRule="exact"/>
        <w:rPr>
          <w:rFonts w:ascii="Times New Roman" w:cs="Times New Roman" w:eastAsia="Times New Roman" w:hAnsi="Times New Roman"/>
          <w:sz w:val="18"/>
          <w:szCs w:val="18"/>
          <w:color w:val="auto"/>
        </w:rPr>
      </w:pPr>
    </w:p>
    <w:p>
      <w:pPr>
        <w:ind w:left="1418" w:right="20" w:hanging="433"/>
        <w:spacing w:after="0" w:line="281" w:lineRule="auto"/>
        <w:tabs>
          <w:tab w:leader="none" w:pos="141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(including any notice given by means of a website) shall comply with all applicable requirements in the Statutes and shall specify whether the meeting will be an annual general meeting.</w:t>
      </w:r>
    </w:p>
    <w:p>
      <w:pPr>
        <w:spacing w:after="0" w:line="68" w:lineRule="exact"/>
        <w:rPr>
          <w:rFonts w:ascii="Times New Roman" w:cs="Times New Roman" w:eastAsia="Times New Roman" w:hAnsi="Times New Roman"/>
          <w:sz w:val="18"/>
          <w:szCs w:val="18"/>
          <w:color w:val="auto"/>
        </w:rPr>
      </w:pPr>
    </w:p>
    <w:p>
      <w:pPr>
        <w:ind w:left="1418" w:right="400" w:hanging="433"/>
        <w:spacing w:after="0" w:line="265" w:lineRule="auto"/>
        <w:tabs>
          <w:tab w:leader="none" w:pos="141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article 33(a), if it is anticipated that a meeting will be conducted as an electronic general meeting, the notice of meeting shall state how it is proposed that persons attending or participating in the meeting electronically should communicate with the meeting.</w:t>
      </w:r>
    </w:p>
    <w:p>
      <w:pPr>
        <w:spacing w:after="0" w:line="321"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notice</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accidental omission to give notice of a general meeting or to send an instrument of proxy (where this is intended to be sent out with the notice) to, or the non-receipt of the notice or instrument of proxy (as applicable) by, any person entitled to receive the same shall not invalidate the proceedings of that meeting.</w:t>
      </w:r>
    </w:p>
    <w:p>
      <w:pPr>
        <w:spacing w:after="0" w:line="38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51" w:lineRule="exact"/>
        <w:rPr>
          <w:sz w:val="20"/>
          <w:szCs w:val="20"/>
          <w:color w:val="auto"/>
        </w:rPr>
      </w:pPr>
    </w:p>
    <w:p>
      <w:pPr>
        <w:ind w:left="438" w:hanging="438"/>
        <w:spacing w:after="0"/>
        <w:tabs>
          <w:tab w:leader="none" w:pos="43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34" w:lineRule="exact"/>
        <w:rPr>
          <w:rFonts w:ascii="Times New Roman" w:cs="Times New Roman" w:eastAsia="Times New Roman" w:hAnsi="Times New Roman"/>
          <w:sz w:val="18"/>
          <w:szCs w:val="18"/>
          <w:b w:val="1"/>
          <w:bCs w:val="1"/>
          <w:color w:val="auto"/>
        </w:rPr>
      </w:pPr>
    </w:p>
    <w:p>
      <w:pPr>
        <w:ind w:left="1418" w:right="80" w:hanging="433"/>
        <w:spacing w:after="0" w:line="281" w:lineRule="auto"/>
        <w:tabs>
          <w:tab w:leader="none" w:pos="14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w:t>
      </w:r>
    </w:p>
    <w:p>
      <w:pPr>
        <w:spacing w:after="0" w:line="68" w:lineRule="exact"/>
        <w:rPr>
          <w:rFonts w:ascii="Times New Roman" w:cs="Times New Roman" w:eastAsia="Times New Roman" w:hAnsi="Times New Roman"/>
          <w:sz w:val="18"/>
          <w:szCs w:val="18"/>
          <w:color w:val="auto"/>
        </w:rPr>
      </w:pPr>
    </w:p>
    <w:p>
      <w:pPr>
        <w:ind w:left="1418" w:right="20" w:hanging="433"/>
        <w:spacing w:after="0" w:line="255" w:lineRule="auto"/>
        <w:tabs>
          <w:tab w:leader="none" w:pos="14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entitled to vote upon the business to be transacted, each being a member, the proxy of a member (and for this purpose if more than one proxy is present for a Depository or other member each such proxy shall count as a separate person present) or a duly authorised representative of a corporation which is a member, shall be a quorum (provided that, for so longer as the Founder is the holder, directly or indirectly or Beneficial Owner of or beneficially interested in Ordinary Shares and is entitled to exercise (whether pursuant to Article 5 or otherwise) not less than 10% of the votes attaching to all shares in the capital of the Company immediately prior to the beginning of the general meeting, he must be present (for which presence as a proxy would suffice) for a general meeting to be quorate).</w:t>
      </w:r>
    </w:p>
    <w:p>
      <w:pPr>
        <w:spacing w:after="0" w:line="11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98"/>
          </w:cols>
          <w:pgMar w:left="442" w:top="265" w:right="459" w:bottom="1440" w:gutter="0" w:footer="0" w:header="0"/>
        </w:sectPr>
      </w:pPr>
    </w:p>
    <w:bookmarkStart w:id="80" w:name="page81"/>
    <w:bookmarkEnd w:id="80"/>
    <w:p>
      <w:pPr>
        <w:ind w:left="440" w:hanging="438"/>
        <w:spacing w:after="0"/>
        <w:tabs>
          <w:tab w:leader="none" w:pos="4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line="260"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subject to the Statutes, make any physical or electronic security arrangements which it considers appropriate relating to the holding of a general meeting of the Company including, without limitation, arranging for any person attending a meeting physically to be searched and for items of personal property which may be taken into a meeting to be restricted. A director or the secretary may:</w:t>
      </w:r>
    </w:p>
    <w:p>
      <w:pPr>
        <w:spacing w:after="0" w:line="87" w:lineRule="exact"/>
        <w:rPr>
          <w:rFonts w:ascii="Times New Roman" w:cs="Times New Roman" w:eastAsia="Times New Roman" w:hAnsi="Times New Roman"/>
          <w:sz w:val="18"/>
          <w:szCs w:val="18"/>
          <w:color w:val="auto"/>
        </w:rPr>
      </w:pPr>
    </w:p>
    <w:p>
      <w:pPr>
        <w:ind w:left="1980" w:right="120" w:hanging="548"/>
        <w:spacing w:after="0" w:line="281" w:lineRule="auto"/>
        <w:tabs>
          <w:tab w:leader="none" w:pos="198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physical or electronic entry to a meeting to any person (other than the Founder) who refuses to comply with any such arrangements; and</w:t>
      </w:r>
    </w:p>
    <w:p>
      <w:pPr>
        <w:spacing w:after="0" w:line="68" w:lineRule="exact"/>
        <w:rPr>
          <w:rFonts w:ascii="Times New Roman" w:cs="Times New Roman" w:eastAsia="Times New Roman" w:hAnsi="Times New Roman"/>
          <w:sz w:val="18"/>
          <w:szCs w:val="18"/>
          <w:color w:val="auto"/>
        </w:rPr>
      </w:pPr>
    </w:p>
    <w:p>
      <w:pPr>
        <w:ind w:left="1980" w:right="80" w:hanging="548"/>
        <w:spacing w:after="0" w:line="281" w:lineRule="auto"/>
        <w:tabs>
          <w:tab w:leader="none" w:pos="198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physically or electronically eject from a meeting any person (other than the Founder) who causes the proceedings to become disorderly.</w:t>
      </w:r>
    </w:p>
    <w:p>
      <w:pPr>
        <w:spacing w:after="0" w:line="68" w:lineRule="exact"/>
        <w:rPr>
          <w:rFonts w:ascii="Times New Roman" w:cs="Times New Roman" w:eastAsia="Times New Roman" w:hAnsi="Times New Roman"/>
          <w:sz w:val="18"/>
          <w:szCs w:val="18"/>
          <w:color w:val="auto"/>
        </w:rPr>
      </w:pPr>
    </w:p>
    <w:p>
      <w:pPr>
        <w:ind w:left="1420" w:right="120" w:hanging="433"/>
        <w:spacing w:after="0" w:line="281"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electronic and/or hybrid meetings, the directors may make any arrangement and impose any requirement or restriction as is:</w:t>
      </w:r>
    </w:p>
    <w:p>
      <w:pPr>
        <w:spacing w:after="0" w:line="68" w:lineRule="exact"/>
        <w:rPr>
          <w:rFonts w:ascii="Times New Roman" w:cs="Times New Roman" w:eastAsia="Times New Roman" w:hAnsi="Times New Roman"/>
          <w:sz w:val="18"/>
          <w:szCs w:val="18"/>
          <w:color w:val="auto"/>
        </w:rPr>
      </w:pPr>
    </w:p>
    <w:p>
      <w:pPr>
        <w:ind w:left="1980" w:right="660" w:hanging="548"/>
        <w:spacing w:after="0" w:line="281" w:lineRule="auto"/>
        <w:tabs>
          <w:tab w:leader="none" w:pos="198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way of an electronic platform(s) and the security of any electronic communication; and</w:t>
      </w:r>
    </w:p>
    <w:p>
      <w:pPr>
        <w:spacing w:after="0" w:line="68"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proportionate to those objectives.</w:t>
      </w:r>
    </w:p>
    <w:p>
      <w:pPr>
        <w:spacing w:after="0" w:line="117" w:lineRule="exact"/>
        <w:rPr>
          <w:sz w:val="20"/>
          <w:szCs w:val="20"/>
          <w:color w:val="auto"/>
        </w:rPr>
      </w:pPr>
    </w:p>
    <w:p>
      <w:pPr>
        <w:ind w:left="1440" w:right="220"/>
        <w:spacing w:after="0" w:line="281" w:lineRule="auto"/>
        <w:rPr>
          <w:sz w:val="20"/>
          <w:szCs w:val="20"/>
          <w:color w:val="auto"/>
        </w:rPr>
      </w:pPr>
      <w:r>
        <w:rPr>
          <w:rFonts w:ascii="Times New Roman" w:cs="Times New Roman" w:eastAsia="Times New Roman" w:hAnsi="Times New Roman"/>
          <w:sz w:val="18"/>
          <w:szCs w:val="18"/>
          <w:color w:val="auto"/>
        </w:rPr>
        <w:t>In this respect, the directors may authorise any voting application, system or facility for electronic meetings or hybrid meetings as they see fit.</w:t>
      </w:r>
    </w:p>
    <w:p>
      <w:pPr>
        <w:spacing w:after="0" w:line="307" w:lineRule="exact"/>
        <w:rPr>
          <w:sz w:val="20"/>
          <w:szCs w:val="20"/>
          <w:color w:val="auto"/>
        </w:rPr>
      </w:pPr>
    </w:p>
    <w:p>
      <w:pPr>
        <w:ind w:left="440" w:hanging="438"/>
        <w:spacing w:after="0"/>
        <w:tabs>
          <w:tab w:leader="none" w:pos="4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34" w:lineRule="exact"/>
        <w:rPr>
          <w:sz w:val="20"/>
          <w:szCs w:val="20"/>
          <w:color w:val="auto"/>
        </w:rPr>
      </w:pPr>
    </w:p>
    <w:p>
      <w:pPr>
        <w:ind w:left="1420" w:right="160" w:hanging="433"/>
        <w:spacing w:after="0" w:line="274" w:lineRule="auto"/>
        <w:tabs>
          <w:tab w:leader="none" w:pos="14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general meeting, the chair of the Board (if any) or, if the chair is absent or unwilling, the deputy chair (if any) of the Board or (if more than one deputy chair is present and willing) the deputy chair who has been longest in such office, shall preside as chair of the meeting. If neither the chair nor deputy chair is present and willing, one of the other directors selected for the purpose by the directors present or, if only one director is present and willing, that director, shall preside as chair of the meeting. If no director is present within 15 minutes after the time fixed for holding the meeting or if none of the directors present are willing to preside as chair of the meeting, the members present and entitled to vote shall choose one of their number to preside as chair of the meeting.</w:t>
      </w:r>
    </w:p>
    <w:p>
      <w:pPr>
        <w:spacing w:after="0" w:line="76" w:lineRule="exact"/>
        <w:rPr>
          <w:rFonts w:ascii="Times New Roman" w:cs="Times New Roman" w:eastAsia="Times New Roman" w:hAnsi="Times New Roman"/>
          <w:sz w:val="17"/>
          <w:szCs w:val="17"/>
          <w:color w:val="auto"/>
        </w:rPr>
      </w:pPr>
    </w:p>
    <w:p>
      <w:pPr>
        <w:ind w:left="1420" w:right="180" w:hanging="433"/>
        <w:spacing w:after="0" w:line="260"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other powers vested in the chair of a meeting) when conducting a general meeting, the chair of the meeting may make whatever arrangements and take whatever actions as the chair considers, in the chair’s sole discretion, to be appropriate or conducive to the facilitation of the conduct of the business of the meeting, proportionate discussion on any item of business of the meeting, or the maintenance of good order.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81" w:name="page82"/>
    <w:bookmarkEnd w:id="81"/>
    <w:p>
      <w:pPr>
        <w:ind w:left="1420" w:right="60" w:hanging="433"/>
        <w:spacing w:after="0" w:line="256" w:lineRule="auto"/>
        <w:tabs>
          <w:tab w:leader="none" w:pos="14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chair of a general meeting is participating in that meeting electronically and becomes disconnected from the meeting, another person (determined in accordance with the provisions of paragraph (a) above) shall preside as chair of the meeting unless and until the original chair regains electronic connection with the meeting. In the event that no replacement chair is presiding over the general meeting (and the original chair has not regained electronic connection with the meeting) 20 minutes after the original chair became disconnected from the meeting, the meeting shall be adjourned to a time and place (and/or, if appropriate, facilities for electronic attendance and participation) to be fixed by the Board.</w:t>
      </w:r>
    </w:p>
    <w:p>
      <w:pPr>
        <w:spacing w:after="0" w:line="329"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and speak</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be entitled to attend and speak at any general meeting of the Company whether or not the director is a member.</w:t>
      </w:r>
    </w:p>
    <w:p>
      <w:pPr>
        <w:spacing w:after="0" w:line="130" w:lineRule="exact"/>
        <w:rPr>
          <w:rFonts w:ascii="Times New Roman" w:cs="Times New Roman" w:eastAsia="Times New Roman" w:hAnsi="Times New Roman"/>
          <w:sz w:val="18"/>
          <w:szCs w:val="18"/>
          <w:color w:val="auto"/>
        </w:rPr>
      </w:pPr>
    </w:p>
    <w:p>
      <w:pPr>
        <w:ind w:left="1420" w:right="200" w:hanging="433"/>
        <w:spacing w:after="0" w:line="281" w:lineRule="auto"/>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may invite any person to attend and speak at any general meeting of the Company if the chair considers that such person has the appropriate knowledge or experience of the Company’s business to assist in the deliberations of the meeting.</w:t>
      </w:r>
    </w:p>
    <w:p>
      <w:pPr>
        <w:spacing w:after="0" w:line="68"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entitled to speak at any general meeting of the Company.</w:t>
      </w:r>
    </w:p>
    <w:p>
      <w:pPr>
        <w:spacing w:after="0" w:line="3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amendments</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line="281" w:lineRule="auto"/>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resolution may only be put to the vote at a general meeting if the chair of the meeting in the chair’s absolute discretion decides that the resolution may properly be regarded as within the scope of the meeting.</w:t>
      </w:r>
    </w:p>
    <w:p>
      <w:pPr>
        <w:spacing w:after="0" w:line="68" w:lineRule="exact"/>
        <w:rPr>
          <w:rFonts w:ascii="Times New Roman" w:cs="Times New Roman" w:eastAsia="Times New Roman" w:hAnsi="Times New Roman"/>
          <w:sz w:val="18"/>
          <w:szCs w:val="18"/>
          <w:color w:val="auto"/>
        </w:rPr>
      </w:pPr>
    </w:p>
    <w:p>
      <w:pPr>
        <w:ind w:left="1420" w:hanging="433"/>
        <w:spacing w:after="0" w:line="265" w:lineRule="auto"/>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 special resolution no amendment may be made, at or before the time at which the resolution is put to the vote, to the form of the resolution as set out in the notice of meeting, except to correct a patent error or as may otherwise be permitted by law.</w:t>
      </w:r>
    </w:p>
    <w:p>
      <w:pPr>
        <w:spacing w:after="0" w:line="82" w:lineRule="exact"/>
        <w:rPr>
          <w:rFonts w:ascii="Times New Roman" w:cs="Times New Roman" w:eastAsia="Times New Roman" w:hAnsi="Times New Roman"/>
          <w:sz w:val="18"/>
          <w:szCs w:val="18"/>
          <w:color w:val="auto"/>
        </w:rPr>
      </w:pPr>
    </w:p>
    <w:p>
      <w:pPr>
        <w:ind w:left="1420" w:right="220" w:hanging="433"/>
        <w:spacing w:after="0" w:line="281" w:lineRule="auto"/>
        <w:tabs>
          <w:tab w:leader="none" w:pos="14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an ordinary resolution no amendment may be made, at or before the time at which the resolution is put to the vote, unless:</w:t>
      </w:r>
    </w:p>
    <w:p>
      <w:pPr>
        <w:spacing w:after="0" w:line="68" w:lineRule="exact"/>
        <w:rPr>
          <w:rFonts w:ascii="Times New Roman" w:cs="Times New Roman" w:eastAsia="Times New Roman" w:hAnsi="Times New Roman"/>
          <w:sz w:val="18"/>
          <w:szCs w:val="18"/>
          <w:color w:val="auto"/>
        </w:rPr>
      </w:pPr>
    </w:p>
    <w:p>
      <w:pPr>
        <w:ind w:left="1980" w:right="140" w:hanging="548"/>
        <w:spacing w:after="0" w:line="312" w:lineRule="auto"/>
        <w:tabs>
          <w:tab w:leader="none" w:pos="1980"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amendment to the form of the resolution as set out in the notice of meeting, notice of the intention to move the amendment is received at the office at least 48 hours before the time fixed for the holding of the relevant meeting; or</w:t>
      </w:r>
    </w:p>
    <w:p>
      <w:pPr>
        <w:spacing w:after="0" w:line="44" w:lineRule="exact"/>
        <w:rPr>
          <w:rFonts w:ascii="Times New Roman" w:cs="Times New Roman" w:eastAsia="Times New Roman" w:hAnsi="Times New Roman"/>
          <w:sz w:val="17"/>
          <w:szCs w:val="17"/>
          <w:color w:val="auto"/>
        </w:rPr>
      </w:pPr>
    </w:p>
    <w:p>
      <w:pPr>
        <w:ind w:left="1980" w:right="380" w:hanging="548"/>
        <w:spacing w:after="0" w:line="281" w:lineRule="auto"/>
        <w:tabs>
          <w:tab w:leader="none" w:pos="198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the chair of the meeting in the chair’s absolute discretion otherwise decides that the amendment or amended resolution may properly be put to the vote.</w:t>
      </w:r>
    </w:p>
    <w:p>
      <w:pPr>
        <w:spacing w:after="0" w:line="55" w:lineRule="exact"/>
        <w:rPr>
          <w:sz w:val="20"/>
          <w:szCs w:val="20"/>
          <w:color w:val="auto"/>
        </w:rPr>
      </w:pPr>
    </w:p>
    <w:p>
      <w:pPr>
        <w:ind w:left="1440"/>
        <w:spacing w:after="0" w:line="281" w:lineRule="auto"/>
        <w:rPr>
          <w:sz w:val="20"/>
          <w:szCs w:val="20"/>
          <w:color w:val="auto"/>
        </w:rPr>
      </w:pPr>
      <w:r>
        <w:rPr>
          <w:rFonts w:ascii="Times New Roman" w:cs="Times New Roman" w:eastAsia="Times New Roman" w:hAnsi="Times New Roman"/>
          <w:sz w:val="18"/>
          <w:szCs w:val="18"/>
          <w:color w:val="auto"/>
        </w:rPr>
        <w:t>The giving of notice under paragraph (i) above shall not prejudice the power of the chair of the meeting to rule the amendment out of order.</w:t>
      </w:r>
    </w:p>
    <w:p>
      <w:pPr>
        <w:spacing w:after="0" w:line="68" w:lineRule="exact"/>
        <w:rPr>
          <w:sz w:val="20"/>
          <w:szCs w:val="20"/>
          <w:color w:val="auto"/>
        </w:rPr>
      </w:pPr>
    </w:p>
    <w:p>
      <w:pPr>
        <w:ind w:left="1420" w:right="20" w:hanging="433"/>
        <w:spacing w:after="0" w:line="281"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chair of the meeting, a person who proposes an amendment to a resolution may withdraw it before it is put to the vote.</w:t>
      </w:r>
    </w:p>
    <w:p>
      <w:pPr>
        <w:spacing w:after="0" w:line="68" w:lineRule="exact"/>
        <w:rPr>
          <w:rFonts w:ascii="Times New Roman" w:cs="Times New Roman" w:eastAsia="Times New Roman" w:hAnsi="Times New Roman"/>
          <w:sz w:val="18"/>
          <w:szCs w:val="18"/>
          <w:color w:val="auto"/>
        </w:rPr>
      </w:pPr>
    </w:p>
    <w:p>
      <w:pPr>
        <w:ind w:left="1420" w:right="120" w:hanging="433"/>
        <w:spacing w:after="0" w:line="265"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the meeting rules a resolution or an amendment to a resolution admissible or out of order (as the case may be), the proceedings of the meeting or the resolution in question shall not be invalidated by any error in the chair’s ruling. Any ruling by the chair of the meeting in relation to a resolution or an amendment to a resolution shall be final and conclusive.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2" w:name="page83"/>
    <w:bookmarkEnd w:id="82"/>
    <w:p>
      <w:pPr>
        <w:ind w:left="438" w:hanging="438"/>
        <w:spacing w:after="0"/>
        <w:tabs>
          <w:tab w:leader="none" w:pos="438"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Adjournment</w:t>
      </w:r>
    </w:p>
    <w:p>
      <w:pPr>
        <w:spacing w:after="0" w:line="134" w:lineRule="exact"/>
        <w:rPr>
          <w:rFonts w:ascii="Times New Roman" w:cs="Times New Roman" w:eastAsia="Times New Roman" w:hAnsi="Times New Roman"/>
          <w:sz w:val="18"/>
          <w:szCs w:val="18"/>
          <w:b w:val="1"/>
          <w:bCs w:val="1"/>
          <w:color w:val="auto"/>
        </w:rPr>
      </w:pPr>
    </w:p>
    <w:p>
      <w:pPr>
        <w:ind w:left="1418" w:right="220" w:hanging="433"/>
        <w:spacing w:after="0" w:line="265" w:lineRule="auto"/>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any general meeting at which a quorum is present the chair of the meeting may (and shall if so directed by the meeting) adjourn the meeting from time to time and from place (and/or, if appropriate, facilities for electronic attendance and participation) to place (and/or, if appropriate, facilities for electronic attendance and participation).</w:t>
      </w:r>
    </w:p>
    <w:p>
      <w:pPr>
        <w:spacing w:after="0" w:line="82" w:lineRule="exact"/>
        <w:rPr>
          <w:rFonts w:ascii="Times New Roman" w:cs="Times New Roman" w:eastAsia="Times New Roman" w:hAnsi="Times New Roman"/>
          <w:sz w:val="18"/>
          <w:szCs w:val="18"/>
          <w:color w:val="auto"/>
        </w:rPr>
      </w:pPr>
    </w:p>
    <w:p>
      <w:pPr>
        <w:jc w:val="both"/>
        <w:ind w:left="1418" w:right="180" w:hanging="433"/>
        <w:spacing w:after="0" w:line="288" w:lineRule="auto"/>
        <w:tabs>
          <w:tab w:leader="none" w:pos="1418"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chair of the meeting may at any time without the consent of the meeting adjourn the meeting (whether or not it has commenced or a quorum is present) to another time and/or place (and, if the chair considers it appropriate, facilities for electronic attendance and participation) if, in the chair’s opinion, it would facilitate the conduct of the business of the meeting to do so.</w:t>
      </w:r>
    </w:p>
    <w:p>
      <w:pPr>
        <w:spacing w:after="0" w:line="64" w:lineRule="exact"/>
        <w:rPr>
          <w:rFonts w:ascii="Times New Roman" w:cs="Times New Roman" w:eastAsia="Times New Roman" w:hAnsi="Times New Roman"/>
          <w:sz w:val="17"/>
          <w:szCs w:val="17"/>
          <w:color w:val="auto"/>
        </w:rPr>
      </w:pPr>
    </w:p>
    <w:p>
      <w:pPr>
        <w:ind w:left="1418" w:hanging="433"/>
        <w:spacing w:after="0" w:line="258" w:lineRule="auto"/>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shall at any time without the consent of the meeting adjourn the meeting (whether or not it has commenced or a quorum is present) to another time and/or place (and/or, if appropriate, with other facilities for electronic attendance and participation) if, in the chair’s opinion, the facilities (whether electronic or otherwise, and whether affecting the place (or more than one place) of the meeting or any electronic participation arrangements) are not sufficient to allow the meeting to be conducted substantially in accordance with the provisions set out in the notice of meeting.</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limit any other power vested in the chair of the meeting to adjourn the meeting.</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conducted at a general meeting up to the time of any adjournment shall, subject to paragraph (f) below, be valid.</w:t>
      </w:r>
    </w:p>
    <w:p>
      <w:pPr>
        <w:spacing w:after="0" w:line="130" w:lineRule="exact"/>
        <w:rPr>
          <w:rFonts w:ascii="Times New Roman" w:cs="Times New Roman" w:eastAsia="Times New Roman" w:hAnsi="Times New Roman"/>
          <w:sz w:val="18"/>
          <w:szCs w:val="18"/>
          <w:color w:val="auto"/>
        </w:rPr>
      </w:pPr>
    </w:p>
    <w:p>
      <w:pPr>
        <w:ind w:left="1418" w:hanging="433"/>
        <w:spacing w:after="0" w:line="281" w:lineRule="auto"/>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may specify that only the business conducted at a general meeting up to a point in time which is earlier than the time of adjournment is valid if, in the chair’s opinion, to do so would be more appropriate.</w:t>
      </w:r>
    </w:p>
    <w:p>
      <w:pPr>
        <w:spacing w:after="0" w:line="66" w:lineRule="exact"/>
        <w:rPr>
          <w:rFonts w:ascii="Times New Roman" w:cs="Times New Roman" w:eastAsia="Times New Roman" w:hAnsi="Times New Roman"/>
          <w:sz w:val="18"/>
          <w:szCs w:val="18"/>
          <w:color w:val="auto"/>
        </w:rPr>
      </w:pPr>
    </w:p>
    <w:p>
      <w:pPr>
        <w:ind w:left="1418" w:right="320" w:hanging="433"/>
        <w:spacing w:after="0" w:line="267" w:lineRule="auto"/>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 meeting is adjourned for 30 days or more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at least 14 clear days’ notice of the adjourned meeting shall be given in the same manner as in the case of the original meeting but otherwise no person shall be entitled to any notice of an adjourned meeting or of the business to be transacted at an adjourned meeting.</w:t>
      </w:r>
    </w:p>
    <w:p>
      <w:pPr>
        <w:spacing w:after="0" w:line="79" w:lineRule="exact"/>
        <w:rPr>
          <w:rFonts w:ascii="Times New Roman" w:cs="Times New Roman" w:eastAsia="Times New Roman" w:hAnsi="Times New Roman"/>
          <w:sz w:val="18"/>
          <w:szCs w:val="18"/>
          <w:color w:val="auto"/>
        </w:rPr>
      </w:pPr>
    </w:p>
    <w:p>
      <w:pPr>
        <w:ind w:left="1418" w:right="200" w:hanging="433"/>
        <w:spacing w:after="0" w:line="281" w:lineRule="auto"/>
        <w:tabs>
          <w:tab w:leader="none" w:pos="14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adjourned meeting other than the business which might have been transacted at the meeting from which the adjournment took place.</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78"/>
          </w:cols>
          <w:pgMar w:left="442" w:top="265" w:right="479" w:bottom="1440" w:gutter="0" w:footer="0" w:header="0"/>
        </w:sectPr>
      </w:pPr>
    </w:p>
    <w:bookmarkStart w:id="83" w:name="page84"/>
    <w:bookmarkEnd w:id="83"/>
    <w:p>
      <w:pPr>
        <w:ind w:left="440" w:hanging="438"/>
        <w:spacing w:after="0"/>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voting - general</w:t>
      </w:r>
    </w:p>
    <w:p>
      <w:pPr>
        <w:spacing w:after="0" w:line="120" w:lineRule="exact"/>
        <w:rPr>
          <w:rFonts w:ascii="Times New Roman" w:cs="Times New Roman" w:eastAsia="Times New Roman" w:hAnsi="Times New Roman"/>
          <w:sz w:val="18"/>
          <w:szCs w:val="18"/>
          <w:b w:val="1"/>
          <w:bCs w:val="1"/>
          <w:color w:val="auto"/>
        </w:rPr>
      </w:pPr>
    </w:p>
    <w:p>
      <w:pPr>
        <w:ind w:left="440" w:right="2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47, at any general meeting a resolution put to the vote of the meeting shall be decided on a show of hands unless (before or on the declaration of the result of the show of hands) a poll is demanded by:</w:t>
      </w:r>
    </w:p>
    <w:p>
      <w:pPr>
        <w:spacing w:after="0" w:line="68"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members present in person or by proxy and entitled to vote on the resolution;</w:t>
      </w:r>
    </w:p>
    <w:p>
      <w:pPr>
        <w:spacing w:after="0" w:line="130" w:lineRule="exact"/>
        <w:rPr>
          <w:rFonts w:ascii="Times New Roman" w:cs="Times New Roman" w:eastAsia="Times New Roman" w:hAnsi="Times New Roman"/>
          <w:sz w:val="18"/>
          <w:szCs w:val="18"/>
          <w:color w:val="auto"/>
        </w:rPr>
      </w:pPr>
    </w:p>
    <w:p>
      <w:pPr>
        <w:ind w:left="1420" w:right="440" w:hanging="433"/>
        <w:spacing w:after="0" w:line="281"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representing not less than one-tenth of the total voting rights of all the members having the right to vote on the resolution;</w:t>
      </w:r>
    </w:p>
    <w:p>
      <w:pPr>
        <w:spacing w:after="0" w:line="68" w:lineRule="exact"/>
        <w:rPr>
          <w:rFonts w:ascii="Times New Roman" w:cs="Times New Roman" w:eastAsia="Times New Roman" w:hAnsi="Times New Roman"/>
          <w:sz w:val="18"/>
          <w:szCs w:val="18"/>
          <w:color w:val="auto"/>
        </w:rPr>
      </w:pPr>
    </w:p>
    <w:p>
      <w:pPr>
        <w:ind w:left="1420" w:right="80" w:hanging="433"/>
        <w:spacing w:after="0" w:line="265"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holding shares in the Company conferring a right to vote on the resolution, being shares on which an aggregate sum has been paid up equal to not less than one-tenth of the total sum paid up on all the shares conferring that right; or</w:t>
      </w:r>
    </w:p>
    <w:p>
      <w:pPr>
        <w:spacing w:after="0" w:line="82"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w:t>
      </w:r>
    </w:p>
    <w:p>
      <w:pPr>
        <w:spacing w:after="0" w:line="3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voting – Shares held by DTC</w:t>
      </w:r>
    </w:p>
    <w:p>
      <w:pPr>
        <w:spacing w:after="0" w:line="120"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so long as any shares in the Company are held in a settlement system operated by DTC:</w:t>
      </w:r>
    </w:p>
    <w:p>
      <w:pPr>
        <w:spacing w:after="0" w:line="130"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put to a vote at a general meeting of the Company shall be decided on a poll; and</w:t>
      </w:r>
    </w:p>
    <w:p>
      <w:pPr>
        <w:spacing w:after="0" w:line="130" w:lineRule="exact"/>
        <w:rPr>
          <w:rFonts w:ascii="Times New Roman" w:cs="Times New Roman" w:eastAsia="Times New Roman" w:hAnsi="Times New Roman"/>
          <w:sz w:val="18"/>
          <w:szCs w:val="18"/>
          <w:color w:val="auto"/>
        </w:rPr>
      </w:pPr>
    </w:p>
    <w:p>
      <w:pPr>
        <w:ind w:left="1420" w:right="220" w:hanging="433"/>
        <w:spacing w:after="0" w:line="281"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47 may only be removed, amended or varied by resolution of the members passed unanimously at a general meeting of the Company.</w:t>
      </w:r>
    </w:p>
    <w:p>
      <w:pPr>
        <w:spacing w:after="0" w:line="30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poll is to be taken</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line="265"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at such time (either at the meeting at which the resolution is proposed or within 30 days after the meeting), at such place and in such manner (including electronically) as the chair of the meeting shall direct and the chair may appoint scrutineers (who need not be members).</w:t>
      </w:r>
    </w:p>
    <w:p>
      <w:pPr>
        <w:spacing w:after="0" w:line="82"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a question of adjournment shall be taken at the meeting without adjournment.</w:t>
      </w:r>
    </w:p>
    <w:p>
      <w:pPr>
        <w:spacing w:after="0" w:line="130" w:lineRule="exact"/>
        <w:rPr>
          <w:rFonts w:ascii="Times New Roman" w:cs="Times New Roman" w:eastAsia="Times New Roman" w:hAnsi="Times New Roman"/>
          <w:sz w:val="18"/>
          <w:szCs w:val="18"/>
          <w:color w:val="auto"/>
        </w:rPr>
      </w:pPr>
    </w:p>
    <w:p>
      <w:pPr>
        <w:ind w:left="1420" w:right="200" w:hanging="433"/>
        <w:spacing w:after="0" w:line="281"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(unless the chair of the meeting otherwise directs) for notice to be given of a poll whether taken at or after the meeting at which it was demanded.</w:t>
      </w:r>
    </w:p>
    <w:p>
      <w:pPr>
        <w:spacing w:after="0" w:line="68" w:lineRule="exact"/>
        <w:rPr>
          <w:rFonts w:ascii="Times New Roman" w:cs="Times New Roman" w:eastAsia="Times New Roman" w:hAnsi="Times New Roman"/>
          <w:sz w:val="18"/>
          <w:szCs w:val="18"/>
          <w:color w:val="auto"/>
        </w:rPr>
      </w:pPr>
    </w:p>
    <w:p>
      <w:pPr>
        <w:ind w:left="1420" w:right="600" w:hanging="433"/>
        <w:spacing w:after="0" w:line="281"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and a member entitled to more than one vote need not use all the member’s votes or cast all the votes used in the same way.</w:t>
      </w:r>
    </w:p>
    <w:p>
      <w:pPr>
        <w:spacing w:after="0" w:line="68" w:lineRule="exact"/>
        <w:rPr>
          <w:rFonts w:ascii="Times New Roman" w:cs="Times New Roman" w:eastAsia="Times New Roman" w:hAnsi="Times New Roman"/>
          <w:sz w:val="18"/>
          <w:szCs w:val="18"/>
          <w:color w:val="auto"/>
        </w:rPr>
      </w:pPr>
    </w:p>
    <w:p>
      <w:pPr>
        <w:ind w:left="1420" w:right="340" w:hanging="433"/>
        <w:spacing w:after="0" w:line="281"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shall be deemed to be a resolution of the meeting at which the poll was demanded (or deemed to have been demanded).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5" w:right="459" w:bottom="1440" w:gutter="0" w:footer="0" w:header="0"/>
        </w:sectPr>
      </w:pPr>
    </w:p>
    <w:bookmarkStart w:id="84" w:name="page85"/>
    <w:bookmarkEnd w:id="84"/>
    <w:p>
      <w:pPr>
        <w:ind w:left="438" w:hanging="438"/>
        <w:spacing w:after="0"/>
        <w:tabs>
          <w:tab w:leader="none" w:pos="43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Validity of meeting</w:t>
      </w:r>
    </w:p>
    <w:p>
      <w:pPr>
        <w:spacing w:after="0" w:line="120" w:lineRule="exact"/>
        <w:rPr>
          <w:rFonts w:ascii="Times New Roman" w:cs="Times New Roman" w:eastAsia="Times New Roman" w:hAnsi="Times New Roman"/>
          <w:sz w:val="18"/>
          <w:szCs w:val="18"/>
          <w:b w:val="1"/>
          <w:bCs w:val="1"/>
          <w:color w:val="auto"/>
        </w:rPr>
      </w:pPr>
    </w:p>
    <w:p>
      <w:pPr>
        <w:jc w:val="both"/>
        <w:ind w:left="438" w:right="280"/>
        <w:spacing w:after="0" w:line="28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persons seeking to attend or participate in a general meeting electronically shall be responsible for maintaining adequate facilities to enable them to do so. Subject only to the requirement for the chair to adjourn a general meeting in accordance with the provisions of article 45(c), any inability of a person or persons to attend or participate in a general meeting electronically shall not invalidate the proceedings of that meeting.</w:t>
      </w:r>
    </w:p>
    <w:p>
      <w:pPr>
        <w:spacing w:after="0" w:line="37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51" w:lineRule="exact"/>
        <w:rPr>
          <w:sz w:val="20"/>
          <w:szCs w:val="20"/>
          <w:color w:val="auto"/>
        </w:rPr>
      </w:pPr>
    </w:p>
    <w:p>
      <w:pPr>
        <w:ind w:left="438" w:hanging="438"/>
        <w:spacing w:after="0"/>
        <w:tabs>
          <w:tab w:leader="none" w:pos="43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134" w:lineRule="exact"/>
        <w:rPr>
          <w:rFonts w:ascii="Times New Roman" w:cs="Times New Roman" w:eastAsia="Times New Roman" w:hAnsi="Times New Roman"/>
          <w:sz w:val="18"/>
          <w:szCs w:val="18"/>
          <w:b w:val="1"/>
          <w:bCs w:val="1"/>
          <w:color w:val="auto"/>
        </w:rPr>
      </w:pPr>
    </w:p>
    <w:p>
      <w:pPr>
        <w:ind w:left="1418" w:right="180" w:hanging="433"/>
        <w:spacing w:after="0" w:line="281" w:lineRule="auto"/>
        <w:tabs>
          <w:tab w:leader="none" w:pos="14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any special rights or restrictions as to voting for the time being attached to any class of shares in the Company (including, for the avoidance of doubt, such rights and restrictions as apply as set out in article 5(b) above):</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who is present in person shall have one vote;</w:t>
      </w:r>
    </w:p>
    <w:p>
      <w:pPr>
        <w:spacing w:after="0" w:line="130" w:lineRule="exact"/>
        <w:rPr>
          <w:rFonts w:ascii="Times New Roman" w:cs="Times New Roman" w:eastAsia="Times New Roman" w:hAnsi="Times New Roman"/>
          <w:sz w:val="18"/>
          <w:szCs w:val="18"/>
          <w:color w:val="auto"/>
        </w:rPr>
      </w:pPr>
    </w:p>
    <w:p>
      <w:pPr>
        <w:ind w:left="2398" w:right="40" w:hanging="429"/>
        <w:spacing w:after="0" w:line="256" w:lineRule="auto"/>
        <w:tabs>
          <w:tab w:leader="none" w:pos="239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proxy present who has been duly appointed by one or more members entitled to vote on the resolution shall have one vote, except that if the proxy has been duly appointed by more than one member entitled to vote on the resolution and is instructed by one or more of those members to vote for the resolution and by one or more others to vote against it, or is instructed by one or more of those members to vote in one way and is given discretion as to how to vote by one or more others (and wishes to use that discretion to vote in the other way) he or she shall have one vote for and one vote against the resolution; and</w:t>
      </w:r>
    </w:p>
    <w:p>
      <w:pPr>
        <w:spacing w:after="0" w:line="91" w:lineRule="exact"/>
        <w:rPr>
          <w:rFonts w:ascii="Times New Roman" w:cs="Times New Roman" w:eastAsia="Times New Roman" w:hAnsi="Times New Roman"/>
          <w:sz w:val="18"/>
          <w:szCs w:val="18"/>
          <w:color w:val="auto"/>
        </w:rPr>
      </w:pPr>
    </w:p>
    <w:p>
      <w:pPr>
        <w:ind w:left="2398" w:right="40" w:hanging="429"/>
        <w:spacing w:after="0" w:line="281" w:lineRule="auto"/>
        <w:tabs>
          <w:tab w:leader="none" w:pos="239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corporate representative present who has been duly authorised by a corporation shall have the same voting rights as the corporation would be entitled to; and</w:t>
      </w:r>
    </w:p>
    <w:p>
      <w:pPr>
        <w:spacing w:after="0" w:line="68" w:lineRule="exact"/>
        <w:rPr>
          <w:rFonts w:ascii="Times New Roman" w:cs="Times New Roman" w:eastAsia="Times New Roman" w:hAnsi="Times New Roman"/>
          <w:sz w:val="18"/>
          <w:szCs w:val="18"/>
          <w:color w:val="auto"/>
        </w:rPr>
      </w:pPr>
    </w:p>
    <w:p>
      <w:pPr>
        <w:ind w:left="1978" w:hanging="548"/>
        <w:spacing w:after="0" w:line="265" w:lineRule="auto"/>
        <w:tabs>
          <w:tab w:leader="none" w:pos="1978"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and subject to article 5(b), every member who is present in person or by a duly appointed proxy shall have one vote for each share of which he or she is the holder or in respect of which his or her appointment of proxy or corporate representative has been made.</w:t>
      </w:r>
    </w:p>
    <w:p>
      <w:pPr>
        <w:spacing w:after="0" w:line="82" w:lineRule="exact"/>
        <w:rPr>
          <w:rFonts w:ascii="Times New Roman" w:cs="Times New Roman" w:eastAsia="Times New Roman" w:hAnsi="Times New Roman"/>
          <w:sz w:val="18"/>
          <w:szCs w:val="18"/>
          <w:color w:val="auto"/>
        </w:rPr>
      </w:pPr>
    </w:p>
    <w:p>
      <w:pPr>
        <w:ind w:left="1418" w:right="160" w:hanging="433"/>
        <w:spacing w:after="0" w:line="258" w:lineRule="auto"/>
        <w:tabs>
          <w:tab w:leader="none" w:pos="14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or vote at any general meeting, and how many votes such persons may cast, the Company must specify in the notice of the meeting a time, determined by the Board, by which a person must be entered on the register in order to have the right to attend or vote at the meeting. Changes to entries on the register after the time so specified shall be disregarded in determining the rights of any person to attend or vote at the meeting, notwithstanding any provisions in the Statutes or these articles to the contrary.</w:t>
      </w:r>
    </w:p>
    <w:p>
      <w:pPr>
        <w:spacing w:after="0" w:line="11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98"/>
          </w:cols>
          <w:pgMar w:left="442" w:top="265" w:right="459" w:bottom="1440" w:gutter="0" w:footer="0" w:header="0"/>
        </w:sectPr>
      </w:pPr>
    </w:p>
    <w:bookmarkStart w:id="85" w:name="page86"/>
    <w:bookmarkEnd w:id="85"/>
    <w:p>
      <w:pPr>
        <w:ind w:left="438" w:hanging="438"/>
        <w:spacing w:after="0"/>
        <w:tabs>
          <w:tab w:leader="none" w:pos="4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of corporations</w:t>
      </w:r>
    </w:p>
    <w:p>
      <w:pPr>
        <w:spacing w:after="0" w:line="134" w:lineRule="exact"/>
        <w:rPr>
          <w:rFonts w:ascii="Times New Roman" w:cs="Times New Roman" w:eastAsia="Times New Roman" w:hAnsi="Times New Roman"/>
          <w:sz w:val="18"/>
          <w:szCs w:val="18"/>
          <w:b w:val="1"/>
          <w:bCs w:val="1"/>
          <w:color w:val="auto"/>
        </w:rPr>
      </w:pPr>
    </w:p>
    <w:p>
      <w:pPr>
        <w:ind w:left="1418" w:right="160" w:hanging="433"/>
        <w:spacing w:after="0" w:line="281" w:lineRule="auto"/>
        <w:tabs>
          <w:tab w:leader="none" w:pos="14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the Company may, by resolution of its Board or other governing body, authorise any person or persons to act as its representative or representatives at any general meeting of the Company.</w:t>
      </w:r>
    </w:p>
    <w:p>
      <w:pPr>
        <w:spacing w:after="0" w:line="68" w:lineRule="exact"/>
        <w:rPr>
          <w:rFonts w:ascii="Times New Roman" w:cs="Times New Roman" w:eastAsia="Times New Roman" w:hAnsi="Times New Roman"/>
          <w:sz w:val="18"/>
          <w:szCs w:val="18"/>
          <w:color w:val="auto"/>
        </w:rPr>
      </w:pPr>
    </w:p>
    <w:p>
      <w:pPr>
        <w:ind w:left="1418" w:right="1000" w:hanging="433"/>
        <w:spacing w:after="0" w:line="281" w:lineRule="auto"/>
        <w:tabs>
          <w:tab w:leader="none" w:pos="14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director or the secretary may (but shall not be bound to) require evidence of the authority of any such representative.</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joint holders</w:t>
      </w:r>
    </w:p>
    <w:p>
      <w:pPr>
        <w:spacing w:after="0" w:line="120" w:lineRule="exact"/>
        <w:rPr>
          <w:rFonts w:ascii="Times New Roman" w:cs="Times New Roman" w:eastAsia="Times New Roman" w:hAnsi="Times New Roman"/>
          <w:sz w:val="18"/>
          <w:szCs w:val="18"/>
          <w:b w:val="1"/>
          <w:bCs w:val="1"/>
          <w:color w:val="auto"/>
        </w:rPr>
      </w:pPr>
    </w:p>
    <w:p>
      <w:pPr>
        <w:jc w:val="both"/>
        <w:ind w:left="438" w:right="2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of the joint holders of a share tenders a vote on the same resolution, whether in person or by proxy, the vote of the senior who tenders a vote shall be accepted to the exclusion of the vote(s) of the other joint holder(s); and for this purpose, seniority shall be determined by the order in which the names stand in the register in respect of the relevant share.</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incapable of managing their affairs</w:t>
      </w:r>
    </w:p>
    <w:p>
      <w:pPr>
        <w:spacing w:after="0" w:line="120" w:lineRule="exact"/>
        <w:rPr>
          <w:rFonts w:ascii="Times New Roman" w:cs="Times New Roman" w:eastAsia="Times New Roman" w:hAnsi="Times New Roman"/>
          <w:sz w:val="18"/>
          <w:szCs w:val="18"/>
          <w:b w:val="1"/>
          <w:bCs w:val="1"/>
          <w:color w:val="auto"/>
        </w:rPr>
      </w:pPr>
    </w:p>
    <w:p>
      <w:pPr>
        <w:ind w:left="438"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member in respect of whom an order has been made by any court having jurisdiction (whether in the United Kingdom or elsewhere) in matters concerning mental disorder may vote by the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that court, and the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on a poll, vote by proxy. Evidence to the satisfaction of the Board of the authority of the person claiming the right to vote must be received at the office (or at such other address as may be specified for the receipt of proxy appointments) not later than the last time by which a proxy appointment must be received in order to be valid for use at the meeting or adjourned meeting or on the holding of the poll at or on which that person proposes to vote and, in default, the right to vote shall not be exercisable.</w:t>
      </w:r>
    </w:p>
    <w:p>
      <w:pPr>
        <w:spacing w:after="0" w:line="330"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suspended where sums overdue</w:t>
      </w:r>
    </w:p>
    <w:p>
      <w:pPr>
        <w:spacing w:after="0" w:line="120" w:lineRule="exact"/>
        <w:rPr>
          <w:rFonts w:ascii="Times New Roman" w:cs="Times New Roman" w:eastAsia="Times New Roman" w:hAnsi="Times New Roman"/>
          <w:sz w:val="18"/>
          <w:szCs w:val="18"/>
          <w:b w:val="1"/>
          <w:bCs w:val="1"/>
          <w:color w:val="auto"/>
        </w:rPr>
      </w:pPr>
    </w:p>
    <w:p>
      <w:pPr>
        <w:jc w:val="both"/>
        <w:ind w:left="438"/>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Unless the Board otherwise decides, a member shall not be entitled to vote, either in person or by proxy, at any general meeting of the Company in respect of any share held by that member unless all calls and other sums presently payable by that member in respect of that share have been paid.</w:t>
      </w:r>
    </w:p>
    <w:p>
      <w:pPr>
        <w:spacing w:after="0" w:line="283"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Objections to admissibility of votes</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objection shall be raised as to the admissibility of any vote except at the meeting or adjourned meeting or poll at which the vote objected to is or may be given or tendered, and every vote not disallowed at such meeting or poll shall be valid for all purposes. Any such objection made in due time shall be referred to the chair of the meeting, whose decision shall be final and conclusive.</w:t>
      </w:r>
    </w:p>
    <w:p>
      <w:pPr>
        <w:spacing w:after="0" w:line="38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1" w:lineRule="exact"/>
        <w:rPr>
          <w:sz w:val="20"/>
          <w:szCs w:val="20"/>
          <w:color w:val="auto"/>
        </w:rPr>
      </w:pPr>
    </w:p>
    <w:p>
      <w:pPr>
        <w:ind w:left="438" w:hanging="438"/>
        <w:spacing w:after="0"/>
        <w:tabs>
          <w:tab w:leader="none" w:pos="43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Proxies</w:t>
      </w:r>
    </w:p>
    <w:p>
      <w:pPr>
        <w:spacing w:after="0" w:line="134" w:lineRule="exact"/>
        <w:rPr>
          <w:rFonts w:ascii="Times New Roman" w:cs="Times New Roman" w:eastAsia="Times New Roman" w:hAnsi="Times New Roman"/>
          <w:sz w:val="18"/>
          <w:szCs w:val="18"/>
          <w:b w:val="1"/>
          <w:bCs w:val="1"/>
          <w:color w:val="auto"/>
        </w:rPr>
      </w:pPr>
    </w:p>
    <w:p>
      <w:pPr>
        <w:ind w:left="1418" w:right="180" w:hanging="433"/>
        <w:spacing w:after="0" w:line="281" w:lineRule="auto"/>
        <w:tabs>
          <w:tab w:leader="none" w:pos="141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of the Company and a member may appoint more than one proxy in relation to a meeting, provided that each proxy is appointed to exercise the rights attached to a different share or shares held by the member.</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98"/>
          </w:cols>
          <w:pgMar w:left="442" w:top="265" w:right="459" w:bottom="1440" w:gutter="0" w:footer="0" w:header="0"/>
        </w:sectPr>
      </w:pPr>
    </w:p>
    <w:bookmarkStart w:id="86" w:name="page87"/>
    <w:bookmarkEnd w:id="86"/>
    <w:p>
      <w:pPr>
        <w:ind w:left="1418" w:right="740" w:hanging="433"/>
        <w:spacing w:after="0" w:line="281" w:lineRule="auto"/>
        <w:tabs>
          <w:tab w:leader="none" w:pos="14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appointment of a proxy shall not preclude a member from attending and voting in person at the meeting or on the poll concerned.</w:t>
      </w:r>
    </w:p>
    <w:p>
      <w:pPr>
        <w:spacing w:after="0" w:line="68" w:lineRule="exact"/>
        <w:rPr>
          <w:rFonts w:ascii="Times New Roman" w:cs="Times New Roman" w:eastAsia="Times New Roman" w:hAnsi="Times New Roman"/>
          <w:sz w:val="18"/>
          <w:szCs w:val="18"/>
          <w:color w:val="auto"/>
        </w:rPr>
      </w:pPr>
    </w:p>
    <w:p>
      <w:pPr>
        <w:ind w:left="1418" w:right="160" w:hanging="433"/>
        <w:spacing w:after="0" w:line="281" w:lineRule="auto"/>
        <w:tabs>
          <w:tab w:leader="none" w:pos="14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only be valid for the meeting mentioned in it and any adjournment of that meeting (including on any poll demanded at the meeting or any adjourned meeting).</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w:t>
      </w:r>
    </w:p>
    <w:p>
      <w:pPr>
        <w:spacing w:after="0" w:line="134" w:lineRule="exact"/>
        <w:rPr>
          <w:rFonts w:ascii="Times New Roman" w:cs="Times New Roman" w:eastAsia="Times New Roman" w:hAnsi="Times New Roman"/>
          <w:sz w:val="18"/>
          <w:szCs w:val="18"/>
          <w:b w:val="1"/>
          <w:bCs w:val="1"/>
          <w:color w:val="auto"/>
        </w:rPr>
      </w:pPr>
    </w:p>
    <w:p>
      <w:pPr>
        <w:ind w:left="1418" w:right="20" w:hanging="433"/>
        <w:spacing w:after="0" w:line="258" w:lineRule="auto"/>
        <w:tabs>
          <w:tab w:leader="none" w:pos="141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appointment of a proxy may be in such form as is usual or common (including with respect to any shares held by a Depositary, an omnibus proxy which enables the Depositary to exercise rights in a number of different ways for the shares that it holds) or in such other form as the Board may from time to time approve and shall be signed by the appointor, or the appointor’s duly authorised agent, or, if the appointor is a corporation, shall either be executed under its common seal or be signed by an agent or officer authorised for that purpose. The signature need not be witnessed.</w:t>
      </w:r>
    </w:p>
    <w:p>
      <w:pPr>
        <w:spacing w:after="0" w:line="87" w:lineRule="exact"/>
        <w:rPr>
          <w:rFonts w:ascii="Times New Roman" w:cs="Times New Roman" w:eastAsia="Times New Roman" w:hAnsi="Times New Roman"/>
          <w:sz w:val="18"/>
          <w:szCs w:val="18"/>
          <w:color w:val="auto"/>
        </w:rPr>
      </w:pPr>
    </w:p>
    <w:p>
      <w:pPr>
        <w:ind w:left="1418" w:hanging="433"/>
        <w:spacing w:after="0" w:line="254" w:lineRule="auto"/>
        <w:tabs>
          <w:tab w:leader="none" w:pos="141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these articles, the Board may from time to time in relation to uncertificated shares: (i) approve the appointment of a proxy by means of a communication sent in electronic form which is sent by means of the relevant system and received by such participant in that system acting on behalf of the Company as the Board may prescribe, in such form and subject to such terms and conditions as the Board may from time to time prescribe (subject always to the facilities and requirements of the relevant system)); and (ii) approve supplements to, or amendments or revocations of, any such uncertificated proxy instruction by the same means. In addition, the Board may prescribe the method of determining the time at which any such uncertificated proxy instruction is to be treated as received by the Company or such participant and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330"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proxy</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appointment:</w:t>
      </w:r>
    </w:p>
    <w:p>
      <w:pPr>
        <w:spacing w:after="0" w:line="130" w:lineRule="exact"/>
        <w:rPr>
          <w:rFonts w:ascii="Times New Roman" w:cs="Times New Roman" w:eastAsia="Times New Roman" w:hAnsi="Times New Roman"/>
          <w:sz w:val="18"/>
          <w:szCs w:val="18"/>
          <w:color w:val="auto"/>
        </w:rPr>
      </w:pPr>
    </w:p>
    <w:p>
      <w:pPr>
        <w:ind w:left="1978" w:right="20" w:hanging="548"/>
        <w:spacing w:after="0" w:line="281" w:lineRule="auto"/>
        <w:tabs>
          <w:tab w:leader="none" w:pos="197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received at a proxy notification address not less than 48 hours (or such shorter time as the Board decides) before the time fixed for holding the meeting at which the appointee proposes to vote; or</w:t>
      </w:r>
    </w:p>
    <w:p>
      <w:pPr>
        <w:spacing w:after="0" w:line="68" w:lineRule="exact"/>
        <w:rPr>
          <w:rFonts w:ascii="Times New Roman" w:cs="Times New Roman" w:eastAsia="Times New Roman" w:hAnsi="Times New Roman"/>
          <w:sz w:val="18"/>
          <w:szCs w:val="18"/>
          <w:color w:val="auto"/>
        </w:rPr>
      </w:pPr>
    </w:p>
    <w:p>
      <w:pPr>
        <w:ind w:left="1978" w:right="120" w:hanging="548"/>
        <w:spacing w:after="0" w:line="260" w:lineRule="auto"/>
        <w:tabs>
          <w:tab w:leader="none" w:pos="197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or in the case of an adjourned meeting to be held more than 48 hours after the time fixed for holding the original meeting, must be received at a proxy notification address not less than 24 hours (or such shorter time as the Board decides) before the time fixed for the taking of the poll or, as the case may be, the time fixed for holding the adjourned meeting; or</w:t>
      </w:r>
    </w:p>
    <w:p>
      <w:pPr>
        <w:spacing w:after="0" w:line="114"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38"/>
          </w:cols>
          <w:pgMar w:left="442" w:top="270" w:right="519" w:bottom="1440" w:gutter="0" w:footer="0" w:header="0"/>
        </w:sectPr>
      </w:pPr>
    </w:p>
    <w:bookmarkStart w:id="87" w:name="page88"/>
    <w:bookmarkEnd w:id="87"/>
    <w:p>
      <w:pPr>
        <w:ind w:left="1980" w:right="380" w:hanging="548"/>
        <w:spacing w:after="0" w:line="265"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poll which is not taken at the meeting at which it is demanded but is taken 48 hours or less after it is demanded, or in the case of an adjourned meeting to be held 48 hours or less after the time fixed for holding the original meeting, must be received:</w:t>
      </w:r>
    </w:p>
    <w:p>
      <w:pPr>
        <w:spacing w:after="0" w:line="82" w:lineRule="exact"/>
        <w:rPr>
          <w:rFonts w:ascii="Times New Roman" w:cs="Times New Roman" w:eastAsia="Times New Roman" w:hAnsi="Times New Roman"/>
          <w:sz w:val="18"/>
          <w:szCs w:val="18"/>
          <w:color w:val="auto"/>
        </w:rPr>
      </w:pPr>
    </w:p>
    <w:p>
      <w:pPr>
        <w:ind w:left="2400" w:hanging="429"/>
        <w:spacing w:after="0"/>
        <w:tabs>
          <w:tab w:leader="none" w:pos="24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in accordance with (i) above;</w:t>
      </w:r>
    </w:p>
    <w:p>
      <w:pPr>
        <w:spacing w:after="0" w:line="130" w:lineRule="exact"/>
        <w:rPr>
          <w:rFonts w:ascii="Times New Roman" w:cs="Times New Roman" w:eastAsia="Times New Roman" w:hAnsi="Times New Roman"/>
          <w:sz w:val="18"/>
          <w:szCs w:val="18"/>
          <w:color w:val="auto"/>
        </w:rPr>
      </w:pPr>
    </w:p>
    <w:p>
      <w:pPr>
        <w:ind w:left="2400" w:right="100" w:hanging="429"/>
        <w:spacing w:after="0" w:line="281" w:lineRule="auto"/>
        <w:tabs>
          <w:tab w:leader="none" w:pos="24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 of the meeting or the secretary or any director at the meeting at which the poll is demanded or, as the case may be, at the original meeting; or</w:t>
      </w:r>
    </w:p>
    <w:p>
      <w:pPr>
        <w:spacing w:after="0" w:line="68" w:lineRule="exact"/>
        <w:rPr>
          <w:rFonts w:ascii="Times New Roman" w:cs="Times New Roman" w:eastAsia="Times New Roman" w:hAnsi="Times New Roman"/>
          <w:sz w:val="18"/>
          <w:szCs w:val="18"/>
          <w:color w:val="auto"/>
        </w:rPr>
      </w:pPr>
    </w:p>
    <w:p>
      <w:pPr>
        <w:ind w:left="2400" w:right="220" w:hanging="429"/>
        <w:spacing w:after="0" w:line="281" w:lineRule="auto"/>
        <w:tabs>
          <w:tab w:leader="none" w:pos="24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by such time as the chair of the meeting may direct at the meeting at which the poll is demanded.</w:t>
      </w:r>
    </w:p>
    <w:p>
      <w:pPr>
        <w:spacing w:after="0" w:line="55" w:lineRule="exact"/>
        <w:rPr>
          <w:sz w:val="20"/>
          <w:szCs w:val="20"/>
          <w:color w:val="auto"/>
        </w:rPr>
      </w:pPr>
    </w:p>
    <w:p>
      <w:pPr>
        <w:ind w:left="1440" w:right="80"/>
        <w:spacing w:after="0" w:line="281" w:lineRule="auto"/>
        <w:rPr>
          <w:sz w:val="20"/>
          <w:szCs w:val="20"/>
          <w:color w:val="auto"/>
        </w:rPr>
      </w:pPr>
      <w:r>
        <w:rPr>
          <w:rFonts w:ascii="Times New Roman" w:cs="Times New Roman" w:eastAsia="Times New Roman" w:hAnsi="Times New Roman"/>
          <w:sz w:val="18"/>
          <w:szCs w:val="18"/>
          <w:color w:val="auto"/>
        </w:rPr>
        <w:t>In calculating the periods mentioned, no account shall be taken of any part of a day that is not a working day (within the meaning of the 2006 Act).</w:t>
      </w:r>
    </w:p>
    <w:p>
      <w:pPr>
        <w:spacing w:after="0" w:line="68" w:lineRule="exact"/>
        <w:rPr>
          <w:sz w:val="20"/>
          <w:szCs w:val="20"/>
          <w:color w:val="auto"/>
        </w:rPr>
      </w:pPr>
    </w:p>
    <w:p>
      <w:pPr>
        <w:ind w:left="1420" w:right="80" w:hanging="433"/>
        <w:spacing w:after="0" w:line="265" w:lineRule="auto"/>
        <w:tabs>
          <w:tab w:leader="none" w:pos="14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but shall not be bound to, require reasonable evidence of the identity of the member and of the proxy, the member’s instructions (if any) as to how the proxy is to vote and, where the proxy is appointed by a person acting on behalf of the member, authority of that person to make the appointment.</w:t>
      </w:r>
    </w:p>
    <w:p>
      <w:pPr>
        <w:spacing w:after="0" w:line="82" w:lineRule="exact"/>
        <w:rPr>
          <w:rFonts w:ascii="Times New Roman" w:cs="Times New Roman" w:eastAsia="Times New Roman" w:hAnsi="Times New Roman"/>
          <w:sz w:val="18"/>
          <w:szCs w:val="18"/>
          <w:color w:val="auto"/>
        </w:rPr>
      </w:pPr>
    </w:p>
    <w:p>
      <w:pPr>
        <w:ind w:left="1420" w:hanging="433"/>
        <w:spacing w:after="0" w:line="265" w:lineRule="auto"/>
        <w:tabs>
          <w:tab w:leader="none" w:pos="14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either generally or in any particular case, to treat a proxy appointment as valid notwithstanding that the appointment or any of the information required under paragraph (b) above has not been received in accordance with the requirements of this article.</w:t>
      </w:r>
    </w:p>
    <w:p>
      <w:pPr>
        <w:spacing w:after="0" w:line="82" w:lineRule="exact"/>
        <w:rPr>
          <w:rFonts w:ascii="Times New Roman" w:cs="Times New Roman" w:eastAsia="Times New Roman" w:hAnsi="Times New Roman"/>
          <w:sz w:val="18"/>
          <w:szCs w:val="18"/>
          <w:color w:val="auto"/>
        </w:rPr>
      </w:pPr>
    </w:p>
    <w:p>
      <w:pPr>
        <w:ind w:left="1420" w:right="120" w:hanging="433"/>
        <w:spacing w:after="0" w:line="312" w:lineRule="auto"/>
        <w:tabs>
          <w:tab w:leader="none" w:pos="142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above, if the proxy appointment and any of the information required under paragraph (b) above, is not received in the manner set out in paragraph (a) above, the appointee shall not be entitled to vote in respect of the shares in question.</w:t>
      </w:r>
    </w:p>
    <w:p>
      <w:pPr>
        <w:spacing w:after="0" w:line="44" w:lineRule="exact"/>
        <w:rPr>
          <w:rFonts w:ascii="Times New Roman" w:cs="Times New Roman" w:eastAsia="Times New Roman" w:hAnsi="Times New Roman"/>
          <w:sz w:val="17"/>
          <w:szCs w:val="17"/>
          <w:color w:val="auto"/>
        </w:rPr>
      </w:pPr>
    </w:p>
    <w:p>
      <w:pPr>
        <w:ind w:left="1420" w:right="60" w:hanging="433"/>
        <w:spacing w:after="0" w:line="260" w:lineRule="auto"/>
        <w:tabs>
          <w:tab w:leader="none" w:pos="14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valid but differing proxy appointments are received in respect of the same share for use at the same meeting or on the same poll, the one which is last received (regardless of its date or of the date of its execution) shall be treated as replacing and revoking the others as regards that share and if the Company is unable to determine which was last received, none of them shall be treated as valid in respect of that share.</w:t>
      </w:r>
    </w:p>
    <w:p>
      <w:pPr>
        <w:spacing w:after="0" w:line="32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revocation of authority etc.</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line="258" w:lineRule="auto"/>
        <w:tabs>
          <w:tab w:leader="none" w:pos="14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or poll demanded by proxy or by a representative of a corporation shall be valid notwithstanding the previous termination of the authority of the person voting or demanding a poll or (until entered in the register) the transfer of the share in respect of which the appointment of the relevant person was made unless notice of the termination was received at a proxy notification address not less than six hours before the time fixed for holding the relevant meeting or adjourned meeting or, in the case of a poll not taken on the same day as the meeting or adjourned meeting, before the time fixed for taking the poll.</w:t>
      </w:r>
    </w:p>
    <w:p>
      <w:pPr>
        <w:spacing w:after="0" w:line="87" w:lineRule="exact"/>
        <w:rPr>
          <w:rFonts w:ascii="Times New Roman" w:cs="Times New Roman" w:eastAsia="Times New Roman" w:hAnsi="Times New Roman"/>
          <w:sz w:val="18"/>
          <w:szCs w:val="18"/>
          <w:color w:val="auto"/>
        </w:rPr>
      </w:pPr>
    </w:p>
    <w:p>
      <w:pPr>
        <w:ind w:left="1420" w:right="40" w:hanging="433"/>
        <w:spacing w:after="0" w:line="260" w:lineRule="auto"/>
        <w:tabs>
          <w:tab w:leader="none" w:pos="14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by a proxy or by a representative of a corporation shall be valid notwithstanding that the vote was not cast in accordance with any instructions given by the member by whom the proxy or representative of a corporation is appointed. The Company shall not be obliged to check whether the proxy or representative of a corporation has in fact voted in accordance with any such member’s instructions.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9" w:right="459" w:bottom="1440" w:gutter="0" w:footer="0" w:header="0"/>
        </w:sectPr>
      </w:pPr>
    </w:p>
    <w:bookmarkStart w:id="88" w:name="page89"/>
    <w:bookmarkEnd w:id="88"/>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w:t>
      </w:r>
    </w:p>
    <w:p>
      <w:pPr>
        <w:spacing w:after="0" w:line="251" w:lineRule="exact"/>
        <w:rPr>
          <w:sz w:val="20"/>
          <w:szCs w:val="20"/>
          <w:color w:val="auto"/>
        </w:rPr>
      </w:pPr>
    </w:p>
    <w:p>
      <w:pPr>
        <w:ind w:left="438" w:hanging="438"/>
        <w:spacing w:after="0"/>
        <w:tabs>
          <w:tab w:leader="none" w:pos="43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 of directors</w:t>
      </w:r>
    </w:p>
    <w:p>
      <w:pPr>
        <w:spacing w:after="0" w:line="134" w:lineRule="exact"/>
        <w:rPr>
          <w:rFonts w:ascii="Times New Roman" w:cs="Times New Roman" w:eastAsia="Times New Roman" w:hAnsi="Times New Roman"/>
          <w:sz w:val="18"/>
          <w:szCs w:val="18"/>
          <w:b w:val="1"/>
          <w:bCs w:val="1"/>
          <w:color w:val="auto"/>
        </w:rPr>
      </w:pPr>
    </w:p>
    <w:p>
      <w:pPr>
        <w:ind w:left="1418" w:right="240" w:hanging="433"/>
        <w:spacing w:after="0" w:line="281" w:lineRule="auto"/>
        <w:tabs>
          <w:tab w:leader="none" w:pos="141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unless otherwise determined by an ordinary resolution of the Company, be less than three but shall not be subject to a maximum number.</w:t>
      </w:r>
    </w:p>
    <w:p>
      <w:pPr>
        <w:spacing w:after="0" w:line="68"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classified, with respect to the term for which they severally hold office, into three classes, designated as Class I, Class II and Class III, respectively. Subject to article 60(c), each class shall consist, as nearly as may be possible, of one-third of the total number of directors. The directors shall be assigned to each class in accordance with a resolution or resolutions adopted by the Board, with the number of directors in each class to be divided as nearly equal as reasonably possible.</w:t>
      </w:r>
    </w:p>
    <w:p>
      <w:pPr>
        <w:spacing w:after="0" w:line="87" w:lineRule="exact"/>
        <w:rPr>
          <w:rFonts w:ascii="Times New Roman" w:cs="Times New Roman" w:eastAsia="Times New Roman" w:hAnsi="Times New Roman"/>
          <w:sz w:val="18"/>
          <w:szCs w:val="18"/>
          <w:color w:val="auto"/>
        </w:rPr>
      </w:pPr>
    </w:p>
    <w:p>
      <w:pPr>
        <w:ind w:left="1418" w:right="660" w:hanging="433"/>
        <w:spacing w:after="0" w:line="281" w:lineRule="auto"/>
        <w:tabs>
          <w:tab w:leader="none" w:pos="141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where there are ten (10) directors, three (3) directors shall be designated as Class I directors, three (3) directors designated as Class II directors, and four (4) directors designated as Class III directors.</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need not be members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need not be a member of the Company.</w:t>
      </w:r>
    </w:p>
    <w:p>
      <w:pPr>
        <w:spacing w:after="0" w:line="200" w:lineRule="exact"/>
        <w:rPr>
          <w:sz w:val="20"/>
          <w:szCs w:val="20"/>
          <w:color w:val="auto"/>
        </w:rPr>
      </w:pPr>
    </w:p>
    <w:p>
      <w:pPr>
        <w:spacing w:after="0" w:line="236"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ELECTION, RETIREMENT AND REMOVAL OF DIRECTORS</w:t>
      </w:r>
    </w:p>
    <w:p>
      <w:pPr>
        <w:spacing w:after="0" w:line="251" w:lineRule="exact"/>
        <w:rPr>
          <w:sz w:val="20"/>
          <w:szCs w:val="20"/>
          <w:color w:val="auto"/>
        </w:rPr>
      </w:pPr>
    </w:p>
    <w:p>
      <w:pPr>
        <w:ind w:left="438" w:hanging="438"/>
        <w:spacing w:after="0"/>
        <w:tabs>
          <w:tab w:leader="none" w:pos="43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 by the Company</w:t>
      </w:r>
    </w:p>
    <w:p>
      <w:pPr>
        <w:spacing w:after="0" w:line="134" w:lineRule="exact"/>
        <w:rPr>
          <w:rFonts w:ascii="Times New Roman" w:cs="Times New Roman" w:eastAsia="Times New Roman" w:hAnsi="Times New Roman"/>
          <w:sz w:val="18"/>
          <w:szCs w:val="18"/>
          <w:b w:val="1"/>
          <w:bCs w:val="1"/>
          <w:color w:val="auto"/>
        </w:rPr>
      </w:pPr>
    </w:p>
    <w:p>
      <w:pPr>
        <w:ind w:left="1418" w:right="400" w:hanging="433"/>
        <w:spacing w:after="0" w:line="265" w:lineRule="auto"/>
        <w:tabs>
          <w:tab w:leader="none" w:pos="14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 (including pursuant to article 50 where applicable) elect any person who is willing to act to be a director, either to fill a vacancy or as an additional director, but so that the total number of directors shall not exceed any maximum number fixed by or in accordance with these articles.</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director retiring in accordance with these articles) shall be elected or re-elected a director unless:</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recommended by the Board; or</w:t>
      </w:r>
    </w:p>
    <w:p>
      <w:pPr>
        <w:spacing w:after="0" w:line="130" w:lineRule="exact"/>
        <w:rPr>
          <w:rFonts w:ascii="Times New Roman" w:cs="Times New Roman" w:eastAsia="Times New Roman" w:hAnsi="Times New Roman"/>
          <w:sz w:val="18"/>
          <w:szCs w:val="18"/>
          <w:color w:val="auto"/>
        </w:rPr>
      </w:pPr>
    </w:p>
    <w:p>
      <w:pPr>
        <w:ind w:left="1978" w:right="20" w:hanging="548"/>
        <w:spacing w:after="0" w:line="258" w:lineRule="auto"/>
        <w:tabs>
          <w:tab w:leader="none" w:pos="197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42 days before the day appointed for the meeting there has been given to the Company, by a member (other than the person to be proposed) entitled to attend and vote at the meeting, notice of the member’s intention to propose a resolution for the appointment of that person, stating the particulars which would, if the person were so appointed, be required to be included in the Company’s register of directors and a notice executed by that person of the person’s willingness to be elected.</w:t>
      </w:r>
    </w:p>
    <w:p>
      <w:pPr>
        <w:spacing w:after="0" w:line="115"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38"/>
          </w:cols>
          <w:pgMar w:left="442" w:top="265" w:right="519" w:bottom="1440" w:gutter="0" w:footer="0" w:header="0"/>
        </w:sectPr>
      </w:pPr>
    </w:p>
    <w:bookmarkStart w:id="89" w:name="page90"/>
    <w:bookmarkEnd w:id="89"/>
    <w:p>
      <w:pPr>
        <w:ind w:left="1418" w:right="120" w:hanging="433"/>
        <w:spacing w:after="0" w:line="272" w:lineRule="auto"/>
        <w:tabs>
          <w:tab w:leader="none" w:pos="1418"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chairman of any general meeting at which resolutions contained any member’s notice referred to in article 62(b) are proposed may waive the notice requirements set out in article 62(b)and submit to the general meeting the name(s) of any person(s) duly qualified and willing to be elected as a director of the Company for election or re-election (as the case may be). Where article 62(b)</w:t>
      </w:r>
    </w:p>
    <w:p>
      <w:pPr>
        <w:ind w:left="1418" w:right="300" w:hanging="2"/>
        <w:spacing w:after="0" w:line="260" w:lineRule="auto"/>
        <w:tabs>
          <w:tab w:leader="none" w:pos="168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 and a director is proposed to be elected or re-elected by ordinary resolution of the Company, the holder(s) of a simple majority of the Ordinary Shares may waive the notice requirements set out in article 62(b)(ii) in writing.</w:t>
      </w:r>
    </w:p>
    <w:p>
      <w:pPr>
        <w:spacing w:after="0" w:line="324"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resolutions for election of each director</w:t>
      </w:r>
    </w:p>
    <w:p>
      <w:pPr>
        <w:spacing w:after="0" w:line="120" w:lineRule="exact"/>
        <w:rPr>
          <w:rFonts w:ascii="Times New Roman" w:cs="Times New Roman" w:eastAsia="Times New Roman" w:hAnsi="Times New Roman"/>
          <w:sz w:val="18"/>
          <w:szCs w:val="18"/>
          <w:b w:val="1"/>
          <w:bCs w:val="1"/>
          <w:color w:val="auto"/>
        </w:rPr>
      </w:pPr>
    </w:p>
    <w:p>
      <w:pPr>
        <w:ind w:left="438" w:right="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ordinary resolution for the election of a director shall relate to one named person and a single resolution for the election of two or more persons shall be void, unless at a general meeting a resolution that it shall be so proposed has been first agreed to by the meeting without any vote being cast against it.</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Board’s power to appoint directors</w:t>
      </w:r>
    </w:p>
    <w:p>
      <w:pPr>
        <w:spacing w:after="0" w:line="120" w:lineRule="exact"/>
        <w:rPr>
          <w:rFonts w:ascii="Times New Roman" w:cs="Times New Roman" w:eastAsia="Times New Roman" w:hAnsi="Times New Roman"/>
          <w:sz w:val="18"/>
          <w:szCs w:val="18"/>
          <w:b w:val="1"/>
          <w:bCs w:val="1"/>
          <w:color w:val="auto"/>
        </w:rPr>
      </w:pPr>
    </w:p>
    <w:p>
      <w:pPr>
        <w:ind w:left="438" w:right="1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appoint any person who is willing to act to be a director, either to fill a vacancy or by way of addition to their number, but so that the total number of directors shall not exceed any maximum number fixed by or in accordance with these articles.</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of directors</w:t>
      </w:r>
    </w:p>
    <w:p>
      <w:pPr>
        <w:spacing w:after="0" w:line="116" w:lineRule="exact"/>
        <w:rPr>
          <w:rFonts w:ascii="Times New Roman" w:cs="Times New Roman" w:eastAsia="Times New Roman" w:hAnsi="Times New Roman"/>
          <w:sz w:val="18"/>
          <w:szCs w:val="18"/>
          <w:b w:val="1"/>
          <w:bCs w:val="1"/>
          <w:color w:val="auto"/>
        </w:rPr>
      </w:pPr>
    </w:p>
    <w:p>
      <w:pPr>
        <w:ind w:left="1238" w:hanging="247"/>
        <w:spacing w:after="0"/>
        <w:tabs>
          <w:tab w:leader="none" w:pos="123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Class I, II and III directors appointed as at the date of the adoption of these articles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left="1978" w:hanging="548"/>
        <w:spacing w:after="0"/>
        <w:tabs>
          <w:tab w:leader="none" w:pos="19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shall serve for a term expiring at the first annual meeting of shareholders following the Adoption Date;</w:t>
      </w:r>
    </w:p>
    <w:p>
      <w:pPr>
        <w:spacing w:after="0" w:line="130" w:lineRule="exact"/>
        <w:rPr>
          <w:rFonts w:ascii="Times New Roman" w:cs="Times New Roman" w:eastAsia="Times New Roman" w:hAnsi="Times New Roman"/>
          <w:sz w:val="18"/>
          <w:szCs w:val="18"/>
          <w:color w:val="auto"/>
        </w:rPr>
      </w:pPr>
    </w:p>
    <w:p>
      <w:pPr>
        <w:ind w:left="1978" w:right="300" w:hanging="548"/>
        <w:spacing w:after="0" w:line="281" w:lineRule="auto"/>
        <w:tabs>
          <w:tab w:leader="none" w:pos="19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serve for a term expiring at the second annual meeting of shareholders following the Adoption Date; and</w:t>
      </w:r>
    </w:p>
    <w:p>
      <w:pPr>
        <w:spacing w:after="0" w:line="68" w:lineRule="exact"/>
        <w:rPr>
          <w:rFonts w:ascii="Times New Roman" w:cs="Times New Roman" w:eastAsia="Times New Roman" w:hAnsi="Times New Roman"/>
          <w:sz w:val="18"/>
          <w:szCs w:val="18"/>
          <w:color w:val="auto"/>
        </w:rPr>
      </w:pPr>
    </w:p>
    <w:p>
      <w:pPr>
        <w:ind w:left="1978" w:right="400" w:hanging="548"/>
        <w:spacing w:after="0" w:line="281" w:lineRule="auto"/>
        <w:tabs>
          <w:tab w:leader="none" w:pos="19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shall serve for a term expiring at the third annual meeting of shareholders following the Adoption Date.</w:t>
      </w:r>
    </w:p>
    <w:p>
      <w:pPr>
        <w:spacing w:after="0" w:line="55" w:lineRule="exact"/>
        <w:rPr>
          <w:sz w:val="20"/>
          <w:szCs w:val="20"/>
          <w:color w:val="auto"/>
        </w:rPr>
      </w:pPr>
    </w:p>
    <w:p>
      <w:pPr>
        <w:ind w:left="1438"/>
        <w:spacing w:after="0"/>
        <w:rPr>
          <w:sz w:val="20"/>
          <w:szCs w:val="20"/>
          <w:color w:val="auto"/>
        </w:rPr>
      </w:pPr>
      <w:r>
        <w:rPr>
          <w:rFonts w:ascii="Times New Roman" w:cs="Times New Roman" w:eastAsia="Times New Roman" w:hAnsi="Times New Roman"/>
          <w:sz w:val="18"/>
          <w:szCs w:val="18"/>
          <w:color w:val="auto"/>
        </w:rPr>
        <w:t>Each retiring director shall be eligible for re-election, and a director who is re-elected will be treated as continuing in office without</w:t>
      </w:r>
    </w:p>
    <w:p>
      <w:pPr>
        <w:spacing w:after="0" w:line="27" w:lineRule="exact"/>
        <w:rPr>
          <w:sz w:val="20"/>
          <w:szCs w:val="20"/>
          <w:color w:val="auto"/>
        </w:rPr>
      </w:pPr>
    </w:p>
    <w:p>
      <w:pPr>
        <w:ind w:left="1558" w:hanging="127"/>
        <w:spacing w:after="0"/>
        <w:tabs>
          <w:tab w:leader="none" w:pos="155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w:t>
      </w:r>
    </w:p>
    <w:p>
      <w:pPr>
        <w:spacing w:after="0" w:line="111" w:lineRule="exact"/>
        <w:rPr>
          <w:rFonts w:ascii="Times New Roman" w:cs="Times New Roman" w:eastAsia="Times New Roman" w:hAnsi="Times New Roman"/>
          <w:sz w:val="18"/>
          <w:szCs w:val="18"/>
          <w:color w:val="auto"/>
        </w:rPr>
      </w:pPr>
    </w:p>
    <w:p>
      <w:pPr>
        <w:ind w:left="1418" w:hanging="433"/>
        <w:spacing w:after="0" w:line="281" w:lineRule="auto"/>
        <w:tabs>
          <w:tab w:leader="none" w:pos="14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shareholders, directors re-elected or elected to succeed those directors whose terms expire shall be elected for a term of office to expire at the third succeeding annual meeting of shareholders after their re-election or election.</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retiring director who is not re-elected shall retain office until the close of the meeting at which that director retires.</w:t>
      </w:r>
    </w:p>
    <w:p>
      <w:pPr>
        <w:spacing w:after="0" w:line="130" w:lineRule="exact"/>
        <w:rPr>
          <w:rFonts w:ascii="Times New Roman" w:cs="Times New Roman" w:eastAsia="Times New Roman" w:hAnsi="Times New Roman"/>
          <w:sz w:val="18"/>
          <w:szCs w:val="18"/>
          <w:color w:val="auto"/>
        </w:rPr>
      </w:pPr>
    </w:p>
    <w:p>
      <w:pPr>
        <w:ind w:left="1418" w:right="120" w:hanging="433"/>
        <w:spacing w:after="0" w:line="281" w:lineRule="auto"/>
        <w:tabs>
          <w:tab w:leader="none" w:pos="14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provisions of this article 65 does not affect the Board’s right to remove any Initial Sponsor Director or the Independent Director pursuant to article 66.</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78"/>
          </w:cols>
          <w:pgMar w:left="442" w:top="270" w:right="479" w:bottom="1440" w:gutter="0" w:footer="0" w:header="0"/>
        </w:sectPr>
      </w:pPr>
    </w:p>
    <w:bookmarkStart w:id="90" w:name="page91"/>
    <w:bookmarkEnd w:id="90"/>
    <w:p>
      <w:pPr>
        <w:ind w:left="438" w:hanging="438"/>
        <w:spacing w:after="0"/>
        <w:tabs>
          <w:tab w:leader="none" w:pos="43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 of directors</w:t>
      </w:r>
    </w:p>
    <w:p>
      <w:pPr>
        <w:spacing w:after="0" w:line="134" w:lineRule="exact"/>
        <w:rPr>
          <w:rFonts w:ascii="Times New Roman" w:cs="Times New Roman" w:eastAsia="Times New Roman" w:hAnsi="Times New Roman"/>
          <w:sz w:val="18"/>
          <w:szCs w:val="18"/>
          <w:b w:val="1"/>
          <w:bCs w:val="1"/>
          <w:color w:val="auto"/>
        </w:rPr>
      </w:pPr>
    </w:p>
    <w:p>
      <w:pPr>
        <w:ind w:left="1418" w:right="280" w:hanging="433"/>
        <w:spacing w:after="0" w:line="260" w:lineRule="auto"/>
        <w:tabs>
          <w:tab w:leader="none" w:pos="141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period ended 12 months after the date of their appointment, or from the time the Sponsor Group ceases to Beneficially Own any Ordinary Shares, whichever occurs the earliest, the Board may remove each and any of the Initial Sponsor Directors and the Independent Director notwithstanding any prior re- election of such an Initial Sponsor Director or such Independent Director under the terms of these articles.</w:t>
      </w:r>
    </w:p>
    <w:p>
      <w:pPr>
        <w:spacing w:after="0" w:line="87" w:lineRule="exact"/>
        <w:rPr>
          <w:rFonts w:ascii="Times New Roman" w:cs="Times New Roman" w:eastAsia="Times New Roman" w:hAnsi="Times New Roman"/>
          <w:sz w:val="18"/>
          <w:szCs w:val="18"/>
          <w:color w:val="auto"/>
        </w:rPr>
      </w:pPr>
    </w:p>
    <w:p>
      <w:pPr>
        <w:ind w:left="1418" w:right="260" w:hanging="433"/>
        <w:spacing w:after="0" w:line="281" w:lineRule="auto"/>
        <w:tabs>
          <w:tab w:leader="none" w:pos="141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remove any director before that director’s period of office has expired notwithstanding anything in these articles or in any agreement between that director and the Company.</w:t>
      </w:r>
    </w:p>
    <w:p>
      <w:pPr>
        <w:spacing w:after="0" w:line="68" w:lineRule="exact"/>
        <w:rPr>
          <w:rFonts w:ascii="Times New Roman" w:cs="Times New Roman" w:eastAsia="Times New Roman" w:hAnsi="Times New Roman"/>
          <w:sz w:val="18"/>
          <w:szCs w:val="18"/>
          <w:color w:val="auto"/>
        </w:rPr>
      </w:pPr>
    </w:p>
    <w:p>
      <w:pPr>
        <w:ind w:left="1418" w:right="200" w:hanging="433"/>
        <w:spacing w:after="0" w:line="281" w:lineRule="auto"/>
        <w:tabs>
          <w:tab w:leader="none" w:pos="141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removal of a director under this article shall be without prejudice to any claim which such director may have for damages for breach of any agreement between that director and the Company.</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provisions of these articles for retirement or removal, 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1978" w:hanging="548"/>
        <w:spacing w:after="0"/>
        <w:tabs>
          <w:tab w:leader="none" w:pos="197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by law from being a director; or</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 or</w:t>
      </w:r>
    </w:p>
    <w:p>
      <w:pPr>
        <w:spacing w:after="0" w:line="130" w:lineRule="exact"/>
        <w:rPr>
          <w:rFonts w:ascii="Times New Roman" w:cs="Times New Roman" w:eastAsia="Times New Roman" w:hAnsi="Times New Roman"/>
          <w:sz w:val="18"/>
          <w:szCs w:val="18"/>
          <w:color w:val="auto"/>
        </w:rPr>
      </w:pPr>
    </w:p>
    <w:p>
      <w:pPr>
        <w:ind w:left="1978" w:right="140" w:hanging="548"/>
        <w:spacing w:after="0" w:line="265" w:lineRule="auto"/>
        <w:tabs>
          <w:tab w:leader="none" w:pos="197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has examined the director gives a written opinion to the Company stating that the director has become physically or mentally incapable of acting as a director and may remain so for more than three months and the Board resolves that the director’s office be vacated; or</w:t>
      </w:r>
    </w:p>
    <w:p>
      <w:pPr>
        <w:spacing w:after="0" w:line="82" w:lineRule="exact"/>
        <w:rPr>
          <w:rFonts w:ascii="Times New Roman" w:cs="Times New Roman" w:eastAsia="Times New Roman" w:hAnsi="Times New Roman"/>
          <w:sz w:val="18"/>
          <w:szCs w:val="18"/>
          <w:color w:val="auto"/>
        </w:rPr>
      </w:pPr>
    </w:p>
    <w:p>
      <w:pPr>
        <w:ind w:left="1978" w:hanging="548"/>
        <w:spacing w:after="0" w:line="281" w:lineRule="auto"/>
        <w:tabs>
          <w:tab w:leader="none" w:pos="197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more than six months the director is absent, without special leave of absence from the Board, from board meetings held during that period and the Board resolves that the director’s office be vacated; or</w:t>
      </w:r>
    </w:p>
    <w:p>
      <w:pPr>
        <w:spacing w:after="0" w:line="68" w:lineRule="exact"/>
        <w:rPr>
          <w:rFonts w:ascii="Times New Roman" w:cs="Times New Roman" w:eastAsia="Times New Roman" w:hAnsi="Times New Roman"/>
          <w:sz w:val="18"/>
          <w:szCs w:val="18"/>
          <w:color w:val="auto"/>
        </w:rPr>
      </w:pPr>
    </w:p>
    <w:p>
      <w:pPr>
        <w:ind w:left="1978" w:right="140" w:hanging="548"/>
        <w:spacing w:after="0" w:line="281" w:lineRule="auto"/>
        <w:tabs>
          <w:tab w:leader="none" w:pos="197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to the Company notice of the director’s wish to resign, in which event the director shall vacate that office on the receipt of that notice by the Company or at such later time as is specified in the notice.</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Disqualification of a director</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director shall be vacated in any of the following circumstances:</w:t>
      </w:r>
    </w:p>
    <w:p>
      <w:pPr>
        <w:spacing w:after="0" w:line="130" w:lineRule="exact"/>
        <w:rPr>
          <w:rFonts w:ascii="Times New Roman" w:cs="Times New Roman" w:eastAsia="Times New Roman" w:hAnsi="Times New Roman"/>
          <w:sz w:val="18"/>
          <w:szCs w:val="18"/>
          <w:b w:val="1"/>
          <w:bCs w:val="1"/>
          <w:color w:val="auto"/>
        </w:rPr>
      </w:pPr>
    </w:p>
    <w:p>
      <w:pPr>
        <w:ind w:left="1418" w:right="680" w:hanging="433"/>
        <w:spacing w:after="0" w:line="281" w:lineRule="auto"/>
        <w:tabs>
          <w:tab w:leader="none" w:pos="141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or prohibited from being a director under any provisions of the Statutes or these articles or (if applicable) the NASDAQ Rules;</w:t>
      </w:r>
    </w:p>
    <w:p>
      <w:pPr>
        <w:spacing w:after="0" w:line="68" w:lineRule="exact"/>
        <w:rPr>
          <w:rFonts w:ascii="Times New Roman" w:cs="Times New Roman" w:eastAsia="Times New Roman" w:hAnsi="Times New Roman"/>
          <w:sz w:val="18"/>
          <w:szCs w:val="18"/>
          <w:color w:val="auto"/>
        </w:rPr>
      </w:pPr>
    </w:p>
    <w:p>
      <w:pPr>
        <w:ind w:left="1418" w:right="200" w:hanging="433"/>
        <w:spacing w:after="0" w:line="281" w:lineRule="auto"/>
        <w:tabs>
          <w:tab w:leader="none" w:pos="141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gives to the Company notice executed by him of his wish to resign, in which event he shall vacate that office on the delivery of that notice to the Company or at such later time as is specified in the notice;</w:t>
      </w:r>
    </w:p>
    <w:p>
      <w:pPr>
        <w:spacing w:after="0" w:line="95"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58"/>
          </w:cols>
          <w:pgMar w:left="442" w:top="265" w:right="499" w:bottom="1440" w:gutter="0" w:footer="0" w:header="0"/>
        </w:sectPr>
      </w:pPr>
    </w:p>
    <w:bookmarkStart w:id="91" w:name="page92"/>
    <w:bookmarkEnd w:id="91"/>
    <w:p>
      <w:pPr>
        <w:ind w:left="1418" w:right="40" w:hanging="433"/>
        <w:spacing w:after="0" w:line="312" w:lineRule="auto"/>
        <w:tabs>
          <w:tab w:leader="none" w:pos="1418"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he becomes bankrupt, insolvent or makes any arrangement or composition with his creditors generally or shall apply to the court for an interim order under section 253 of the Insolvency Act 1986 in connection with a voluntary arrangement under that Act; or</w:t>
      </w:r>
    </w:p>
    <w:p>
      <w:pPr>
        <w:spacing w:after="0" w:line="44" w:lineRule="exact"/>
        <w:rPr>
          <w:rFonts w:ascii="Times New Roman" w:cs="Times New Roman" w:eastAsia="Times New Roman" w:hAnsi="Times New Roman"/>
          <w:sz w:val="17"/>
          <w:szCs w:val="17"/>
          <w:color w:val="auto"/>
        </w:rPr>
      </w:pPr>
    </w:p>
    <w:p>
      <w:pPr>
        <w:ind w:left="1418" w:right="80" w:hanging="433"/>
        <w:spacing w:after="0" w:line="260" w:lineRule="auto"/>
        <w:tabs>
          <w:tab w:leader="none" w:pos="14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or may be, suffering from mental disorder and/or either he is admitted to hospital for treatment, or an order is made by a court (whether in the United Kingdom or elsewhere) having jurisdiction in matters concerning mental disorder for his detention or for the appointment of a receiver, curator bonis or other person to exercise powers with respect to his property or affairs and, in either case, the Board resolves that his office be vacated; or</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appointed for a fixed term, the term expires or his office as a director is vacated under article 67; or</w:t>
      </w:r>
    </w:p>
    <w:p>
      <w:pPr>
        <w:spacing w:after="0" w:line="130" w:lineRule="exact"/>
        <w:rPr>
          <w:rFonts w:ascii="Times New Roman" w:cs="Times New Roman" w:eastAsia="Times New Roman" w:hAnsi="Times New Roman"/>
          <w:sz w:val="18"/>
          <w:szCs w:val="18"/>
          <w:color w:val="auto"/>
        </w:rPr>
      </w:pPr>
    </w:p>
    <w:p>
      <w:pPr>
        <w:ind w:left="1418" w:right="60" w:hanging="433"/>
        <w:spacing w:after="0" w:line="281" w:lineRule="auto"/>
        <w:tabs>
          <w:tab w:leader="none" w:pos="14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absent from meetings of the Board for six consecutive months without leave and his alternate director (if any) has not, during such period, attended in his place and the Board resolves that his office be vacated; or</w:t>
      </w:r>
    </w:p>
    <w:p>
      <w:pPr>
        <w:spacing w:after="0" w:line="68" w:lineRule="exact"/>
        <w:rPr>
          <w:rFonts w:ascii="Times New Roman" w:cs="Times New Roman" w:eastAsia="Times New Roman" w:hAnsi="Times New Roman"/>
          <w:sz w:val="18"/>
          <w:szCs w:val="18"/>
          <w:color w:val="auto"/>
        </w:rPr>
      </w:pPr>
    </w:p>
    <w:p>
      <w:pPr>
        <w:ind w:left="1418" w:right="20" w:hanging="433"/>
        <w:spacing w:after="0" w:line="260" w:lineRule="auto"/>
        <w:tabs>
          <w:tab w:leader="none" w:pos="14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from office by notice given to him and executed by all of his co- directors (or their alternates), but so that in the case of a director holding an executive office which automatically determines on his ceasing to be a director such removal shall be deemed an act of the Company and shall have effect without prejudice to any claim for damages in respect of the consequent termination of his executive office.</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directors</w:t>
      </w:r>
    </w:p>
    <w:p>
      <w:pPr>
        <w:spacing w:after="0" w:line="134" w:lineRule="exact"/>
        <w:rPr>
          <w:rFonts w:ascii="Times New Roman" w:cs="Times New Roman" w:eastAsia="Times New Roman" w:hAnsi="Times New Roman"/>
          <w:sz w:val="18"/>
          <w:szCs w:val="18"/>
          <w:b w:val="1"/>
          <w:bCs w:val="1"/>
          <w:color w:val="auto"/>
        </w:rPr>
      </w:pPr>
    </w:p>
    <w:p>
      <w:pPr>
        <w:ind w:left="1418" w:right="140" w:hanging="433"/>
        <w:spacing w:after="0" w:line="260" w:lineRule="auto"/>
        <w:tabs>
          <w:tab w:leader="none" w:pos="141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one or more directors to hold any executive office under the Company (including that of chair, chief executive or managing director) for such period (subject to the Statutes) and on such terms as it may decide and may revoke or terminate any appointment so made without prejudice to any claim for damages for breach of any contract of service between the director and the Company.</w:t>
      </w:r>
    </w:p>
    <w:p>
      <w:pPr>
        <w:spacing w:after="0" w:line="87" w:lineRule="exact"/>
        <w:rPr>
          <w:rFonts w:ascii="Times New Roman" w:cs="Times New Roman" w:eastAsia="Times New Roman" w:hAnsi="Times New Roman"/>
          <w:sz w:val="18"/>
          <w:szCs w:val="18"/>
          <w:color w:val="auto"/>
        </w:rPr>
      </w:pPr>
    </w:p>
    <w:p>
      <w:pPr>
        <w:ind w:left="1418" w:right="80" w:hanging="433"/>
        <w:spacing w:after="0" w:line="312" w:lineRule="auto"/>
        <w:tabs>
          <w:tab w:leader="none" w:pos="1418"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remuneration of a director appointed to any executive office shall be fixed by the Board and may be by way of salary, commission, participation in profits or otherwise and either in addition to or inclusive of that director’s remuneration as a director.</w:t>
      </w:r>
    </w:p>
    <w:p>
      <w:pPr>
        <w:spacing w:after="0" w:line="44" w:lineRule="exact"/>
        <w:rPr>
          <w:rFonts w:ascii="Times New Roman" w:cs="Times New Roman" w:eastAsia="Times New Roman" w:hAnsi="Times New Roman"/>
          <w:sz w:val="17"/>
          <w:szCs w:val="17"/>
          <w:color w:val="auto"/>
        </w:rPr>
      </w:pPr>
    </w:p>
    <w:p>
      <w:pPr>
        <w:ind w:left="1418" w:hanging="433"/>
        <w:spacing w:after="0" w:line="256" w:lineRule="auto"/>
        <w:tabs>
          <w:tab w:leader="none" w:pos="141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as executive chair, chief executive or managing director shall automatically cease to hold that office if that person ceases to be a director but without prejudice to any claim for damages for breach of any contract of service between that director and the Company. A director appointed to any other executive office shall not automatically cease to hold that office if that person ceases to be a director unless the contract or any resolution under which the director holds office expressly states that the director shall, in which case that cessation shall be without prejudice to any claim for damages for breach of any contract of service between that director and the Company.</w:t>
      </w:r>
    </w:p>
    <w:p>
      <w:pPr>
        <w:spacing w:after="0" w:line="118"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58"/>
          </w:cols>
          <w:pgMar w:left="442" w:top="269" w:right="5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ALTERNATE DIRECTORS</w:t>
      </w:r>
    </w:p>
    <w:p>
      <w:pPr>
        <w:spacing w:after="0" w:line="251" w:lineRule="exact"/>
        <w:rPr>
          <w:sz w:val="20"/>
          <w:szCs w:val="20"/>
          <w:color w:val="auto"/>
        </w:rPr>
      </w:pPr>
    </w:p>
    <w:p>
      <w:pPr>
        <w:ind w:left="440" w:hanging="438"/>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appoint alternate directors</w:t>
      </w:r>
    </w:p>
    <w:p>
      <w:pPr>
        <w:spacing w:after="0" w:line="134" w:lineRule="exact"/>
        <w:rPr>
          <w:rFonts w:ascii="Times New Roman" w:cs="Times New Roman" w:eastAsia="Times New Roman" w:hAnsi="Times New Roman"/>
          <w:sz w:val="18"/>
          <w:szCs w:val="18"/>
          <w:b w:val="1"/>
          <w:bCs w:val="1"/>
          <w:color w:val="auto"/>
        </w:rPr>
      </w:pPr>
    </w:p>
    <w:p>
      <w:pPr>
        <w:ind w:left="1420" w:right="120" w:hanging="433"/>
        <w:spacing w:after="0" w:line="260" w:lineRule="auto"/>
        <w:tabs>
          <w:tab w:leader="none" w:pos="1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 appoint any person (including another director) to be his alternate director, and may remove him from that office. The appointment as an alternate director of any person who is not himself a director shall be subject to the approval of the majority of the other directors or a resolution of the Board. Any of the directors may appoint the same alternate director.</w:t>
      </w:r>
    </w:p>
    <w:p>
      <w:pPr>
        <w:spacing w:after="0" w:line="32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Formalities for appointment and termination</w:t>
      </w:r>
    </w:p>
    <w:p>
      <w:pPr>
        <w:spacing w:after="0" w:line="134" w:lineRule="exact"/>
        <w:rPr>
          <w:rFonts w:ascii="Times New Roman" w:cs="Times New Roman" w:eastAsia="Times New Roman" w:hAnsi="Times New Roman"/>
          <w:sz w:val="18"/>
          <w:szCs w:val="18"/>
          <w:b w:val="1"/>
          <w:bCs w:val="1"/>
          <w:color w:val="auto"/>
        </w:rPr>
      </w:pPr>
    </w:p>
    <w:p>
      <w:pPr>
        <w:ind w:left="1420" w:right="40" w:hanging="433"/>
        <w:spacing w:after="0" w:line="258" w:lineRule="auto"/>
        <w:tabs>
          <w:tab w:leader="none" w:pos="1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appointment and removal of an alternate director shall be made by notice to the Company executed by the director making the appointment or removal (or in any other manner approved by the Board) and shall, be effective (subject to article 72) on receipt of such notice by the Company which shall, in the case of a notice contained in an instrument, be at the office or at a board meeting or in the case of a notice contained in an electronic communication be at such address (if any) for the time being notified by or on behalf of the Company for the purpose.</w:t>
      </w:r>
    </w:p>
    <w:p>
      <w:pPr>
        <w:spacing w:after="0" w:line="87" w:lineRule="exact"/>
        <w:rPr>
          <w:rFonts w:ascii="Times New Roman" w:cs="Times New Roman" w:eastAsia="Times New Roman" w:hAnsi="Times New Roman"/>
          <w:sz w:val="18"/>
          <w:szCs w:val="18"/>
          <w:color w:val="auto"/>
        </w:rPr>
      </w:pPr>
    </w:p>
    <w:p>
      <w:pPr>
        <w:ind w:left="1420" w:hanging="433"/>
        <w:spacing w:after="0" w:line="260" w:lineRule="auto"/>
        <w:tabs>
          <w:tab w:leader="none" w:pos="1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alternate director shall determine on the happening of any event which, if he were a director, would cause him to vacate such office or if his appointor ceases to be a director (otherwise than by retirement by rotation or otherwise at a general meeting at which he is re-appointed or deemed to be re- appointed) or if the approval of the directors to his appointment is withdrawn.</w:t>
      </w:r>
    </w:p>
    <w:p>
      <w:pPr>
        <w:spacing w:after="0" w:line="87"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may, by giving notice to the Company, executed by him, resign such appointment.</w:t>
      </w:r>
    </w:p>
    <w:p>
      <w:pPr>
        <w:spacing w:after="0" w:line="3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to receive notices</w:t>
      </w:r>
    </w:p>
    <w:p>
      <w:pPr>
        <w:spacing w:after="0" w:line="120" w:lineRule="exact"/>
        <w:rPr>
          <w:rFonts w:ascii="Times New Roman" w:cs="Times New Roman" w:eastAsia="Times New Roman" w:hAnsi="Times New Roman"/>
          <w:sz w:val="18"/>
          <w:szCs w:val="18"/>
          <w:b w:val="1"/>
          <w:bCs w:val="1"/>
          <w:color w:val="auto"/>
        </w:rPr>
      </w:pPr>
    </w:p>
    <w:p>
      <w:pPr>
        <w:ind w:left="44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receive notices of board meetings and of all meetings of committees of which the director appointing him is a member to the same extent as the director appointing him and shall be entitled to attend and vote as a director and be counted for the purposes of a quorum at any such meeting at which the director appointing him is not personally present, and generally at such meeting, to exercise and discharge all the functions, powers and duties of his appointor as a director. For the purposes of the proceedings at such meeting, these articles shall apply as if he (instead of his appointor) were a director. If he shall himself be a director, or shall attend any such meeting as an alternate for more than one director, his voting rights shall be cumulative but he shall count as only one for the purpose of determining whether a quorum is present. If his appointor is for the time being absent from the United Kingdom, or temporarily unable to act through ill-health or disability, his signature to any resolution in writing of the directors shall be as effective as the signature of his appointor. An alternate director shall not (save as aforesaid) have power to act as a director nor shall he be deemed to be a director for the purposes of these articles.</w:t>
      </w:r>
    </w:p>
    <w:p>
      <w:pPr>
        <w:spacing w:after="0" w:line="3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may be paid expenses but not remuneration</w:t>
      </w:r>
    </w:p>
    <w:p>
      <w:pPr>
        <w:spacing w:after="0" w:line="120" w:lineRule="exact"/>
        <w:rPr>
          <w:rFonts w:ascii="Times New Roman" w:cs="Times New Roman" w:eastAsia="Times New Roman" w:hAnsi="Times New Roman"/>
          <w:sz w:val="18"/>
          <w:szCs w:val="18"/>
          <w:b w:val="1"/>
          <w:bCs w:val="1"/>
          <w:color w:val="auto"/>
        </w:rPr>
      </w:pPr>
    </w:p>
    <w:p>
      <w:pPr>
        <w:jc w:val="both"/>
        <w:ind w:left="440" w:right="20"/>
        <w:spacing w:after="0" w:line="28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An alternate director shall be entitled to be repaid expenses, and to be indemnified, by the Company to the same extent as if he were a director, but he shall not be entitled to receive from the Company any remuneration in respect of his services as an alternate director, except such proportion (if any) of the remuneration otherwise payable to his appointor as such appointor may by notice to the Company from time to time direct.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93" w:name="page94"/>
    <w:bookmarkEnd w:id="93"/>
    <w:p>
      <w:pPr>
        <w:ind w:left="438" w:hanging="438"/>
        <w:spacing w:after="0"/>
        <w:tabs>
          <w:tab w:leader="none" w:pos="438"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Alternate not an agent of appointor</w:t>
      </w:r>
    </w:p>
    <w:p>
      <w:pPr>
        <w:spacing w:after="0" w:line="120" w:lineRule="exact"/>
        <w:rPr>
          <w:rFonts w:ascii="Times New Roman" w:cs="Times New Roman" w:eastAsia="Times New Roman" w:hAnsi="Times New Roman"/>
          <w:sz w:val="18"/>
          <w:szCs w:val="18"/>
          <w:b w:val="1"/>
          <w:bCs w:val="1"/>
          <w:color w:val="auto"/>
        </w:rPr>
      </w:pPr>
    </w:p>
    <w:p>
      <w:pPr>
        <w:jc w:val="both"/>
        <w:ind w:left="438" w:right="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in these articles, an alternate director shall be subject in all respects to these articles relating to directors. Accordingly, except where the context otherwise requires, a reference to a director shall be deemed to include a reference to an alternate director. An alternate director shall be responsible to the Company for his own acts and defaults and he shall not be deemed to be the agent of the director appointing him.</w:t>
      </w:r>
    </w:p>
    <w:p>
      <w:pPr>
        <w:spacing w:after="0" w:line="39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REMUNERATION, EXPENSES, PENSIONS AND OTHER BENEFITS</w:t>
      </w:r>
    </w:p>
    <w:p>
      <w:pPr>
        <w:spacing w:after="0" w:line="251" w:lineRule="exact"/>
        <w:rPr>
          <w:sz w:val="20"/>
          <w:szCs w:val="20"/>
          <w:color w:val="auto"/>
        </w:rPr>
      </w:pPr>
    </w:p>
    <w:p>
      <w:pPr>
        <w:ind w:left="438" w:hanging="438"/>
        <w:spacing w:after="0"/>
        <w:tabs>
          <w:tab w:leader="none" w:pos="43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remuneration</w:t>
      </w:r>
    </w:p>
    <w:p>
      <w:pPr>
        <w:spacing w:after="0" w:line="134" w:lineRule="exact"/>
        <w:rPr>
          <w:rFonts w:ascii="Times New Roman" w:cs="Times New Roman" w:eastAsia="Times New Roman" w:hAnsi="Times New Roman"/>
          <w:sz w:val="18"/>
          <w:szCs w:val="18"/>
          <w:b w:val="1"/>
          <w:bCs w:val="1"/>
          <w:color w:val="auto"/>
        </w:rPr>
      </w:pPr>
    </w:p>
    <w:p>
      <w:pPr>
        <w:ind w:left="1418" w:right="360" w:hanging="433"/>
        <w:spacing w:after="0" w:line="281" w:lineRule="auto"/>
        <w:tabs>
          <w:tab w:leader="none" w:pos="14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performs any special or extra services to or at the request of the Company.</w:t>
      </w:r>
    </w:p>
    <w:p>
      <w:pPr>
        <w:spacing w:after="0" w:line="68" w:lineRule="exact"/>
        <w:rPr>
          <w:rFonts w:ascii="Times New Roman" w:cs="Times New Roman" w:eastAsia="Times New Roman" w:hAnsi="Times New Roman"/>
          <w:sz w:val="18"/>
          <w:szCs w:val="18"/>
          <w:color w:val="auto"/>
        </w:rPr>
      </w:pPr>
    </w:p>
    <w:p>
      <w:pPr>
        <w:ind w:left="1418" w:right="100" w:hanging="433"/>
        <w:spacing w:after="0" w:line="281" w:lineRule="auto"/>
        <w:tabs>
          <w:tab w:leader="none" w:pos="14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special remuneration may be paid by way of lump sum, salary, commission, participation in profits or otherwise as the Board may decide in addition to any remuneration payable under or pursuant to any other of these articles.</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20" w:lineRule="exact"/>
        <w:rPr>
          <w:rFonts w:ascii="Times New Roman" w:cs="Times New Roman" w:eastAsia="Times New Roman" w:hAnsi="Times New Roman"/>
          <w:sz w:val="18"/>
          <w:szCs w:val="18"/>
          <w:b w:val="1"/>
          <w:bCs w:val="1"/>
          <w:color w:val="auto"/>
        </w:rPr>
      </w:pPr>
    </w:p>
    <w:p>
      <w:pPr>
        <w:ind w:left="43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shall be paid out of the funds of the Company all travelling, hotel and other expenses properly incurred by the director in and about the discharge of the director’s duties, including the director’s expenses of travelling to and from board meetings, committee meetings and general meetings. Subject to any guidelines and procedures established from time to time by the Board, a director may also be paid out of the funds of the Company all expenses incurred by the director in obtaining professional advice in connection with the affairs of the Company or the discharge of the director’s duties as a director.</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Pensions and other benefits</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all the powers of the Company to:</w:t>
      </w:r>
    </w:p>
    <w:p>
      <w:pPr>
        <w:spacing w:after="0" w:line="130" w:lineRule="exact"/>
        <w:rPr>
          <w:rFonts w:ascii="Times New Roman" w:cs="Times New Roman" w:eastAsia="Times New Roman" w:hAnsi="Times New Roman"/>
          <w:sz w:val="18"/>
          <w:szCs w:val="18"/>
          <w:b w:val="1"/>
          <w:bCs w:val="1"/>
          <w:color w:val="auto"/>
        </w:rPr>
      </w:pPr>
    </w:p>
    <w:p>
      <w:pPr>
        <w:ind w:left="1418" w:hanging="433"/>
        <w:spacing w:after="0" w:line="255" w:lineRule="auto"/>
        <w:tabs>
          <w:tab w:leader="none" w:pos="141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provide, arrange or procure the grant of pensions or other retirement benefits, death, disability or sickness benefits, health, accident and other insurances or other such benefits, allowances, gratuities or insurances, including in relation to the termination of employment, to or for the benefit of any person who is or has been at any time a director of the Company or in the employment or service of the Company or of any body corporate which is or was associated with the Company or of the predecessors in business of the Company or any such associated body corporate, or the relatives or dependants of any such person. For that purpose, the Board may procure the establishment and maintenance of, or participation in, or contribution to, any pension fund, scheme or arrangement and the payment of any insurance premiums;</w:t>
      </w:r>
    </w:p>
    <w:p>
      <w:pPr>
        <w:spacing w:after="0" w:line="119"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18"/>
          </w:cols>
          <w:pgMar w:left="442" w:top="265" w:right="539" w:bottom="1440" w:gutter="0" w:footer="0" w:header="0"/>
        </w:sectPr>
      </w:pPr>
    </w:p>
    <w:bookmarkStart w:id="94" w:name="page95"/>
    <w:bookmarkEnd w:id="94"/>
    <w:p>
      <w:pPr>
        <w:ind w:left="1418" w:right="40" w:hanging="433"/>
        <w:spacing w:after="0" w:line="260" w:lineRule="auto"/>
        <w:tabs>
          <w:tab w:leader="none" w:pos="14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establish, maintain, adopt and enable participation in any profit sharing or incentive scheme including shares, share options or cash or any similar schemes for the benefit of any director or employee of the Company or of any associated body corporate, and to lend money to any such director or employee or to trustees on their behalf to enable any such schemes to be established, maintained or adopted; and</w:t>
      </w:r>
    </w:p>
    <w:p>
      <w:pPr>
        <w:spacing w:after="0" w:line="87"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subscribe to any institution or association which may be for the benefit of the Company or of any associated body corporate or any directors or employees of the Company or associated body corporate or their relatives or dependants or connected with any town or place where the Company or an associated body corporate carries on business, and to support and subscribe to any charitable or public object whatsoever.</w:t>
      </w:r>
    </w:p>
    <w:p>
      <w:pPr>
        <w:spacing w:after="0" w:line="394"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POWERS OF THE BOARD</w:t>
      </w:r>
    </w:p>
    <w:p>
      <w:pPr>
        <w:spacing w:after="0" w:line="251" w:lineRule="exact"/>
        <w:rPr>
          <w:sz w:val="20"/>
          <w:szCs w:val="20"/>
          <w:color w:val="auto"/>
        </w:rPr>
      </w:pPr>
    </w:p>
    <w:p>
      <w:pPr>
        <w:ind w:left="438" w:hanging="438"/>
        <w:spacing w:after="0"/>
        <w:tabs>
          <w:tab w:leader="none" w:pos="438"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powers of the Board to manage the Company’s business</w:t>
      </w:r>
    </w:p>
    <w:p>
      <w:pPr>
        <w:spacing w:after="0" w:line="134" w:lineRule="exact"/>
        <w:rPr>
          <w:rFonts w:ascii="Times New Roman" w:cs="Times New Roman" w:eastAsia="Times New Roman" w:hAnsi="Times New Roman"/>
          <w:sz w:val="18"/>
          <w:szCs w:val="18"/>
          <w:b w:val="1"/>
          <w:bCs w:val="1"/>
          <w:color w:val="auto"/>
        </w:rPr>
      </w:pPr>
    </w:p>
    <w:p>
      <w:pPr>
        <w:ind w:left="1418" w:right="100" w:hanging="433"/>
        <w:spacing w:after="0" w:line="265" w:lineRule="auto"/>
        <w:tabs>
          <w:tab w:leader="none" w:pos="141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Board which may exercise all the powers of the Company, subject to the Statutes, these articles and any resolution of the Company. No resolution or alteration of these articles shall invalidate any prior act of the Board which would have been valid if the resolution had not been passed or the alteration had not been made.</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given by this article shall not be limited by any special authority or power given to the Board by any other article.</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act notwithstanding vacancy</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the sole continuing director at any time may act notwithstanding any vacancy in their number; but, if the number of directors is less than the minimum number of directors fixed by or in accordance with these articles, the continuing directors or director may act for the purpose of filling up vacancies or calling a general meeting of the Company, but not for any other purpose. If no director is able or willing to act, then any two members may summon a general meeting for the purpose of appointing directors.</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for employees</w:t>
      </w:r>
    </w:p>
    <w:p>
      <w:pPr>
        <w:spacing w:after="0" w:line="120" w:lineRule="exact"/>
        <w:rPr>
          <w:rFonts w:ascii="Times New Roman" w:cs="Times New Roman" w:eastAsia="Times New Roman" w:hAnsi="Times New Roman"/>
          <w:sz w:val="18"/>
          <w:szCs w:val="18"/>
          <w:b w:val="1"/>
          <w:bCs w:val="1"/>
          <w:color w:val="auto"/>
        </w:rPr>
      </w:pPr>
    </w:p>
    <w:p>
      <w:pPr>
        <w:ind w:left="438" w:right="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any of the powers conferred by the Statutes to make provision for the benefit of any persons employed or formerly employed by the Company or any of its subsidiaries (other than a director or former director or shadow director) in connection with the cessation or the transfer to any person of the whole or part of the undertaking of the Company or any of its subsidiaries.</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borrow money</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Board may exercise all the powers of the Company to borrow money and to mortgage or charge all or any part of its undertaking, property and assets (both present and future) and uncalled capital and to issue debentures and other securities, whether outright or as collateral security for any debt, liability or obligation of the Company or of any third party.</w:t>
      </w:r>
    </w:p>
    <w:p>
      <w:pPr>
        <w:spacing w:after="0" w:line="110"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18"/>
          </w:cols>
          <w:pgMar w:left="442" w:top="269" w:right="539" w:bottom="1440" w:gutter="0" w:footer="0" w:header="0"/>
        </w:sectPr>
      </w:pPr>
    </w:p>
    <w:bookmarkStart w:id="95" w:name="page96"/>
    <w:bookmarkEnd w:id="95"/>
    <w:p>
      <w:pPr>
        <w:ind w:left="438" w:hanging="438"/>
        <w:spacing w:after="0"/>
        <w:tabs>
          <w:tab w:leader="none" w:pos="438"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to change the name of the Company</w:t>
      </w:r>
    </w:p>
    <w:p>
      <w:pPr>
        <w:spacing w:after="0" w:line="120" w:lineRule="exact"/>
        <w:rPr>
          <w:rFonts w:ascii="Times New Roman" w:cs="Times New Roman" w:eastAsia="Times New Roman" w:hAnsi="Times New Roman"/>
          <w:sz w:val="18"/>
          <w:szCs w:val="18"/>
          <w:b w:val="1"/>
          <w:bCs w:val="1"/>
          <w:color w:val="auto"/>
        </w:rPr>
      </w:pPr>
    </w:p>
    <w:p>
      <w:pPr>
        <w:ind w:left="43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Company may change its name by special resolution.</w:t>
      </w:r>
    </w:p>
    <w:p>
      <w:pPr>
        <w:spacing w:after="0" w:line="200" w:lineRule="exact"/>
        <w:rPr>
          <w:sz w:val="20"/>
          <w:szCs w:val="20"/>
          <w:color w:val="auto"/>
        </w:rPr>
      </w:pPr>
    </w:p>
    <w:p>
      <w:pPr>
        <w:spacing w:after="0" w:line="236"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DELEGATION OF BOARD’S POWERS</w:t>
      </w:r>
    </w:p>
    <w:p>
      <w:pPr>
        <w:spacing w:after="0" w:line="251" w:lineRule="exact"/>
        <w:rPr>
          <w:sz w:val="20"/>
          <w:szCs w:val="20"/>
          <w:color w:val="auto"/>
        </w:rPr>
      </w:pPr>
    </w:p>
    <w:p>
      <w:pPr>
        <w:ind w:left="438" w:hanging="438"/>
        <w:spacing w:after="0"/>
        <w:tabs>
          <w:tab w:leader="none" w:pos="43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individual directors</w:t>
      </w:r>
    </w:p>
    <w:p>
      <w:pPr>
        <w:spacing w:after="0" w:line="120" w:lineRule="exact"/>
        <w:rPr>
          <w:rFonts w:ascii="Times New Roman" w:cs="Times New Roman" w:eastAsia="Times New Roman" w:hAnsi="Times New Roman"/>
          <w:sz w:val="18"/>
          <w:szCs w:val="18"/>
          <w:b w:val="1"/>
          <w:bCs w:val="1"/>
          <w:color w:val="auto"/>
        </w:rPr>
      </w:pPr>
    </w:p>
    <w:p>
      <w:pPr>
        <w:ind w:left="438"/>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entrust to and confer upon any director any of its powers, authorities and discretions (with power to sub-delegate) on such terms and conditions as it thinks fit and may revoke or vary all or any of them, but no person dealing in good faith shall be affected by any revocation or variation.</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55" w:lineRule="auto"/>
        <w:tabs>
          <w:tab w:leader="none" w:pos="141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authorities and discretions (with power to sub-delegate) to any committee consisting of such person or persons (whether directors or not) as it thinks fit, provided that the majority of the members of the committee are directors and that no meeting of the committee shall be quorate for the purpose of exercising any of its powers, authorities or discretions unless a majority of those present are directors. The Board may make any such delegation on such terms and conditions as it thinks fit and may revoke or vary any such delegation and discharge any committee wholly or in part, but no person dealing in good faith shall be affected by any revocation or variation. Any committee so formed shall, in the exercise of the powers, authorities and discretions so delegated, conform to any regulations that may be imposed on it by the Board.</w:t>
      </w:r>
    </w:p>
    <w:p>
      <w:pPr>
        <w:spacing w:after="0" w:line="92" w:lineRule="exact"/>
        <w:rPr>
          <w:rFonts w:ascii="Times New Roman" w:cs="Times New Roman" w:eastAsia="Times New Roman" w:hAnsi="Times New Roman"/>
          <w:sz w:val="18"/>
          <w:szCs w:val="18"/>
          <w:color w:val="auto"/>
        </w:rPr>
      </w:pPr>
    </w:p>
    <w:p>
      <w:pPr>
        <w:ind w:left="1418" w:right="220" w:hanging="433"/>
        <w:spacing w:after="0" w:line="281" w:lineRule="auto"/>
        <w:tabs>
          <w:tab w:leader="none" w:pos="141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of a committee with two or more members shall be governed by any regulations imposed on it by the Board and (subject to such regulations) by these articles regulating the proceedings of the Board so far as they are capable of applying.</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Local boards</w:t>
      </w:r>
    </w:p>
    <w:p>
      <w:pPr>
        <w:spacing w:after="0" w:line="134" w:lineRule="exact"/>
        <w:rPr>
          <w:rFonts w:ascii="Times New Roman" w:cs="Times New Roman" w:eastAsia="Times New Roman" w:hAnsi="Times New Roman"/>
          <w:sz w:val="18"/>
          <w:szCs w:val="18"/>
          <w:b w:val="1"/>
          <w:bCs w:val="1"/>
          <w:color w:val="auto"/>
        </w:rPr>
      </w:pPr>
    </w:p>
    <w:p>
      <w:pPr>
        <w:ind w:left="1418" w:right="400" w:hanging="433"/>
        <w:spacing w:after="0" w:line="312" w:lineRule="auto"/>
        <w:tabs>
          <w:tab w:leader="none" w:pos="141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make such arrangements as they think fit for the management and transaction of the Company’s affairs in any specified locality, whether in the United Kingdom or elsewhere, and, without prejudice to the generality of the foregoing, may:</w:t>
      </w:r>
    </w:p>
    <w:p>
      <w:pPr>
        <w:spacing w:after="0" w:line="44" w:lineRule="exact"/>
        <w:rPr>
          <w:rFonts w:ascii="Times New Roman" w:cs="Times New Roman" w:eastAsia="Times New Roman" w:hAnsi="Times New Roman"/>
          <w:sz w:val="17"/>
          <w:szCs w:val="17"/>
          <w:color w:val="auto"/>
        </w:rPr>
      </w:pPr>
    </w:p>
    <w:p>
      <w:pPr>
        <w:jc w:val="both"/>
        <w:ind w:left="1978" w:right="400" w:hanging="548"/>
        <w:spacing w:after="0" w:line="265" w:lineRule="auto"/>
        <w:tabs>
          <w:tab w:leader="none" w:pos="1978"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local or divisional board or agency for managing any of the affairs of the Company whether in the United Kingdom or elsewhere and may appoint any persons to be members of a local or divisional board, or to be managers or agents, and may fix their remuneration;</w:t>
      </w:r>
    </w:p>
    <w:p>
      <w:pPr>
        <w:spacing w:after="0" w:line="82" w:lineRule="exact"/>
        <w:rPr>
          <w:rFonts w:ascii="Times New Roman" w:cs="Times New Roman" w:eastAsia="Times New Roman" w:hAnsi="Times New Roman"/>
          <w:sz w:val="18"/>
          <w:szCs w:val="18"/>
          <w:color w:val="auto"/>
        </w:rPr>
      </w:pPr>
    </w:p>
    <w:p>
      <w:pPr>
        <w:ind w:left="1978" w:right="380" w:hanging="548"/>
        <w:spacing w:after="0" w:line="281" w:lineRule="auto"/>
        <w:tabs>
          <w:tab w:leader="none" w:pos="1978"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local or divisional board, manager or agent any of its powers, authorities and discretions (with power to sub-delegate) and</w:t>
      </w:r>
    </w:p>
    <w:p>
      <w:pPr>
        <w:spacing w:after="0" w:line="68" w:lineRule="exact"/>
        <w:rPr>
          <w:rFonts w:ascii="Times New Roman" w:cs="Times New Roman" w:eastAsia="Times New Roman" w:hAnsi="Times New Roman"/>
          <w:sz w:val="18"/>
          <w:szCs w:val="18"/>
          <w:color w:val="auto"/>
        </w:rPr>
      </w:pPr>
    </w:p>
    <w:p>
      <w:pPr>
        <w:ind w:left="1978" w:right="520" w:hanging="548"/>
        <w:spacing w:after="0" w:line="281" w:lineRule="auto"/>
        <w:tabs>
          <w:tab w:leader="none" w:pos="1978"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the members of any local or divisional board or any of them to fill any vacancies and to act notwithstanding vacancies.</w:t>
      </w:r>
    </w:p>
    <w:p>
      <w:pPr>
        <w:spacing w:after="0" w:line="68" w:lineRule="exact"/>
        <w:rPr>
          <w:rFonts w:ascii="Times New Roman" w:cs="Times New Roman" w:eastAsia="Times New Roman" w:hAnsi="Times New Roman"/>
          <w:sz w:val="18"/>
          <w:szCs w:val="18"/>
          <w:color w:val="auto"/>
        </w:rPr>
      </w:pPr>
    </w:p>
    <w:p>
      <w:pPr>
        <w:ind w:left="1418" w:right="140" w:hanging="433"/>
        <w:spacing w:after="0" w:line="265" w:lineRule="auto"/>
        <w:tabs>
          <w:tab w:leader="none" w:pos="141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appointment or delegation under this article may be made on such terms and subject to such conditions as the Board thinks fit and the Board may remove any person so appointed, and may revoke or vary any delegation, but no person dealing in good faith shall be affected by the revocation or variation.</w:t>
      </w:r>
    </w:p>
    <w:p>
      <w:pPr>
        <w:spacing w:after="0" w:line="110"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38"/>
          </w:cols>
          <w:pgMar w:left="442" w:top="266" w:right="519" w:bottom="1440" w:gutter="0" w:footer="0" w:header="0"/>
        </w:sectPr>
      </w:pPr>
    </w:p>
    <w:bookmarkStart w:id="96" w:name="page97"/>
    <w:bookmarkEnd w:id="96"/>
    <w:p>
      <w:pPr>
        <w:ind w:left="440" w:hanging="438"/>
        <w:spacing w:after="0"/>
        <w:tabs>
          <w:tab w:leader="none" w:pos="4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Powers of attorney and agents</w:t>
      </w:r>
    </w:p>
    <w:p>
      <w:pPr>
        <w:spacing w:after="0" w:line="120" w:lineRule="exact"/>
        <w:rPr>
          <w:rFonts w:ascii="Times New Roman" w:cs="Times New Roman" w:eastAsia="Times New Roman" w:hAnsi="Times New Roman"/>
          <w:sz w:val="18"/>
          <w:szCs w:val="18"/>
          <w:b w:val="1"/>
          <w:bCs w:val="1"/>
          <w:color w:val="auto"/>
        </w:rPr>
      </w:pPr>
    </w:p>
    <w:p>
      <w:pPr>
        <w:ind w:left="44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by power of attorney or otherwise appoint any person to be the agent of the Company on such terms (including terms as to remuneration) as it may decide and may delegate to any person so appointed any of its powers, authorities and discretions (with power to sub-delegate). The Board may remove any person appointed under this article and may revoke or vary the delegation, but no person dealing in good faith shall be affected by the revocation or variation. Any such appointment may contain such provisions for the protection and convenience of persons dealing with any such attorney as the Board may think fit.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251" w:lineRule="exact"/>
        <w:rPr>
          <w:sz w:val="20"/>
          <w:szCs w:val="20"/>
          <w:color w:val="auto"/>
        </w:rPr>
      </w:pPr>
    </w:p>
    <w:p>
      <w:pPr>
        <w:ind w:left="440" w:hanging="438"/>
        <w:spacing w:after="0"/>
        <w:tabs>
          <w:tab w:leader="none" w:pos="4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interests in a proposed transaction or arrangement with the Company</w:t>
      </w:r>
    </w:p>
    <w:p>
      <w:pPr>
        <w:spacing w:after="0" w:line="134" w:lineRule="exact"/>
        <w:rPr>
          <w:rFonts w:ascii="Times New Roman" w:cs="Times New Roman" w:eastAsia="Times New Roman" w:hAnsi="Times New Roman"/>
          <w:sz w:val="18"/>
          <w:szCs w:val="18"/>
          <w:b w:val="1"/>
          <w:bCs w:val="1"/>
          <w:color w:val="auto"/>
        </w:rPr>
      </w:pPr>
    </w:p>
    <w:p>
      <w:pPr>
        <w:ind w:left="1420" w:right="20" w:hanging="433"/>
        <w:spacing w:after="0" w:line="258" w:lineRule="auto"/>
        <w:tabs>
          <w:tab w:leader="none" w:pos="14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has, directly or indirectly, an interest in a transaction entered into or proposed to be entered into by the Company or by a subsidiary of the Company which conflicts or possibly may conflict with the interests of the Company or the exploitation of any property, information or opportunity, whether or not the Company could take advantage of it (but excluding any interest which cannot reasonably be regarded as likely to give rise to a conflict of interest), and of which such director is aware, shall disclose to the Company the nature and extent of such director’s interest.</w:t>
      </w:r>
    </w:p>
    <w:p>
      <w:pPr>
        <w:spacing w:after="0" w:line="87"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of interest required by this article must be made as soon as reasonably practicable.</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declaration of interest proves to be, or becomes, inaccurate or incomplete, a further disclosure must be made.</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 director need not declare an interest:</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cannot reasonably be regarded as likely to give rise to a conflict of interest;</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the other directors are already aware of it; or</w:t>
      </w:r>
    </w:p>
    <w:p>
      <w:pPr>
        <w:spacing w:after="0" w:line="130" w:lineRule="exact"/>
        <w:rPr>
          <w:rFonts w:ascii="Times New Roman" w:cs="Times New Roman" w:eastAsia="Times New Roman" w:hAnsi="Times New Roman"/>
          <w:sz w:val="18"/>
          <w:szCs w:val="18"/>
          <w:color w:val="auto"/>
        </w:rPr>
      </w:pPr>
    </w:p>
    <w:p>
      <w:pPr>
        <w:ind w:left="1980" w:hanging="548"/>
        <w:spacing w:after="0" w:line="281" w:lineRule="auto"/>
        <w:tabs>
          <w:tab w:leader="none" w:pos="198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it concerns terms of his service contract that have been or are to be considered by (A) a meeting of the directors; or (B) by a committee of the directors appointed for the purpose under these articles.</w:t>
      </w:r>
    </w:p>
    <w:p>
      <w:pPr>
        <w:spacing w:after="0" w:line="306" w:lineRule="exact"/>
        <w:rPr>
          <w:rFonts w:ascii="Times New Roman" w:cs="Times New Roman" w:eastAsia="Times New Roman" w:hAnsi="Times New Roman"/>
          <w:sz w:val="18"/>
          <w:szCs w:val="18"/>
          <w:color w:val="auto"/>
        </w:rPr>
      </w:pPr>
    </w:p>
    <w:p>
      <w:pPr>
        <w:ind w:left="440" w:right="6940" w:hanging="438"/>
        <w:spacing w:after="0" w:line="385" w:lineRule="auto"/>
        <w:tabs>
          <w:tab w:leader="none" w:pos="432"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applicable to declarations of interest </w:t>
      </w:r>
      <w:r>
        <w:rPr>
          <w:rFonts w:ascii="Times New Roman" w:cs="Times New Roman" w:eastAsia="Times New Roman" w:hAnsi="Times New Roman"/>
          <w:sz w:val="18"/>
          <w:szCs w:val="18"/>
          <w:color w:val="auto"/>
        </w:rPr>
        <w:t>For the purposes of article 87:</w:t>
      </w:r>
    </w:p>
    <w:p>
      <w:pPr>
        <w:jc w:val="both"/>
        <w:ind w:left="1420" w:right="260" w:hanging="433"/>
        <w:spacing w:after="0" w:line="265" w:lineRule="auto"/>
        <w:tabs>
          <w:tab w:leader="none" w:pos="14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shall be made at the first meeting of the directors at which the transaction is considered after the director concerned becomes aware of the circumstances giving rise to such director’s duty to make it or, if for any reason the director fails to do so at such meeting, as soon as practical after the meeting, by notice in writing delivered to the secretary;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6" w:right="459" w:bottom="1440" w:gutter="0" w:footer="0" w:header="0"/>
        </w:sectPr>
      </w:pPr>
    </w:p>
    <w:bookmarkStart w:id="97" w:name="page98"/>
    <w:bookmarkEnd w:id="97"/>
    <w:p>
      <w:pPr>
        <w:ind w:left="1418" w:right="140" w:hanging="433"/>
        <w:spacing w:after="0" w:line="281" w:lineRule="auto"/>
        <w:tabs>
          <w:tab w:leader="none" w:pos="141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secretary, where the disclosure is made to shall inform the directors that it has been made and shall in any event table the notice of the disclosure at the next meeting after it is made;</w:t>
      </w:r>
    </w:p>
    <w:p>
      <w:pPr>
        <w:spacing w:after="0" w:line="68" w:lineRule="exact"/>
        <w:rPr>
          <w:rFonts w:ascii="Times New Roman" w:cs="Times New Roman" w:eastAsia="Times New Roman" w:hAnsi="Times New Roman"/>
          <w:sz w:val="18"/>
          <w:szCs w:val="18"/>
          <w:color w:val="auto"/>
        </w:rPr>
      </w:pPr>
    </w:p>
    <w:p>
      <w:pPr>
        <w:ind w:left="1418" w:hanging="433"/>
        <w:spacing w:after="0" w:line="265" w:lineRule="auto"/>
        <w:tabs>
          <w:tab w:leader="none" w:pos="141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to the Company by a director in accordance with article 88(a) above that such director is to be regarded as interested in a transaction with a specified person is sufficient disclosure of that director’s interest in any such transaction entered into after the disclosure is made; and</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made at a meeting of the directors shall be recorded in the minutes of the meeting.</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the Board to authorise conflicts of interest</w:t>
      </w:r>
    </w:p>
    <w:p>
      <w:pPr>
        <w:spacing w:after="0" w:line="134" w:lineRule="exact"/>
        <w:rPr>
          <w:rFonts w:ascii="Times New Roman" w:cs="Times New Roman" w:eastAsia="Times New Roman" w:hAnsi="Times New Roman"/>
          <w:sz w:val="18"/>
          <w:szCs w:val="18"/>
          <w:b w:val="1"/>
          <w:bCs w:val="1"/>
          <w:color w:val="auto"/>
        </w:rPr>
      </w:pPr>
    </w:p>
    <w:p>
      <w:pPr>
        <w:ind w:left="1418" w:right="40" w:hanging="433"/>
        <w:spacing w:after="0" w:line="255" w:lineRule="auto"/>
        <w:tabs>
          <w:tab w:leader="none" w:pos="14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authorise any matter proposed to it in accordance with these articles which would, if not so authorised, involve a breach by a director of his duty to avoid conflicts of interest under the Statutes, including, without limitation, any matter which relates to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in which a director has, or can have, an interest which conflicts, or possibly may conflict, with the interest of the Company or the exploitation of any property, information or opportunity, whether or not the Company could take advantage of it, but excluding any interest which cannot reasonably be regarded as likely to give rise to a conflict of interest. The provisions of this article do not apply to a conflict of interest arising in relation to a transaction or arrangement with the Company.</w:t>
      </w:r>
    </w:p>
    <w:p>
      <w:pPr>
        <w:spacing w:after="0" w:line="9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authorisation will be effective only if:</w:t>
      </w:r>
    </w:p>
    <w:p>
      <w:pPr>
        <w:spacing w:after="0" w:line="130" w:lineRule="exact"/>
        <w:rPr>
          <w:rFonts w:ascii="Times New Roman" w:cs="Times New Roman" w:eastAsia="Times New Roman" w:hAnsi="Times New Roman"/>
          <w:sz w:val="18"/>
          <w:szCs w:val="18"/>
          <w:color w:val="auto"/>
        </w:rPr>
      </w:pPr>
    </w:p>
    <w:p>
      <w:pPr>
        <w:ind w:left="1978" w:right="580" w:hanging="548"/>
        <w:spacing w:after="0" w:line="281" w:lineRule="auto"/>
        <w:tabs>
          <w:tab w:leader="none" w:pos="1978"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as to quorum at the meeting at which the matter is considered is met without counting the director in question or any other interested director; and</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was agreed to without their voting or would have been agreed to if their votes had not been counted.</w:t>
      </w:r>
    </w:p>
    <w:p>
      <w:pPr>
        <w:spacing w:after="0" w:line="130" w:lineRule="exact"/>
        <w:rPr>
          <w:rFonts w:ascii="Times New Roman" w:cs="Times New Roman" w:eastAsia="Times New Roman" w:hAnsi="Times New Roman"/>
          <w:sz w:val="18"/>
          <w:szCs w:val="18"/>
          <w:color w:val="auto"/>
        </w:rPr>
      </w:pPr>
    </w:p>
    <w:p>
      <w:pPr>
        <w:ind w:left="1418" w:right="180" w:hanging="433"/>
        <w:spacing w:after="0" w:line="281" w:lineRule="auto"/>
        <w:tabs>
          <w:tab w:leader="none" w:pos="14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vary or terminate any such authorisation at any time.</w:t>
      </w:r>
    </w:p>
    <w:p>
      <w:pPr>
        <w:spacing w:after="0" w:line="15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78"/>
          </w:cols>
          <w:pgMar w:left="442" w:top="269" w:right="479" w:bottom="1440" w:gutter="0" w:footer="0" w:header="0"/>
        </w:sectPr>
      </w:pPr>
    </w:p>
    <w:bookmarkStart w:id="98" w:name="page99"/>
    <w:bookmarkEnd w:id="98"/>
    <w:p>
      <w:pPr>
        <w:ind w:left="438" w:hanging="438"/>
        <w:spacing w:after="0"/>
        <w:tabs>
          <w:tab w:leader="none" w:pos="438"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interests and voting</w:t>
      </w:r>
    </w:p>
    <w:p>
      <w:pPr>
        <w:spacing w:after="0" w:line="134" w:lineRule="exact"/>
        <w:rPr>
          <w:rFonts w:ascii="Times New Roman" w:cs="Times New Roman" w:eastAsia="Times New Roman" w:hAnsi="Times New Roman"/>
          <w:sz w:val="18"/>
          <w:szCs w:val="18"/>
          <w:b w:val="1"/>
          <w:bCs w:val="1"/>
          <w:color w:val="auto"/>
        </w:rPr>
      </w:pPr>
    </w:p>
    <w:p>
      <w:pPr>
        <w:ind w:left="1418" w:right="540" w:hanging="433"/>
        <w:spacing w:after="0" w:line="281" w:lineRule="auto"/>
        <w:tabs>
          <w:tab w:leader="none" w:pos="14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provided the director has declared any interest or interests in accordance with articles 87 and 88, a director may (notwithstanding his office):</w:t>
      </w:r>
    </w:p>
    <w:p>
      <w:pPr>
        <w:spacing w:after="0" w:line="68" w:lineRule="exact"/>
        <w:rPr>
          <w:rFonts w:ascii="Times New Roman" w:cs="Times New Roman" w:eastAsia="Times New Roman" w:hAnsi="Times New Roman"/>
          <w:sz w:val="18"/>
          <w:szCs w:val="18"/>
          <w:color w:val="auto"/>
        </w:rPr>
      </w:pPr>
    </w:p>
    <w:p>
      <w:pPr>
        <w:jc w:val="both"/>
        <w:ind w:left="1978" w:right="80" w:hanging="548"/>
        <w:spacing w:after="0" w:line="265" w:lineRule="auto"/>
        <w:tabs>
          <w:tab w:leader="none" w:pos="1978"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interested in any transaction or arrangement with the Company, either with regard to the director’s tenure of any office or position in the management, administration or conduct of the business of the Company or as vendor, purchaser or otherwise;</w:t>
      </w:r>
    </w:p>
    <w:p>
      <w:pPr>
        <w:spacing w:after="0" w:line="82" w:lineRule="exact"/>
        <w:rPr>
          <w:rFonts w:ascii="Times New Roman" w:cs="Times New Roman" w:eastAsia="Times New Roman" w:hAnsi="Times New Roman"/>
          <w:sz w:val="18"/>
          <w:szCs w:val="18"/>
          <w:color w:val="auto"/>
        </w:rPr>
      </w:pPr>
    </w:p>
    <w:p>
      <w:pPr>
        <w:ind w:left="1978" w:right="80" w:hanging="548"/>
        <w:spacing w:after="0" w:line="260" w:lineRule="auto"/>
        <w:tabs>
          <w:tab w:leader="none" w:pos="1978"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other office or place of profit with the Company (except that of auditor) in conjunction with the director’s office of director for such period (subject to the Statutes) and upon such terms as the Board may decide and be paid such extra remuneration for so doing (whether by way of salary, commission, participation in profits or otherwise) as the Board may decide, either in addition to or in lieu of any remuneration under any other provision of these articles;</w:t>
      </w:r>
    </w:p>
    <w:p>
      <w:pPr>
        <w:spacing w:after="0" w:line="87" w:lineRule="exact"/>
        <w:rPr>
          <w:rFonts w:ascii="Times New Roman" w:cs="Times New Roman" w:eastAsia="Times New Roman" w:hAnsi="Times New Roman"/>
          <w:sz w:val="18"/>
          <w:szCs w:val="18"/>
          <w:color w:val="auto"/>
        </w:rPr>
      </w:pPr>
    </w:p>
    <w:p>
      <w:pPr>
        <w:ind w:left="1978" w:right="400" w:hanging="548"/>
        <w:spacing w:after="0" w:line="281" w:lineRule="auto"/>
        <w:tabs>
          <w:tab w:leader="none" w:pos="1978"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personally or by the director’s firm in a professional capacity for the Company (except as auditor) and be entitled to remuneration for professional services as if the director were not a director;</w:t>
      </w:r>
    </w:p>
    <w:p>
      <w:pPr>
        <w:spacing w:after="0" w:line="68" w:lineRule="exact"/>
        <w:rPr>
          <w:rFonts w:ascii="Times New Roman" w:cs="Times New Roman" w:eastAsia="Times New Roman" w:hAnsi="Times New Roman"/>
          <w:sz w:val="18"/>
          <w:szCs w:val="18"/>
          <w:color w:val="auto"/>
        </w:rPr>
      </w:pPr>
    </w:p>
    <w:p>
      <w:pPr>
        <w:ind w:left="1978" w:hanging="548"/>
        <w:spacing w:after="0" w:line="255" w:lineRule="auto"/>
        <w:tabs>
          <w:tab w:leader="none" w:pos="1978"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member or director of, or hold any other office or place of profit under, or otherwise be interested in, any holding company or subsidiary undertaking of that holding company or any other company in which the Company may be interested. The Board may cause the voting rights conferred by the shares in any other company held or owned by the Company or exercisable by them as directors of that other company to be exercised in such manner in all respects as it thinks fit (including the exercise of voting rights in favour of any resolution appointing the directors or any of them as directors or officers of the other company or voting or providing for the payment of any benefit to the directors or officers of the other company); and</w:t>
      </w:r>
    </w:p>
    <w:p>
      <w:pPr>
        <w:spacing w:after="0" w:line="92" w:lineRule="exact"/>
        <w:rPr>
          <w:rFonts w:ascii="Times New Roman" w:cs="Times New Roman" w:eastAsia="Times New Roman" w:hAnsi="Times New Roman"/>
          <w:sz w:val="18"/>
          <w:szCs w:val="18"/>
          <w:color w:val="auto"/>
        </w:rPr>
      </w:pPr>
    </w:p>
    <w:p>
      <w:pPr>
        <w:ind w:left="1978" w:hanging="548"/>
        <w:spacing w:after="0" w:line="260" w:lineRule="auto"/>
        <w:tabs>
          <w:tab w:leader="none" w:pos="1978"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director, manager or employee of, or a consultant to, or acquire or retain any direct or indirect interest in, any entity (whether or not a body corporate) in which the Company does not have an interest if that cannot reasonably be regarded as likely to give rise to a conflict of interest at the time of the director’s appointment as a director of that other company.</w:t>
      </w:r>
    </w:p>
    <w:p>
      <w:pPr>
        <w:spacing w:after="0" w:line="87" w:lineRule="exact"/>
        <w:rPr>
          <w:rFonts w:ascii="Times New Roman" w:cs="Times New Roman" w:eastAsia="Times New Roman" w:hAnsi="Times New Roman"/>
          <w:sz w:val="18"/>
          <w:szCs w:val="18"/>
          <w:color w:val="auto"/>
        </w:rPr>
      </w:pPr>
    </w:p>
    <w:p>
      <w:pPr>
        <w:ind w:left="1418" w:right="60" w:hanging="433"/>
        <w:spacing w:after="0" w:line="276" w:lineRule="auto"/>
        <w:tabs>
          <w:tab w:leader="none" w:pos="1418"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shall not, by reason of holding office as director (or of the fiduciary relationship established by holding that office), be liable to account to the Company for any remuneration, profit or other benefit resulting from any interest permitted under paragraph</w:t>
      </w:r>
    </w:p>
    <w:p>
      <w:pPr>
        <w:ind w:left="1418" w:right="300" w:hanging="2"/>
        <w:spacing w:after="0" w:line="260" w:lineRule="auto"/>
        <w:tabs>
          <w:tab w:leader="none" w:pos="1662"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no contract shall be liable to be avoided on the grounds of any director having any type of interest permitted under paragraph (a) above.</w:t>
      </w:r>
    </w:p>
    <w:p>
      <w:pPr>
        <w:spacing w:after="0" w:line="85" w:lineRule="exact"/>
        <w:rPr>
          <w:rFonts w:ascii="Times New Roman" w:cs="Times New Roman" w:eastAsia="Times New Roman" w:hAnsi="Times New Roman"/>
          <w:sz w:val="18"/>
          <w:szCs w:val="18"/>
          <w:color w:val="auto"/>
        </w:rPr>
      </w:pPr>
    </w:p>
    <w:p>
      <w:pPr>
        <w:ind w:left="1418" w:hanging="433"/>
        <w:spacing w:after="0" w:line="256" w:lineRule="auto"/>
        <w:tabs>
          <w:tab w:leader="none" w:pos="14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vote (or be counted in the quorum at a meeting) in respect of any resolution concerning that director’s own appointment (including fixing or varying its terms), or the termination of that director’s own appointment, as the holder of any office or place of profit with the Company or any other company in which the Company is interested but, where proposals are under consideration concerning the appointment (including fixing or varying its terms), or the termination of the appointment, of two or more directors to offices or places of profit with the Company or any other company in which the Company is interested, those proposals may be divided and a separate resolution may be put in relation to each</w:t>
      </w:r>
    </w:p>
    <w:p>
      <w:pPr>
        <w:spacing w:after="0" w:line="118"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58"/>
          </w:cols>
          <w:pgMar w:left="442" w:top="266" w:right="499" w:bottom="1440" w:gutter="0" w:footer="0" w:header="0"/>
        </w:sectPr>
      </w:pPr>
    </w:p>
    <w:bookmarkStart w:id="99" w:name="page100"/>
    <w:bookmarkEnd w:id="99"/>
    <w:p>
      <w:pPr>
        <w:ind w:left="453" w:right="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and in that case each of the directors concerned (if not otherwise debarred from voting under this article) shall be entitled to vote (and be counted in the quorum) in respect of each resolution unless it concerns that director’s own appointment or the termination of that director’s own appointment.</w:t>
      </w:r>
    </w:p>
    <w:p>
      <w:pPr>
        <w:spacing w:after="0" w:line="83" w:lineRule="exact"/>
        <w:rPr>
          <w:sz w:val="20"/>
          <w:szCs w:val="20"/>
          <w:color w:val="auto"/>
        </w:rPr>
      </w:pPr>
    </w:p>
    <w:p>
      <w:pPr>
        <w:ind w:left="433" w:right="140" w:hanging="433"/>
        <w:spacing w:after="0" w:line="258" w:lineRule="auto"/>
        <w:tabs>
          <w:tab w:leader="none" w:pos="43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also not vote (or be counted in the quorum at a meeting) in relation to any resolution relating to any transaction or arrangement with the Company in which the director has an interest which may reasonably be regarded as likely to give rise to a conflict of interest and, if the director purports to do so, the director’s vote shall not be counted, but this prohibition shall not apply and a director may vote (and be counted in the quorum) in respect of any resolution concerning any one or more of the following matters:</w:t>
      </w:r>
    </w:p>
    <w:p>
      <w:pPr>
        <w:spacing w:after="0" w:line="87" w:lineRule="exact"/>
        <w:rPr>
          <w:rFonts w:ascii="Times New Roman" w:cs="Times New Roman" w:eastAsia="Times New Roman" w:hAnsi="Times New Roman"/>
          <w:sz w:val="18"/>
          <w:szCs w:val="18"/>
          <w:color w:val="auto"/>
        </w:rPr>
      </w:pPr>
    </w:p>
    <w:p>
      <w:pPr>
        <w:ind w:left="993" w:right="480" w:hanging="548"/>
        <w:spacing w:after="0" w:line="281" w:lineRule="auto"/>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in which the director is interested by virtue of an interest in shares, debentures or other securities of the Company or otherwise in or through the Company;</w:t>
      </w:r>
    </w:p>
    <w:p>
      <w:pPr>
        <w:spacing w:after="0" w:line="68" w:lineRule="exact"/>
        <w:rPr>
          <w:rFonts w:ascii="Times New Roman" w:cs="Times New Roman" w:eastAsia="Times New Roman" w:hAnsi="Times New Roman"/>
          <w:sz w:val="18"/>
          <w:szCs w:val="18"/>
          <w:color w:val="auto"/>
        </w:rPr>
      </w:pPr>
    </w:p>
    <w:p>
      <w:pPr>
        <w:ind w:left="993" w:hanging="548"/>
        <w:spacing w:after="0"/>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w:t>
      </w:r>
    </w:p>
    <w:p>
      <w:pPr>
        <w:spacing w:after="0" w:line="130" w:lineRule="exact"/>
        <w:rPr>
          <w:rFonts w:ascii="Times New Roman" w:cs="Times New Roman" w:eastAsia="Times New Roman" w:hAnsi="Times New Roman"/>
          <w:sz w:val="18"/>
          <w:szCs w:val="18"/>
          <w:color w:val="auto"/>
        </w:rPr>
      </w:pPr>
    </w:p>
    <w:p>
      <w:pPr>
        <w:ind w:left="1413" w:right="320" w:hanging="429"/>
        <w:spacing w:after="0" w:line="281" w:lineRule="auto"/>
        <w:tabs>
          <w:tab w:leader="none" w:pos="1413"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the director or by any other person at the request of, or for the benefit of, the Company or any of its subsidiary undertakings; or</w:t>
      </w:r>
    </w:p>
    <w:p>
      <w:pPr>
        <w:spacing w:after="0" w:line="68" w:lineRule="exact"/>
        <w:rPr>
          <w:rFonts w:ascii="Times New Roman" w:cs="Times New Roman" w:eastAsia="Times New Roman" w:hAnsi="Times New Roman"/>
          <w:sz w:val="18"/>
          <w:szCs w:val="18"/>
          <w:color w:val="auto"/>
        </w:rPr>
      </w:pPr>
    </w:p>
    <w:p>
      <w:pPr>
        <w:ind w:left="1413" w:hanging="429"/>
        <w:spacing w:after="0" w:line="265" w:lineRule="auto"/>
        <w:tabs>
          <w:tab w:leader="none" w:pos="1413"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subsidiary undertakings for which the director personally has assumed responsibility in whole or in part (either alone or jointly with others) under a guarantee or indemnity or by the giving of security;</w:t>
      </w:r>
    </w:p>
    <w:p>
      <w:pPr>
        <w:spacing w:after="0" w:line="82" w:lineRule="exact"/>
        <w:rPr>
          <w:rFonts w:ascii="Times New Roman" w:cs="Times New Roman" w:eastAsia="Times New Roman" w:hAnsi="Times New Roman"/>
          <w:sz w:val="18"/>
          <w:szCs w:val="18"/>
          <w:color w:val="auto"/>
        </w:rPr>
      </w:pPr>
    </w:p>
    <w:p>
      <w:pPr>
        <w:ind w:left="993" w:right="20" w:hanging="548"/>
        <w:spacing w:after="0" w:line="281" w:lineRule="auto"/>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(including loans made in connection with it) by the Company in relation to the performance of the director’s duties on behalf of the Company or of any of its subsidiary undertakings;</w:t>
      </w:r>
    </w:p>
    <w:p>
      <w:pPr>
        <w:spacing w:after="0" w:line="68" w:lineRule="exact"/>
        <w:rPr>
          <w:rFonts w:ascii="Times New Roman" w:cs="Times New Roman" w:eastAsia="Times New Roman" w:hAnsi="Times New Roman"/>
          <w:sz w:val="18"/>
          <w:szCs w:val="18"/>
          <w:color w:val="auto"/>
        </w:rPr>
      </w:pPr>
    </w:p>
    <w:p>
      <w:pPr>
        <w:ind w:left="993" w:right="40" w:hanging="548"/>
        <w:spacing w:after="0" w:line="265" w:lineRule="auto"/>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debentures or other securities of the Company or any of its subsidiary undertakings in respect of which the director is or may be entitled to participate in the director’s capacity as a holder of any such securities or as an underwriter or sub-underwriter;</w:t>
      </w:r>
    </w:p>
    <w:p>
      <w:pPr>
        <w:spacing w:after="0" w:line="82" w:lineRule="exact"/>
        <w:rPr>
          <w:rFonts w:ascii="Times New Roman" w:cs="Times New Roman" w:eastAsia="Times New Roman" w:hAnsi="Times New Roman"/>
          <w:sz w:val="18"/>
          <w:szCs w:val="18"/>
          <w:color w:val="auto"/>
        </w:rPr>
      </w:pPr>
    </w:p>
    <w:p>
      <w:pPr>
        <w:ind w:left="993" w:right="180" w:hanging="548"/>
        <w:spacing w:after="0" w:line="281" w:lineRule="auto"/>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any other company in which the director does not hold, directly or indirectly as shareholder voting rights representing one per cent. or more of any class of shares in the capital of that company;</w:t>
      </w:r>
    </w:p>
    <w:p>
      <w:pPr>
        <w:spacing w:after="0" w:line="68" w:lineRule="exact"/>
        <w:rPr>
          <w:rFonts w:ascii="Times New Roman" w:cs="Times New Roman" w:eastAsia="Times New Roman" w:hAnsi="Times New Roman"/>
          <w:sz w:val="18"/>
          <w:szCs w:val="18"/>
          <w:color w:val="auto"/>
        </w:rPr>
      </w:pPr>
    </w:p>
    <w:p>
      <w:pPr>
        <w:ind w:left="993" w:hanging="548"/>
        <w:spacing w:after="0" w:line="281" w:lineRule="auto"/>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the Company or any of its subsidiary undertakings which does not accord to the director any privilege or benefit not generally accorded to the employees to whom the arrangement relates; and</w:t>
      </w:r>
    </w:p>
    <w:p>
      <w:pPr>
        <w:spacing w:after="0" w:line="68" w:lineRule="exact"/>
        <w:rPr>
          <w:rFonts w:ascii="Times New Roman" w:cs="Times New Roman" w:eastAsia="Times New Roman" w:hAnsi="Times New Roman"/>
          <w:sz w:val="18"/>
          <w:szCs w:val="18"/>
          <w:color w:val="auto"/>
        </w:rPr>
      </w:pPr>
    </w:p>
    <w:p>
      <w:pPr>
        <w:ind w:left="993" w:hanging="548"/>
        <w:spacing w:after="0"/>
        <w:tabs>
          <w:tab w:leader="none" w:pos="9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for the benefit of directors or for the benefit of persons including directors.</w:t>
      </w:r>
    </w:p>
    <w:p>
      <w:pPr>
        <w:spacing w:after="0" w:line="157"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973"/>
          </w:cols>
          <w:pgMar w:left="1427" w:top="270" w:right="499" w:bottom="1440" w:gutter="0" w:footer="0" w:header="0"/>
        </w:sectPr>
      </w:pPr>
    </w:p>
    <w:bookmarkStart w:id="100" w:name="page101"/>
    <w:bookmarkEnd w:id="100"/>
    <w:p>
      <w:pPr>
        <w:ind w:left="1420" w:right="100" w:hanging="433"/>
        <w:spacing w:after="0" w:line="253" w:lineRule="auto"/>
        <w:tabs>
          <w:tab w:leader="none" w:pos="1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question arises at any meeting as to whether an interest of a director (other than the chair of the meeting) may reasonably be regarded as likely to give rise to a conflict of interest or as to the entitlement of any director (other than the chair of the meeting) to vote in relation to a transaction or arrangement with the Company and the question is not resolved by the director voluntarily agreeing to abstain from voting, the question shall be referred to the chair of the meeting and the chair’s ruling in relation to the director concerned shall be final and conclusive except in a case where the nature or extent of the interest of the director concerned, so far as known to the director concerned, has not been fairly disclosed. If any question shall arise in respect of the chair of the meeting and is not resolved by the chair voluntarily agreeing to abstain from voting, the question shall be decided by a resolution of the Board (for which purpose the chair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96" w:lineRule="exact"/>
        <w:rPr>
          <w:rFonts w:ascii="Times New Roman" w:cs="Times New Roman" w:eastAsia="Times New Roman" w:hAnsi="Times New Roman"/>
          <w:sz w:val="18"/>
          <w:szCs w:val="18"/>
          <w:color w:val="auto"/>
        </w:rPr>
      </w:pPr>
    </w:p>
    <w:p>
      <w:pPr>
        <w:ind w:left="1420" w:right="60" w:hanging="433"/>
        <w:spacing w:after="0" w:line="281" w:lineRule="auto"/>
        <w:tabs>
          <w:tab w:leader="none" w:pos="1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by ordinary resolution suspend or relax the provisions of this article to any extent or ratify any transaction or arrangement not duly authorised by reason of a contravention of this article.</w:t>
      </w:r>
    </w:p>
    <w:p>
      <w:pPr>
        <w:spacing w:after="0" w:line="30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Avoiding conflicts of interest</w:t>
      </w:r>
    </w:p>
    <w:p>
      <w:pPr>
        <w:spacing w:after="0" w:line="120" w:lineRule="exact"/>
        <w:rPr>
          <w:rFonts w:ascii="Times New Roman" w:cs="Times New Roman" w:eastAsia="Times New Roman" w:hAnsi="Times New Roman"/>
          <w:sz w:val="18"/>
          <w:szCs w:val="18"/>
          <w:b w:val="1"/>
          <w:bCs w:val="1"/>
          <w:color w:val="auto"/>
        </w:rPr>
      </w:pPr>
    </w:p>
    <w:p>
      <w:pPr>
        <w:ind w:left="440" w:right="1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existence of a director’s relationship with another person has been approved by the Board pursuant to article 89 and his relationship with that person gives rise to a conflict of interest or possible conflict of interest, the director shall not be in breach of the general duties he owes to the Company under the Statutes because he:</w:t>
      </w:r>
    </w:p>
    <w:p>
      <w:pPr>
        <w:spacing w:after="0" w:line="82" w:lineRule="exact"/>
        <w:rPr>
          <w:rFonts w:ascii="Times New Roman" w:cs="Times New Roman" w:eastAsia="Times New Roman" w:hAnsi="Times New Roman"/>
          <w:sz w:val="18"/>
          <w:szCs w:val="18"/>
          <w:b w:val="1"/>
          <w:bCs w:val="1"/>
          <w:color w:val="auto"/>
        </w:rPr>
      </w:pPr>
    </w:p>
    <w:p>
      <w:pPr>
        <w:ind w:left="1420" w:right="40" w:hanging="433"/>
        <w:spacing w:after="0" w:line="281" w:lineRule="auto"/>
        <w:tabs>
          <w:tab w:leader="none" w:pos="14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68" w:lineRule="exact"/>
        <w:rPr>
          <w:rFonts w:ascii="Times New Roman" w:cs="Times New Roman" w:eastAsia="Times New Roman" w:hAnsi="Times New Roman"/>
          <w:sz w:val="18"/>
          <w:szCs w:val="18"/>
          <w:color w:val="auto"/>
        </w:rPr>
      </w:pPr>
    </w:p>
    <w:p>
      <w:pPr>
        <w:ind w:left="1420" w:hanging="433"/>
        <w:spacing w:after="0" w:line="265" w:lineRule="auto"/>
        <w:tabs>
          <w:tab w:leader="none" w:pos="14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so long as he reasonably believes such conflict of interest or possible conflict of interest subsists.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THE BOARD</w:t>
      </w:r>
    </w:p>
    <w:p>
      <w:pPr>
        <w:spacing w:after="0" w:line="130" w:lineRule="exact"/>
        <w:rPr>
          <w:sz w:val="20"/>
          <w:szCs w:val="20"/>
          <w:color w:val="auto"/>
        </w:rPr>
      </w:pPr>
    </w:p>
    <w:p>
      <w:pPr>
        <w:ind w:left="440" w:hanging="438"/>
        <w:spacing w:after="0"/>
        <w:tabs>
          <w:tab w:leader="none" w:pos="4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meetings</w:t>
      </w:r>
    </w:p>
    <w:p>
      <w:pPr>
        <w:spacing w:after="0" w:line="120" w:lineRule="exact"/>
        <w:rPr>
          <w:rFonts w:ascii="Times New Roman" w:cs="Times New Roman" w:eastAsia="Times New Roman" w:hAnsi="Times New Roman"/>
          <w:sz w:val="18"/>
          <w:szCs w:val="18"/>
          <w:b w:val="1"/>
          <w:bCs w:val="1"/>
          <w:color w:val="auto"/>
        </w:rPr>
      </w:pPr>
    </w:p>
    <w:p>
      <w:pPr>
        <w:ind w:left="440" w:right="4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these articles, the Board may meet for the despatch of business, adjourn and otherwise regulate its meetings as it thinks fit. A director at any time may, and the secretary at the request of a director at any time shall, summon a board meeting.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9" w:right="459" w:bottom="1440" w:gutter="0" w:footer="0" w:header="0"/>
        </w:sectPr>
      </w:pPr>
    </w:p>
    <w:bookmarkStart w:id="101" w:name="page102"/>
    <w:bookmarkEnd w:id="101"/>
    <w:p>
      <w:pPr>
        <w:ind w:left="438" w:hanging="438"/>
        <w:spacing w:after="0"/>
        <w:tabs>
          <w:tab w:leader="none" w:pos="43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board meetings</w:t>
      </w:r>
    </w:p>
    <w:p>
      <w:pPr>
        <w:spacing w:after="0" w:line="134" w:lineRule="exact"/>
        <w:rPr>
          <w:rFonts w:ascii="Times New Roman" w:cs="Times New Roman" w:eastAsia="Times New Roman" w:hAnsi="Times New Roman"/>
          <w:sz w:val="18"/>
          <w:szCs w:val="18"/>
          <w:b w:val="1"/>
          <w:bCs w:val="1"/>
          <w:color w:val="auto"/>
        </w:rPr>
      </w:pPr>
    </w:p>
    <w:p>
      <w:pPr>
        <w:ind w:left="1418" w:right="80" w:hanging="433"/>
        <w:spacing w:after="0" w:line="265" w:lineRule="auto"/>
        <w:tabs>
          <w:tab w:leader="none" w:pos="14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board meeting may be given to a director personally or by word of mouth or given in hard copy form or in electronic form to the director at such address as the director may from time to time specify for this purpose (or if the director does not specify an address, at the director’s last known address).</w:t>
      </w:r>
    </w:p>
    <w:p>
      <w:pPr>
        <w:spacing w:after="0" w:line="82" w:lineRule="exact"/>
        <w:rPr>
          <w:rFonts w:ascii="Times New Roman" w:cs="Times New Roman" w:eastAsia="Times New Roman" w:hAnsi="Times New Roman"/>
          <w:sz w:val="18"/>
          <w:szCs w:val="18"/>
          <w:color w:val="auto"/>
        </w:rPr>
      </w:pPr>
    </w:p>
    <w:p>
      <w:pPr>
        <w:ind w:left="1418" w:right="260" w:hanging="433"/>
        <w:spacing w:after="0" w:line="260" w:lineRule="auto"/>
        <w:tabs>
          <w:tab w:leader="none" w:pos="14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absent or intending to be absent from the United Kingdom may request that notices of board meetings shall, during his absence, be sent by instrument or using electronic communication to him at an address given by him to the Company for this purpose but, in the absence of any such request, it shall not be necessary to give notice of a board meeting to any director for the time being absent from the United Kingdom.</w:t>
      </w:r>
    </w:p>
    <w:p>
      <w:pPr>
        <w:spacing w:after="0" w:line="87" w:lineRule="exact"/>
        <w:rPr>
          <w:rFonts w:ascii="Times New Roman" w:cs="Times New Roman" w:eastAsia="Times New Roman" w:hAnsi="Times New Roman"/>
          <w:sz w:val="18"/>
          <w:szCs w:val="18"/>
          <w:color w:val="auto"/>
        </w:rPr>
      </w:pPr>
    </w:p>
    <w:p>
      <w:pPr>
        <w:ind w:left="1418" w:right="120" w:hanging="433"/>
        <w:spacing w:after="0" w:line="281" w:lineRule="auto"/>
        <w:tabs>
          <w:tab w:leader="none" w:pos="14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waive notice of any meeting either prospectively or retrospectively and any retrospective waiver shall not affect the validity of the meeting or of any business conducted at the meeting.</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20" w:lineRule="exact"/>
        <w:rPr>
          <w:rFonts w:ascii="Times New Roman" w:cs="Times New Roman" w:eastAsia="Times New Roman" w:hAnsi="Times New Roman"/>
          <w:sz w:val="18"/>
          <w:szCs w:val="18"/>
          <w:b w:val="1"/>
          <w:bCs w:val="1"/>
          <w:color w:val="auto"/>
        </w:rPr>
      </w:pPr>
    </w:p>
    <w:p>
      <w:pPr>
        <w:ind w:left="438"/>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quorum necessary for the transaction of the business of the Board may be fixed by the Board and, unless so fixed at any other number, shall be two. Subject to these articles, any director who ceases to be a director at a board meeting may continue to be present and to act as a director and be counted in the quorum until the end of the board meeting if no other director objects and if otherwise a quorum of directors would not be present.</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directors if number falls below minimum</w:t>
      </w:r>
    </w:p>
    <w:p>
      <w:pPr>
        <w:spacing w:after="0" w:line="120" w:lineRule="exact"/>
        <w:rPr>
          <w:rFonts w:ascii="Times New Roman" w:cs="Times New Roman" w:eastAsia="Times New Roman" w:hAnsi="Times New Roman"/>
          <w:sz w:val="18"/>
          <w:szCs w:val="18"/>
          <w:b w:val="1"/>
          <w:bCs w:val="1"/>
          <w:color w:val="auto"/>
        </w:rPr>
      </w:pPr>
    </w:p>
    <w:p>
      <w:pPr>
        <w:ind w:left="438" w:right="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director at any time may act notwithstanding any vacancies in their number, but if, and so long as, the number of directors is less than the number fixed as the necessary quorum for board meetings, the continuing directors or director may act for the purpose of filling up such vacancies or calling general meetings of the Company, but not for any other purpose. If there are no directors or director able or willing to act, then any two members may call a general meeting for the purpose of appointing directors</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 or deputy chair to preside</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a chair and one or more deputy chair(s) and may at any time revoke any such appointment.</w:t>
      </w:r>
    </w:p>
    <w:p>
      <w:pPr>
        <w:spacing w:after="0" w:line="130" w:lineRule="exact"/>
        <w:rPr>
          <w:rFonts w:ascii="Times New Roman" w:cs="Times New Roman" w:eastAsia="Times New Roman" w:hAnsi="Times New Roman"/>
          <w:sz w:val="18"/>
          <w:szCs w:val="18"/>
          <w:color w:val="auto"/>
        </w:rPr>
      </w:pPr>
    </w:p>
    <w:p>
      <w:pPr>
        <w:ind w:left="1418" w:right="80" w:hanging="433"/>
        <w:spacing w:after="0" w:line="260" w:lineRule="auto"/>
        <w:tabs>
          <w:tab w:leader="none" w:pos="14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failing the chair any deputy chair (the longest in office taking precedence, if more than one is present), shall, if present and willing, preside at all board meetings but, if no chair or deputy chair has been appointed, or if the chair or deputy chair is not present within five minutes after the time fixed for holding the meeting or is unwilling to act as chair of the meeting, the directors present shall choose one of their number to act as chair of the meeting.</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Competence of board meetings</w:t>
      </w:r>
    </w:p>
    <w:p>
      <w:pPr>
        <w:spacing w:after="0" w:line="120" w:lineRule="exact"/>
        <w:rPr>
          <w:rFonts w:ascii="Times New Roman" w:cs="Times New Roman" w:eastAsia="Times New Roman" w:hAnsi="Times New Roman"/>
          <w:sz w:val="18"/>
          <w:szCs w:val="18"/>
          <w:b w:val="1"/>
          <w:bCs w:val="1"/>
          <w:color w:val="auto"/>
        </w:rPr>
      </w:pPr>
    </w:p>
    <w:p>
      <w:pPr>
        <w:ind w:left="438" w:right="1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board meeting at which a quorum is present shall be competent to exercise all the powers, authorities and discretions for the time being vested in or exercisable by the Board.</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78"/>
          </w:cols>
          <w:pgMar w:left="442" w:top="265" w:right="479" w:bottom="1440" w:gutter="0" w:footer="0" w:header="0"/>
        </w:sectPr>
      </w:pPr>
    </w:p>
    <w:bookmarkStart w:id="102" w:name="page103"/>
    <w:bookmarkEnd w:id="102"/>
    <w:p>
      <w:pPr>
        <w:ind w:left="438" w:hanging="438"/>
        <w:spacing w:after="0"/>
        <w:tabs>
          <w:tab w:leader="none" w:pos="43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Questions arising at any board meeting shall be determined by a majority of votes. In the case of an equality of votes the chair of the meeting shall have a second or casting vote.</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Telephone/electronic board meetings</w:t>
      </w:r>
    </w:p>
    <w:p>
      <w:pPr>
        <w:spacing w:after="0" w:line="134" w:lineRule="exact"/>
        <w:rPr>
          <w:rFonts w:ascii="Times New Roman" w:cs="Times New Roman" w:eastAsia="Times New Roman" w:hAnsi="Times New Roman"/>
          <w:sz w:val="18"/>
          <w:szCs w:val="18"/>
          <w:b w:val="1"/>
          <w:bCs w:val="1"/>
          <w:color w:val="auto"/>
        </w:rPr>
      </w:pPr>
    </w:p>
    <w:p>
      <w:pPr>
        <w:ind w:left="1418" w:right="120" w:hanging="433"/>
        <w:spacing w:after="0" w:line="265" w:lineRule="auto"/>
        <w:tabs>
          <w:tab w:leader="none" w:pos="141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may consist of a conference between directors some or all of whom are in different places provided that each director may participate in the business of the meeting whether directly, by telephone or by any other means (whether electronically or otherwise) which enables the director:</w:t>
      </w:r>
    </w:p>
    <w:p>
      <w:pPr>
        <w:spacing w:after="0" w:line="82" w:lineRule="exact"/>
        <w:rPr>
          <w:rFonts w:ascii="Times New Roman" w:cs="Times New Roman" w:eastAsia="Times New Roman" w:hAnsi="Times New Roman"/>
          <w:sz w:val="18"/>
          <w:szCs w:val="18"/>
          <w:color w:val="auto"/>
        </w:rPr>
      </w:pPr>
    </w:p>
    <w:p>
      <w:pPr>
        <w:ind w:left="1978" w:right="400" w:hanging="548"/>
        <w:spacing w:after="0" w:line="281" w:lineRule="auto"/>
        <w:tabs>
          <w:tab w:leader="none" w:pos="1978"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(or otherwise receive real time communications made by) each of the other participating directors addressing the meeting; and</w:t>
      </w:r>
    </w:p>
    <w:p>
      <w:pPr>
        <w:spacing w:after="0" w:line="68" w:lineRule="exact"/>
        <w:rPr>
          <w:rFonts w:ascii="Times New Roman" w:cs="Times New Roman" w:eastAsia="Times New Roman" w:hAnsi="Times New Roman"/>
          <w:sz w:val="18"/>
          <w:szCs w:val="18"/>
          <w:color w:val="auto"/>
        </w:rPr>
      </w:pPr>
    </w:p>
    <w:p>
      <w:pPr>
        <w:ind w:left="1978" w:right="140" w:hanging="548"/>
        <w:spacing w:after="0" w:line="281" w:lineRule="auto"/>
        <w:tabs>
          <w:tab w:leader="none" w:pos="1978"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so wishes, to address all of the other participating directors simultaneously (or otherwise communicate in real time with them).</w:t>
      </w:r>
    </w:p>
    <w:p>
      <w:pPr>
        <w:spacing w:after="0" w:line="68" w:lineRule="exact"/>
        <w:rPr>
          <w:rFonts w:ascii="Times New Roman" w:cs="Times New Roman" w:eastAsia="Times New Roman" w:hAnsi="Times New Roman"/>
          <w:sz w:val="18"/>
          <w:szCs w:val="18"/>
          <w:color w:val="auto"/>
        </w:rPr>
      </w:pPr>
    </w:p>
    <w:p>
      <w:pPr>
        <w:ind w:left="1418" w:right="200" w:hanging="433"/>
        <w:spacing w:after="0" w:line="281" w:lineRule="auto"/>
        <w:tabs>
          <w:tab w:leader="none" w:pos="141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deemed to be present if at least the number of directors required to form a quorum, subject to the provisions of article 79, may participate in the manner specified above in the business of the meeting.</w:t>
      </w:r>
    </w:p>
    <w:p>
      <w:pPr>
        <w:spacing w:after="0" w:line="68" w:lineRule="exact"/>
        <w:rPr>
          <w:rFonts w:ascii="Times New Roman" w:cs="Times New Roman" w:eastAsia="Times New Roman" w:hAnsi="Times New Roman"/>
          <w:sz w:val="18"/>
          <w:szCs w:val="18"/>
          <w:color w:val="auto"/>
        </w:rPr>
      </w:pPr>
    </w:p>
    <w:p>
      <w:pPr>
        <w:ind w:left="1418" w:right="80" w:hanging="433"/>
        <w:spacing w:after="0" w:line="281" w:lineRule="auto"/>
        <w:tabs>
          <w:tab w:leader="none" w:pos="141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held in this way is deemed to take place at the place where the largest group of participating directors is assembled or, if no such group is readily identifiable, at the place from where the chair of the meeting participates.</w:t>
      </w:r>
    </w:p>
    <w:p>
      <w:pPr>
        <w:spacing w:after="0" w:line="68" w:lineRule="exact"/>
        <w:rPr>
          <w:rFonts w:ascii="Times New Roman" w:cs="Times New Roman" w:eastAsia="Times New Roman" w:hAnsi="Times New Roman"/>
          <w:sz w:val="18"/>
          <w:szCs w:val="18"/>
          <w:color w:val="auto"/>
        </w:rPr>
      </w:pPr>
    </w:p>
    <w:p>
      <w:pPr>
        <w:ind w:left="1418" w:right="140" w:hanging="433"/>
        <w:spacing w:after="0" w:line="312" w:lineRule="auto"/>
        <w:tabs>
          <w:tab w:leader="none" w:pos="1418"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passed at any meeting held in the above manner, and signed by the chair of the meeting, shall be as valid and effectual as if it had been passed at a meeting of the Board (or committee of the Board, as the case may be) duly convened and held.</w:t>
      </w:r>
    </w:p>
    <w:p>
      <w:pPr>
        <w:spacing w:after="0" w:line="283" w:lineRule="exact"/>
        <w:rPr>
          <w:rFonts w:ascii="Times New Roman" w:cs="Times New Roman" w:eastAsia="Times New Roman" w:hAnsi="Times New Roman"/>
          <w:sz w:val="17"/>
          <w:szCs w:val="17"/>
          <w:color w:val="auto"/>
        </w:rPr>
      </w:pPr>
    </w:p>
    <w:p>
      <w:pPr>
        <w:ind w:left="438" w:hanging="438"/>
        <w:spacing w:after="0"/>
        <w:tabs>
          <w:tab w:leader="none" w:pos="43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without meetings</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resolution which is signed or approved by all the directors entitled to vote on that resolution (and whose vote would have been counted) shall be as valid and effectual as if it had been passed at a board meeting duly called and constituted. The resolution may be contained in one document or communication in electronic form or in several documents or communications in electronic form (in like form), or a combination of both, each signed or approved by one or more of the directors concerned (or their alternates, as applicable). For the purpose of this article the approval of a director (or their alternates, as applicable) shall be given in hard copy form or in electronic form.</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118" w:lineRule="exact"/>
        <w:rPr>
          <w:rFonts w:ascii="Times New Roman" w:cs="Times New Roman" w:eastAsia="Times New Roman" w:hAnsi="Times New Roman"/>
          <w:sz w:val="18"/>
          <w:szCs w:val="18"/>
          <w:b w:val="1"/>
          <w:bCs w:val="1"/>
          <w:color w:val="auto"/>
        </w:rPr>
      </w:pPr>
    </w:p>
    <w:p>
      <w:pPr>
        <w:ind w:left="43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acts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done by a meeting of the Board, or of a committee, or by any person acting as a director or a member of a committee, shall, notwithstanding that it is afterwards discovered that there was some defect in the appointment of any member of the Board or committee or of the person so acting, or that they or any of them were disqualified or had vacated office or were not entitled to vote, be as valid as if every such person had been duly appointed and qualified to be a director and had continued to be a director or member of the committee and had been entitled to vote.</w:t>
      </w:r>
    </w:p>
    <w:p>
      <w:pPr>
        <w:spacing w:after="0" w:line="11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98"/>
          </w:cols>
          <w:pgMar w:left="442" w:top="266" w:right="459" w:bottom="1440" w:gutter="0" w:footer="0" w:header="0"/>
        </w:sectPr>
      </w:pPr>
    </w:p>
    <w:bookmarkStart w:id="103" w:name="page104"/>
    <w:bookmarkEnd w:id="103"/>
    <w:p>
      <w:pPr>
        <w:ind w:left="438" w:hanging="438"/>
        <w:spacing w:after="0"/>
        <w:tabs>
          <w:tab w:leader="none" w:pos="43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Minutes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minutes to be made and kept in books kept for the purpose:</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appointments of officers made by the Board;</w:t>
      </w:r>
    </w:p>
    <w:p>
      <w:pPr>
        <w:spacing w:after="0" w:line="130" w:lineRule="exact"/>
        <w:rPr>
          <w:rFonts w:ascii="Times New Roman" w:cs="Times New Roman" w:eastAsia="Times New Roman" w:hAnsi="Times New Roman"/>
          <w:sz w:val="18"/>
          <w:szCs w:val="18"/>
          <w:color w:val="auto"/>
        </w:rPr>
      </w:pPr>
    </w:p>
    <w:p>
      <w:pPr>
        <w:ind w:left="1978" w:right="220" w:hanging="548"/>
        <w:spacing w:after="0" w:line="281" w:lineRule="auto"/>
        <w:tabs>
          <w:tab w:leader="none" w:pos="1978"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all the directors (or their alternates) and any other persons present at each meeting of the Board and of any committee; and</w:t>
      </w:r>
    </w:p>
    <w:p>
      <w:pPr>
        <w:spacing w:after="0" w:line="68" w:lineRule="exact"/>
        <w:rPr>
          <w:rFonts w:ascii="Times New Roman" w:cs="Times New Roman" w:eastAsia="Times New Roman" w:hAnsi="Times New Roman"/>
          <w:sz w:val="18"/>
          <w:szCs w:val="18"/>
          <w:color w:val="auto"/>
        </w:rPr>
      </w:pPr>
    </w:p>
    <w:p>
      <w:pPr>
        <w:ind w:left="1978" w:right="180" w:hanging="548"/>
        <w:spacing w:after="0" w:line="281" w:lineRule="auto"/>
        <w:tabs>
          <w:tab w:leader="none" w:pos="1978"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all meetings of the Company and of any class of members of the Company, and of the Board and of any committee.</w:t>
      </w:r>
    </w:p>
    <w:p>
      <w:pPr>
        <w:spacing w:after="0" w:line="68" w:lineRule="exact"/>
        <w:rPr>
          <w:rFonts w:ascii="Times New Roman" w:cs="Times New Roman" w:eastAsia="Times New Roman" w:hAnsi="Times New Roman"/>
          <w:sz w:val="18"/>
          <w:szCs w:val="18"/>
          <w:color w:val="auto"/>
        </w:rPr>
      </w:pPr>
    </w:p>
    <w:p>
      <w:pPr>
        <w:ind w:left="1418" w:right="820" w:hanging="433"/>
        <w:spacing w:after="0" w:line="281" w:lineRule="auto"/>
        <w:tabs>
          <w:tab w:leader="none" w:pos="141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signed by the chair of the meeting at which the proceedings were held or by the chair of the next succeeding meeting.</w:t>
      </w:r>
    </w:p>
    <w:p>
      <w:pPr>
        <w:spacing w:after="0" w:line="68"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must ensure that all resolutions of the Board passed otherwise than at board meetings are kept for at least ten years.</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Secretary</w:t>
      </w:r>
    </w:p>
    <w:p>
      <w:pPr>
        <w:spacing w:after="0" w:line="120" w:lineRule="exact"/>
        <w:rPr>
          <w:rFonts w:ascii="Times New Roman" w:cs="Times New Roman" w:eastAsia="Times New Roman" w:hAnsi="Times New Roman"/>
          <w:sz w:val="18"/>
          <w:szCs w:val="18"/>
          <w:b w:val="1"/>
          <w:bCs w:val="1"/>
          <w:color w:val="auto"/>
        </w:rPr>
      </w:pPr>
    </w:p>
    <w:p>
      <w:pPr>
        <w:jc w:val="both"/>
        <w:ind w:left="438" w:right="1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2006 Act, the secretary shall be appointed by the Board for such term, at such remuneration and on such conditions as it thinks fit, and the Board may remove from office any person so appointed (without prejudice to any claim for damages for breach of any contract between the secretary and the Company).</w:t>
      </w:r>
    </w:p>
    <w:p>
      <w:pPr>
        <w:spacing w:after="0" w:line="38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130" w:lineRule="exact"/>
        <w:rPr>
          <w:sz w:val="20"/>
          <w:szCs w:val="20"/>
          <w:color w:val="auto"/>
        </w:rPr>
      </w:pPr>
    </w:p>
    <w:p>
      <w:pPr>
        <w:ind w:left="438" w:hanging="438"/>
        <w:spacing w:after="0"/>
        <w:tabs>
          <w:tab w:leader="none" w:pos="43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 certificates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58" w:lineRule="auto"/>
        <w:tabs>
          <w:tab w:leader="none" w:pos="141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name is entered in the register as the holder of any certificated shares shall be entitled (unless the conditions of issue otherwise provide) within the time limits prescribed by the Statutes to receive one certificate for those shares, or one certificate for each class of those shares and, if that person transfers part of the shares represented by a certificate in that person’s name, or elects to hold part in uncertificated form, to receive a new certificate for the balance of those shares, provided in all cases that there shall be no requirement to issue any certificate to Cede &amp; Co. in respect of any shares held by it.</w:t>
      </w:r>
    </w:p>
    <w:p>
      <w:pPr>
        <w:spacing w:after="0" w:line="87" w:lineRule="exact"/>
        <w:rPr>
          <w:rFonts w:ascii="Times New Roman" w:cs="Times New Roman" w:eastAsia="Times New Roman" w:hAnsi="Times New Roman"/>
          <w:sz w:val="18"/>
          <w:szCs w:val="18"/>
          <w:color w:val="auto"/>
        </w:rPr>
      </w:pPr>
    </w:p>
    <w:p>
      <w:pPr>
        <w:ind w:left="1418" w:hanging="433"/>
        <w:spacing w:after="0" w:line="265" w:lineRule="auto"/>
        <w:tabs>
          <w:tab w:leader="none" w:pos="141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Company shall not be bound to issue more than one certificate for all the shares in any particular class registered in their joint names, and delivery of a certificate for a share to any one of the joint holders shall be sufficient delivery to all.</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78"/>
          </w:cols>
          <w:pgMar w:left="442" w:top="265" w:right="479" w:bottom="1440" w:gutter="0" w:footer="0" w:header="0"/>
        </w:sectPr>
      </w:pPr>
    </w:p>
    <w:bookmarkStart w:id="104" w:name="page105"/>
    <w:bookmarkEnd w:id="104"/>
    <w:p>
      <w:pPr>
        <w:ind w:left="1418" w:hanging="433"/>
        <w:spacing w:after="0" w:line="258" w:lineRule="auto"/>
        <w:tabs>
          <w:tab w:leader="none" w:pos="14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share certificate shall be issued under seal or signed by at least one director and the secretary or by at least two directors (which may include any signature being applied mechanically or electronically). A share certificate shall specify the number and class of the shares to which it relates and the amount or respective amounts paid up on the shares and (where required by the Statutes), the distinguishing numbers of such shares. Any certificate so issued shall, as against the Company, be prima facie evidence of title of the person named in that certificate to the shares comprised in it.</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may be given to a member in accordance with the provisions of these articles on notices and the Statutes.</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for and replacement of certificates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these articles, no fee shall be charged for the issue of a share certificate.</w:t>
      </w:r>
    </w:p>
    <w:p>
      <w:pPr>
        <w:spacing w:after="0" w:line="130" w:lineRule="exact"/>
        <w:rPr>
          <w:rFonts w:ascii="Times New Roman" w:cs="Times New Roman" w:eastAsia="Times New Roman" w:hAnsi="Times New Roman"/>
          <w:sz w:val="18"/>
          <w:szCs w:val="18"/>
          <w:color w:val="auto"/>
        </w:rPr>
      </w:pPr>
    </w:p>
    <w:p>
      <w:pPr>
        <w:ind w:left="1418" w:hanging="433"/>
        <w:spacing w:after="0" w:line="281" w:lineRule="auto"/>
        <w:tabs>
          <w:tab w:leader="none" w:pos="14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issued.</w:t>
      </w:r>
    </w:p>
    <w:p>
      <w:pPr>
        <w:spacing w:after="0" w:line="68" w:lineRule="exact"/>
        <w:rPr>
          <w:rFonts w:ascii="Times New Roman" w:cs="Times New Roman" w:eastAsia="Times New Roman" w:hAnsi="Times New Roman"/>
          <w:sz w:val="18"/>
          <w:szCs w:val="18"/>
          <w:color w:val="auto"/>
        </w:rPr>
      </w:pPr>
    </w:p>
    <w:p>
      <w:pPr>
        <w:ind w:left="1418" w:right="160" w:hanging="433"/>
        <w:spacing w:after="0" w:line="265" w:lineRule="auto"/>
        <w:tabs>
          <w:tab w:leader="none" w:pos="14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surrenders for cancellation a certificate representing shares held by that member and requests the Company to issue two or more certificates representing those shares in such proportions as that member may specify, the Board may, if it thinks fit, comply with the request on payment of such fee (if any) as the Board may decide.</w:t>
      </w:r>
    </w:p>
    <w:p>
      <w:pPr>
        <w:spacing w:after="0" w:line="82" w:lineRule="exact"/>
        <w:rPr>
          <w:rFonts w:ascii="Times New Roman" w:cs="Times New Roman" w:eastAsia="Times New Roman" w:hAnsi="Times New Roman"/>
          <w:sz w:val="18"/>
          <w:szCs w:val="18"/>
          <w:color w:val="auto"/>
        </w:rPr>
      </w:pPr>
    </w:p>
    <w:p>
      <w:pPr>
        <w:jc w:val="both"/>
        <w:ind w:left="1418" w:hanging="433"/>
        <w:spacing w:after="0" w:line="260" w:lineRule="auto"/>
        <w:tabs>
          <w:tab w:leader="none" w:pos="14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is damaged or defaced or alleged to have been lost, stolen or destroyed, a new certificate representing the same shares may be issued on compliance with such conditions as to evidence, indemnity and security for such indemnity as the Board may think fit and on payment of any exceptional expenses of the Company incidental to its investigation of the evidence and preparation of the indemnity and security and, if damaged or defaced, on delivery up of the old certificate.</w:t>
      </w:r>
    </w:p>
    <w:p>
      <w:pPr>
        <w:spacing w:after="0" w:line="87" w:lineRule="exact"/>
        <w:rPr>
          <w:rFonts w:ascii="Times New Roman" w:cs="Times New Roman" w:eastAsia="Times New Roman" w:hAnsi="Times New Roman"/>
          <w:sz w:val="18"/>
          <w:szCs w:val="18"/>
          <w:color w:val="auto"/>
        </w:rPr>
      </w:pPr>
    </w:p>
    <w:p>
      <w:pPr>
        <w:ind w:left="1418" w:right="360" w:hanging="433"/>
        <w:spacing w:after="0" w:line="281" w:lineRule="auto"/>
        <w:tabs>
          <w:tab w:leader="none" w:pos="14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 share a request for a new certificate under any of the preceding paragraphs of this article may be made by any one of the joint holders unless the certificate is alleged to have been lost, stolen or destroyed.</w:t>
      </w:r>
    </w:p>
    <w:p>
      <w:pPr>
        <w:spacing w:after="0" w:line="37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130" w:lineRule="exact"/>
        <w:rPr>
          <w:sz w:val="20"/>
          <w:szCs w:val="20"/>
          <w:color w:val="auto"/>
        </w:rPr>
      </w:pPr>
    </w:p>
    <w:p>
      <w:pPr>
        <w:ind w:left="438" w:hanging="438"/>
        <w:spacing w:after="0"/>
        <w:tabs>
          <w:tab w:leader="none" w:pos="43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partly paid shares</w:t>
      </w:r>
    </w:p>
    <w:p>
      <w:pPr>
        <w:spacing w:after="0" w:line="134" w:lineRule="exact"/>
        <w:rPr>
          <w:rFonts w:ascii="Times New Roman" w:cs="Times New Roman" w:eastAsia="Times New Roman" w:hAnsi="Times New Roman"/>
          <w:sz w:val="18"/>
          <w:szCs w:val="18"/>
          <w:b w:val="1"/>
          <w:bCs w:val="1"/>
          <w:color w:val="auto"/>
        </w:rPr>
      </w:pPr>
    </w:p>
    <w:p>
      <w:pPr>
        <w:ind w:left="1418" w:right="40" w:hanging="433"/>
        <w:spacing w:after="0" w:line="281" w:lineRule="auto"/>
        <w:tabs>
          <w:tab w:leader="none" w:pos="14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amounts payable (whether or not due) in respect of that share. The lien shall extend to every amount payable in respect of that share.</w:t>
      </w:r>
    </w:p>
    <w:p>
      <w:pPr>
        <w:spacing w:after="0" w:line="68" w:lineRule="exact"/>
        <w:rPr>
          <w:rFonts w:ascii="Times New Roman" w:cs="Times New Roman" w:eastAsia="Times New Roman" w:hAnsi="Times New Roman"/>
          <w:sz w:val="18"/>
          <w:szCs w:val="18"/>
          <w:color w:val="auto"/>
        </w:rPr>
      </w:pPr>
    </w:p>
    <w:p>
      <w:pPr>
        <w:ind w:left="1418" w:right="180" w:hanging="433"/>
        <w:spacing w:after="0" w:line="265" w:lineRule="auto"/>
        <w:tabs>
          <w:tab w:leader="none" w:pos="14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either generally or in any particular case declare any share to be wholly or partly exempt from this article. Unless otherwise agreed, the registration of a transfer of a share shall operate as a waiver of the Company’s lien (if any) on that share.</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78"/>
          </w:cols>
          <w:pgMar w:left="442" w:top="269" w:right="479" w:bottom="1440" w:gutter="0" w:footer="0" w:header="0"/>
        </w:sectPr>
      </w:pPr>
    </w:p>
    <w:bookmarkStart w:id="105" w:name="page106"/>
    <w:bookmarkEnd w:id="105"/>
    <w:p>
      <w:pPr>
        <w:ind w:left="440" w:hanging="438"/>
        <w:spacing w:after="0"/>
        <w:tabs>
          <w:tab w:leader="none" w:pos="4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lien</w:t>
      </w:r>
    </w:p>
    <w:p>
      <w:pPr>
        <w:spacing w:after="0" w:line="134" w:lineRule="exact"/>
        <w:rPr>
          <w:rFonts w:ascii="Times New Roman" w:cs="Times New Roman" w:eastAsia="Times New Roman" w:hAnsi="Times New Roman"/>
          <w:sz w:val="18"/>
          <w:szCs w:val="18"/>
          <w:b w:val="1"/>
          <w:bCs w:val="1"/>
          <w:color w:val="auto"/>
        </w:rPr>
      </w:pPr>
    </w:p>
    <w:p>
      <w:pPr>
        <w:ind w:left="1420" w:right="100" w:hanging="433"/>
        <w:spacing w:after="0" w:line="265"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any share subject to a lien in such manner as the Board may decide if an amount payable on the share is due and is not paid within 14 clear days after a notice has been given to the holder or any person entitled by transmission to the share demanding payment of that amount and giving notice of intention to sell in default.</w:t>
      </w:r>
    </w:p>
    <w:p>
      <w:pPr>
        <w:spacing w:after="0" w:line="82" w:lineRule="exact"/>
        <w:rPr>
          <w:rFonts w:ascii="Times New Roman" w:cs="Times New Roman" w:eastAsia="Times New Roman" w:hAnsi="Times New Roman"/>
          <w:sz w:val="18"/>
          <w:szCs w:val="18"/>
          <w:color w:val="auto"/>
        </w:rPr>
      </w:pPr>
    </w:p>
    <w:p>
      <w:pPr>
        <w:ind w:left="1420" w:right="140" w:hanging="433"/>
        <w:spacing w:after="0" w:line="265"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under this article, the Board may authorise some person to transfer the share sold to, or as directed by, the purchaser. The purchaser shall not be bound to see to the application of the purchase money nor shall the title of the new holder to the share be affected by any irregularity in or invalidity of the proceedings relating to the sale.</w:t>
      </w:r>
    </w:p>
    <w:p>
      <w:pPr>
        <w:spacing w:after="0" w:line="82" w:lineRule="exact"/>
        <w:rPr>
          <w:rFonts w:ascii="Times New Roman" w:cs="Times New Roman" w:eastAsia="Times New Roman" w:hAnsi="Times New Roman"/>
          <w:sz w:val="18"/>
          <w:szCs w:val="18"/>
          <w:color w:val="auto"/>
        </w:rPr>
      </w:pPr>
    </w:p>
    <w:p>
      <w:pPr>
        <w:ind w:left="1420" w:hanging="433"/>
        <w:spacing w:after="0" w:line="260" w:lineRule="auto"/>
        <w:tabs>
          <w:tab w:leader="none" w:pos="1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after payment of the costs of such sale, shall be applied in or towards satisfaction of the amount due and any residue shall (subject to a like lien for any amounts not presently due as existed on the share before the sale), on surrender, in the case of shares held in certificated form, of the certificate for the shares sold, be paid to the holder or person entitled by transmission to the share immediately before the sale.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108. Calls</w:t>
      </w:r>
    </w:p>
    <w:p>
      <w:pPr>
        <w:spacing w:after="0" w:line="134" w:lineRule="exact"/>
        <w:rPr>
          <w:sz w:val="20"/>
          <w:szCs w:val="20"/>
          <w:color w:val="auto"/>
        </w:rPr>
      </w:pPr>
    </w:p>
    <w:p>
      <w:pPr>
        <w:ind w:left="1420" w:right="40" w:hanging="433"/>
        <w:spacing w:after="0" w:line="258" w:lineRule="auto"/>
        <w:tabs>
          <w:tab w:leader="none" w:pos="1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these articles and the terms of which the shares are allotted, the Board may make calls on the members in respect of any moneys unpaid on their shares (whether in respect of nominal amount or premium) and not payable on a date fixed by or in accordance with the terms of issue. Each member shall (subject to receiving at least 14 clear days’ notice specifying when and where payment is to be made) pay to the Company as required by the notice the amount called on the member’s shares. A call may be revoked or postponed as the Board may decide.</w:t>
      </w:r>
    </w:p>
    <w:p>
      <w:pPr>
        <w:spacing w:after="0" w:line="87" w:lineRule="exact"/>
        <w:rPr>
          <w:rFonts w:ascii="Times New Roman" w:cs="Times New Roman" w:eastAsia="Times New Roman" w:hAnsi="Times New Roman"/>
          <w:sz w:val="18"/>
          <w:szCs w:val="18"/>
          <w:color w:val="auto"/>
        </w:rPr>
      </w:pPr>
    </w:p>
    <w:p>
      <w:pPr>
        <w:ind w:left="1420" w:right="180" w:hanging="433"/>
        <w:spacing w:after="0" w:line="281" w:lineRule="auto"/>
        <w:tabs>
          <w:tab w:leader="none" w:pos="1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call may be made payable in one sum or by instalments and shall be deemed to be made at the time when the resolution of the Board authorising that call is passed.</w:t>
      </w:r>
    </w:p>
    <w:p>
      <w:pPr>
        <w:spacing w:after="0" w:line="68" w:lineRule="exact"/>
        <w:rPr>
          <w:rFonts w:ascii="Times New Roman" w:cs="Times New Roman" w:eastAsia="Times New Roman" w:hAnsi="Times New Roman"/>
          <w:sz w:val="18"/>
          <w:szCs w:val="18"/>
          <w:color w:val="auto"/>
        </w:rPr>
      </w:pPr>
    </w:p>
    <w:p>
      <w:pPr>
        <w:ind w:left="1420" w:right="200" w:hanging="433"/>
        <w:spacing w:after="0" w:line="281" w:lineRule="auto"/>
        <w:tabs>
          <w:tab w:leader="none" w:pos="1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on whom a call is made shall remain liable for it notwithstanding the subsequent transfer of the share in respect of which the call is made.</w:t>
      </w:r>
    </w:p>
    <w:p>
      <w:pPr>
        <w:spacing w:after="0" w:line="68"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for the payment of all calls in respect of that share.</w:t>
      </w:r>
    </w:p>
    <w:p>
      <w:pPr>
        <w:spacing w:after="0" w:line="3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on calls</w:t>
      </w:r>
    </w:p>
    <w:p>
      <w:pPr>
        <w:spacing w:after="0" w:line="120" w:lineRule="exact"/>
        <w:rPr>
          <w:rFonts w:ascii="Times New Roman" w:cs="Times New Roman" w:eastAsia="Times New Roman" w:hAnsi="Times New Roman"/>
          <w:sz w:val="18"/>
          <w:szCs w:val="18"/>
          <w:b w:val="1"/>
          <w:bCs w:val="1"/>
          <w:color w:val="auto"/>
        </w:rPr>
      </w:pPr>
    </w:p>
    <w:p>
      <w:pPr>
        <w:ind w:left="440" w:right="1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call is not paid before or on the due date for payment, the person from whom it is due shall pay interest on the amount unpaid, from the due date for payment to the date of actual payment, at such rate as the Board may decide, but the Board may waive payment of the interest, wholly or in part.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6" w:right="459" w:bottom="1440" w:gutter="0" w:footer="0" w:header="0"/>
        </w:sectPr>
      </w:pPr>
    </w:p>
    <w:bookmarkStart w:id="106" w:name="page107"/>
    <w:bookmarkEnd w:id="106"/>
    <w:p>
      <w:pPr>
        <w:ind w:left="438" w:hanging="438"/>
        <w:spacing w:after="0"/>
        <w:tabs>
          <w:tab w:leader="none" w:pos="43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Sums treated as calls</w:t>
      </w:r>
    </w:p>
    <w:p>
      <w:pPr>
        <w:spacing w:after="0" w:line="120" w:lineRule="exact"/>
        <w:rPr>
          <w:rFonts w:ascii="Times New Roman" w:cs="Times New Roman" w:eastAsia="Times New Roman" w:hAnsi="Times New Roman"/>
          <w:sz w:val="18"/>
          <w:szCs w:val="18"/>
          <w:b w:val="1"/>
          <w:bCs w:val="1"/>
          <w:color w:val="auto"/>
        </w:rPr>
      </w:pPr>
    </w:p>
    <w:p>
      <w:pPr>
        <w:ind w:left="438"/>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 which by the terms of allotment of a share is payable on allotment, or at a fixed time, or by instalments at fixed times, whether in respect of nominal value or premium, shall for all purposes of these articles be deemed to be a call duly made and payable on the date or dates fixed for payment and, in case of non-payment, these articles shall apply as if that sum had become due and payable by virtue of a call.</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differentiate</w:t>
      </w:r>
    </w:p>
    <w:p>
      <w:pPr>
        <w:spacing w:after="0" w:line="120" w:lineRule="exact"/>
        <w:rPr>
          <w:rFonts w:ascii="Times New Roman" w:cs="Times New Roman" w:eastAsia="Times New Roman" w:hAnsi="Times New Roman"/>
          <w:sz w:val="18"/>
          <w:szCs w:val="18"/>
          <w:b w:val="1"/>
          <w:bCs w:val="1"/>
          <w:color w:val="auto"/>
        </w:rPr>
      </w:pPr>
    </w:p>
    <w:p>
      <w:pPr>
        <w:ind w:left="438" w:right="2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any allotment of shares the Board may make arrangements for a difference between the allottees or holders of the shares in the amounts and times of payment of calls on their shares.</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calls in advance</w:t>
      </w:r>
    </w:p>
    <w:p>
      <w:pPr>
        <w:spacing w:after="0" w:line="120" w:lineRule="exact"/>
        <w:rPr>
          <w:rFonts w:ascii="Times New Roman" w:cs="Times New Roman" w:eastAsia="Times New Roman" w:hAnsi="Times New Roman"/>
          <w:sz w:val="18"/>
          <w:szCs w:val="18"/>
          <w:b w:val="1"/>
          <w:bCs w:val="1"/>
          <w:color w:val="auto"/>
        </w:rPr>
      </w:pPr>
    </w:p>
    <w:p>
      <w:pPr>
        <w:ind w:left="438" w:right="1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if it thinks fit, receive all or any part of the moneys payable on a share beyond the sum actually called up on it if the holder is willing to make payment in advance and, on any moneys so paid in advance, may (until they would otherwise be due) pay interest at such rate as may be agreed between the Board and the member paying the sum in advance.</w:t>
      </w:r>
    </w:p>
    <w:p>
      <w:pPr>
        <w:spacing w:after="0" w:line="38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130" w:lineRule="exact"/>
        <w:rPr>
          <w:sz w:val="20"/>
          <w:szCs w:val="20"/>
          <w:color w:val="auto"/>
        </w:rPr>
      </w:pPr>
    </w:p>
    <w:p>
      <w:pPr>
        <w:ind w:left="438" w:hanging="438"/>
        <w:spacing w:after="0"/>
        <w:tabs>
          <w:tab w:leader="none" w:pos="43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unpaid calls</w:t>
      </w:r>
    </w:p>
    <w:p>
      <w:pPr>
        <w:spacing w:after="0" w:line="134" w:lineRule="exact"/>
        <w:rPr>
          <w:rFonts w:ascii="Times New Roman" w:cs="Times New Roman" w:eastAsia="Times New Roman" w:hAnsi="Times New Roman"/>
          <w:sz w:val="18"/>
          <w:szCs w:val="18"/>
          <w:b w:val="1"/>
          <w:bCs w:val="1"/>
          <w:color w:val="auto"/>
        </w:rPr>
      </w:pPr>
    </w:p>
    <w:p>
      <w:pPr>
        <w:ind w:left="1418" w:right="140" w:hanging="433"/>
        <w:spacing w:after="0" w:line="265" w:lineRule="auto"/>
        <w:tabs>
          <w:tab w:leader="none" w:pos="141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whole or any part of any call or instalment remains unpaid on any share after the due date for payment, the Board may give a notice to the holder requiring the holder to pay so much of the call or instalment as remains unpaid, together with any accrued interest.</w:t>
      </w:r>
    </w:p>
    <w:p>
      <w:pPr>
        <w:spacing w:after="0" w:line="82" w:lineRule="exact"/>
        <w:rPr>
          <w:rFonts w:ascii="Times New Roman" w:cs="Times New Roman" w:eastAsia="Times New Roman" w:hAnsi="Times New Roman"/>
          <w:sz w:val="18"/>
          <w:szCs w:val="18"/>
          <w:color w:val="auto"/>
        </w:rPr>
      </w:pPr>
    </w:p>
    <w:p>
      <w:pPr>
        <w:jc w:val="both"/>
        <w:ind w:left="1418" w:right="200" w:hanging="433"/>
        <w:spacing w:after="0" w:line="265" w:lineRule="auto"/>
        <w:tabs>
          <w:tab w:leader="none" w:pos="141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state a further day, being not less than 14 clear days from the date of the notice, on or before which, and the place where, payment is to be made and shall state that, in the event of non-payment on or before the day and at the place appointed, the share in respect of which the call was made or instalment is payable will be liable to be forfeited.</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a surrender of any share liable to be forfeited.</w:t>
      </w:r>
    </w:p>
    <w:p>
      <w:pPr>
        <w:spacing w:after="0" w:line="3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on non-compliance with notice</w:t>
      </w:r>
    </w:p>
    <w:p>
      <w:pPr>
        <w:spacing w:after="0" w:line="134" w:lineRule="exact"/>
        <w:rPr>
          <w:rFonts w:ascii="Times New Roman" w:cs="Times New Roman" w:eastAsia="Times New Roman" w:hAnsi="Times New Roman"/>
          <w:sz w:val="18"/>
          <w:szCs w:val="18"/>
          <w:b w:val="1"/>
          <w:bCs w:val="1"/>
          <w:color w:val="auto"/>
        </w:rPr>
      </w:pPr>
    </w:p>
    <w:p>
      <w:pPr>
        <w:ind w:left="1418" w:right="120" w:hanging="433"/>
        <w:spacing w:after="0" w:line="288" w:lineRule="auto"/>
        <w:tabs>
          <w:tab w:leader="none" w:pos="1418"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requirements of a notice given under article 113 are not complied with, any share in respect of which it was given may at any time thereafter (before the payment required by the notice is made) be forfeited by a resolution of the Board. The forfeiture shall include all dividends declared and other moneys payable in respect of the forfeited share and not actually paid before the forfeiture.</w:t>
      </w:r>
    </w:p>
    <w:p>
      <w:pPr>
        <w:spacing w:after="0" w:line="64" w:lineRule="exact"/>
        <w:rPr>
          <w:rFonts w:ascii="Times New Roman" w:cs="Times New Roman" w:eastAsia="Times New Roman" w:hAnsi="Times New Roman"/>
          <w:sz w:val="17"/>
          <w:szCs w:val="17"/>
          <w:color w:val="auto"/>
        </w:rPr>
      </w:pPr>
    </w:p>
    <w:p>
      <w:pPr>
        <w:jc w:val="both"/>
        <w:ind w:left="1418" w:right="40" w:hanging="433"/>
        <w:spacing w:after="0" w:line="265" w:lineRule="auto"/>
        <w:tabs>
          <w:tab w:leader="none" w:pos="141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is forfeited, notice of the forfeiture shall be given to the person who was the holder of the share or (as the case may be) the person entitled to the share by transmission, and an entry that notice of the forfeiture has been given, with the relevant date, shall be made in the register; but no forfeiture shall be invalidated by any omission to give such notice or to make such entry.</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78"/>
          </w:cols>
          <w:pgMar w:left="442" w:top="266" w:right="479" w:bottom="1440" w:gutter="0" w:footer="0" w:header="0"/>
        </w:sectPr>
      </w:pPr>
    </w:p>
    <w:bookmarkStart w:id="107" w:name="page108"/>
    <w:bookmarkEnd w:id="107"/>
    <w:p>
      <w:pPr>
        <w:ind w:left="440" w:hanging="438"/>
        <w:spacing w:after="0"/>
        <w:tabs>
          <w:tab w:leader="none" w:pos="4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to annul forfeiture or surrender</w:t>
      </w:r>
    </w:p>
    <w:p>
      <w:pPr>
        <w:spacing w:after="0" w:line="120" w:lineRule="exact"/>
        <w:rPr>
          <w:rFonts w:ascii="Times New Roman" w:cs="Times New Roman" w:eastAsia="Times New Roman" w:hAnsi="Times New Roman"/>
          <w:sz w:val="18"/>
          <w:szCs w:val="18"/>
          <w:b w:val="1"/>
          <w:bCs w:val="1"/>
          <w:color w:val="auto"/>
        </w:rPr>
      </w:pPr>
    </w:p>
    <w:p>
      <w:pPr>
        <w:jc w:val="both"/>
        <w:ind w:left="440" w:right="2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Board may, at any time before the forfeited or surrendered share has been sold, re-allotted or otherwise disposed of, annul the forfeiture or surrender upon payment of all calls and interest due on or incurred in respect of the share and on such further conditions (if any) as it thinks fit.</w:t>
      </w:r>
    </w:p>
    <w:p>
      <w:pPr>
        <w:spacing w:after="0" w:line="283"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forfeited or surrendered shares</w:t>
      </w:r>
    </w:p>
    <w:p>
      <w:pPr>
        <w:spacing w:after="0" w:line="134" w:lineRule="exact"/>
        <w:rPr>
          <w:rFonts w:ascii="Times New Roman" w:cs="Times New Roman" w:eastAsia="Times New Roman" w:hAnsi="Times New Roman"/>
          <w:sz w:val="18"/>
          <w:szCs w:val="18"/>
          <w:b w:val="1"/>
          <w:bCs w:val="1"/>
          <w:color w:val="auto"/>
        </w:rPr>
      </w:pPr>
    </w:p>
    <w:p>
      <w:pPr>
        <w:ind w:left="1420" w:right="80" w:hanging="433"/>
        <w:spacing w:after="0" w:line="256" w:lineRule="auto"/>
        <w:tabs>
          <w:tab w:leader="none" w:pos="14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which is forfeited or surrendered shall become the property of the Company and (subject to the Statutes) 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 The Board may for the purposes of a disposal authorise some person to transfer the forfeited or surrendered share to, or in accordance with the directions of, any person to whom the same has been disposed of.</w:t>
      </w:r>
    </w:p>
    <w:p>
      <w:pPr>
        <w:spacing w:after="0" w:line="91" w:lineRule="exact"/>
        <w:rPr>
          <w:rFonts w:ascii="Times New Roman" w:cs="Times New Roman" w:eastAsia="Times New Roman" w:hAnsi="Times New Roman"/>
          <w:sz w:val="18"/>
          <w:szCs w:val="18"/>
          <w:color w:val="auto"/>
        </w:rPr>
      </w:pPr>
    </w:p>
    <w:p>
      <w:pPr>
        <w:ind w:left="1420" w:hanging="433"/>
        <w:spacing w:after="0" w:line="276" w:lineRule="auto"/>
        <w:tabs>
          <w:tab w:leader="none" w:pos="142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statutory declaration by a director or the secretary that a share has been forfeited or surrendered on a specified date shall, as against all persons claiming to be entitled to the share, be conclusive evidence of the facts stated in it and shall (subject to the execution of any necessary transfer) constitute a good title to the share. The person to whom the share has been disposed of shall not be bound to see to the application of the consideration for the disposal (if any) nor shall that person’s title to the share be affected by any irregularity in or invalidity of the proceedings connected with the forfeiture, surrender, sale, re-allotment or disposal of the share.</w:t>
      </w:r>
    </w:p>
    <w:p>
      <w:pPr>
        <w:spacing w:after="0" w:line="314" w:lineRule="exact"/>
        <w:rPr>
          <w:rFonts w:ascii="Times New Roman" w:cs="Times New Roman" w:eastAsia="Times New Roman" w:hAnsi="Times New Roman"/>
          <w:sz w:val="17"/>
          <w:szCs w:val="17"/>
          <w:color w:val="auto"/>
        </w:rPr>
      </w:pPr>
    </w:p>
    <w:p>
      <w:pPr>
        <w:ind w:left="440" w:hanging="438"/>
        <w:spacing w:after="0"/>
        <w:tabs>
          <w:tab w:leader="none" w:pos="4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Arrears to be paid notwithstanding forfeiture or surrender</w:t>
      </w:r>
    </w:p>
    <w:p>
      <w:pPr>
        <w:spacing w:after="0" w:line="120" w:lineRule="exact"/>
        <w:rPr>
          <w:rFonts w:ascii="Times New Roman" w:cs="Times New Roman" w:eastAsia="Times New Roman" w:hAnsi="Times New Roman"/>
          <w:sz w:val="18"/>
          <w:szCs w:val="18"/>
          <w:b w:val="1"/>
          <w:bCs w:val="1"/>
          <w:color w:val="auto"/>
        </w:rPr>
      </w:pPr>
    </w:p>
    <w:p>
      <w:pPr>
        <w:ind w:left="4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any of whose shares have been forfeited or surrendered shall cease to be a member in respect of the forfeited or surrendered share and shall, in the case of shares held in certificated form, surrender to the Company for cancellation any certificate for the share forfeited or surrendered, but shall remain liable (unless payment is waived in whole or in part by the Board) to pay to the Company all moneys payable by that person on or in respect of that share at the time of forfeiture or surrender, together with interest from the time of forfeiture or surrender until payment at such rate as the Board shall decide, in the same manner as if the share had not been forfeited or surrendered. The Board may waive payment of interest wholly or in part and may enforce payment, without any reduction or allowance for the value of the shares at the time of forfeiture or for any consideration received on their disposal. Such a person shall also be liable to satisfy all the claims and demands (if any) which the Company might have enforced in respect of the share at the time of forfeiture or surrender. No deduction or allowance shall be made for the value of the share at the time of forfeiture or surrender or for any consideration received on its disposal.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118.  Seal</w:t>
      </w:r>
    </w:p>
    <w:p>
      <w:pPr>
        <w:spacing w:after="0" w:line="134" w:lineRule="exact"/>
        <w:rPr>
          <w:sz w:val="20"/>
          <w:szCs w:val="20"/>
          <w:color w:val="auto"/>
        </w:rPr>
      </w:pPr>
    </w:p>
    <w:p>
      <w:pPr>
        <w:ind w:left="1420" w:right="480" w:hanging="433"/>
        <w:spacing w:after="0" w:line="281" w:lineRule="auto"/>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powers conferred by the Statutes with regard to having official seals and those powers shall be vested in the Board.</w:t>
      </w:r>
    </w:p>
    <w:p>
      <w:pPr>
        <w:spacing w:after="0" w:line="68"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provide for the safe custody of every seal of the Company.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5" w:right="459" w:bottom="1440" w:gutter="0" w:footer="0" w:header="0"/>
        </w:sectPr>
      </w:pPr>
    </w:p>
    <w:bookmarkStart w:id="108" w:name="page109"/>
    <w:bookmarkEnd w:id="108"/>
    <w:p>
      <w:pPr>
        <w:ind w:left="1418" w:right="360" w:hanging="433"/>
        <w:spacing w:after="0" w:line="265" w:lineRule="auto"/>
        <w:tabs>
          <w:tab w:leader="none" w:pos="14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seal shall be used only by the authority of the Board or a duly authorised committee but that authority may consist of an instruction or approval given in hard copy form or in electronic form by a majority of the directors or of the members of a duly authorised committee.</w:t>
      </w:r>
    </w:p>
    <w:p>
      <w:pPr>
        <w:spacing w:after="0" w:line="82" w:lineRule="exact"/>
        <w:rPr>
          <w:rFonts w:ascii="Times New Roman" w:cs="Times New Roman" w:eastAsia="Times New Roman" w:hAnsi="Times New Roman"/>
          <w:sz w:val="18"/>
          <w:szCs w:val="18"/>
          <w:color w:val="auto"/>
        </w:rPr>
      </w:pPr>
    </w:p>
    <w:p>
      <w:pPr>
        <w:jc w:val="both"/>
        <w:ind w:left="1418" w:right="260" w:hanging="433"/>
        <w:spacing w:after="0" w:line="265" w:lineRule="auto"/>
        <w:tabs>
          <w:tab w:leader="none" w:pos="14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who shall sign any instrument to which a seal is applied, either generally or in relation to a particular instrument or type of instrument, and may also determine, either generally or in any particular case, that such signatures shall be dispensed with or affixed by some mechanical means.</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decided by the Board: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debentures or other securities of the Company issued under seal need not be signed; and</w:t>
      </w:r>
    </w:p>
    <w:p>
      <w:pPr>
        <w:spacing w:after="0" w:line="130" w:lineRule="exact"/>
        <w:rPr>
          <w:rFonts w:ascii="Times New Roman" w:cs="Times New Roman" w:eastAsia="Times New Roman" w:hAnsi="Times New Roman"/>
          <w:sz w:val="18"/>
          <w:szCs w:val="18"/>
          <w:color w:val="auto"/>
        </w:rPr>
      </w:pPr>
    </w:p>
    <w:p>
      <w:pPr>
        <w:ind w:left="1978" w:right="100" w:hanging="548"/>
        <w:spacing w:after="0" w:line="281" w:lineRule="auto"/>
        <w:tabs>
          <w:tab w:leader="none" w:pos="197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instrument to which a seal is applied shall be signed by at least one director and the secretary or by at least two directors or by one director in the presence of a witness who attests the signature.</w:t>
      </w:r>
    </w:p>
    <w:p>
      <w:pPr>
        <w:spacing w:after="0" w:line="374"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0" w:lineRule="exact"/>
        <w:rPr>
          <w:sz w:val="20"/>
          <w:szCs w:val="20"/>
          <w:color w:val="auto"/>
        </w:rPr>
      </w:pPr>
    </w:p>
    <w:p>
      <w:pPr>
        <w:ind w:left="438" w:hanging="438"/>
        <w:spacing w:after="0"/>
        <w:tabs>
          <w:tab w:leader="none" w:pos="43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dividends by the Company</w:t>
      </w:r>
    </w:p>
    <w:p>
      <w:pPr>
        <w:spacing w:after="0" w:line="120" w:lineRule="exact"/>
        <w:rPr>
          <w:rFonts w:ascii="Times New Roman" w:cs="Times New Roman" w:eastAsia="Times New Roman" w:hAnsi="Times New Roman"/>
          <w:sz w:val="18"/>
          <w:szCs w:val="18"/>
          <w:b w:val="1"/>
          <w:bCs w:val="1"/>
          <w:color w:val="auto"/>
        </w:rPr>
      </w:pPr>
    </w:p>
    <w:p>
      <w:pPr>
        <w:jc w:val="both"/>
        <w:ind w:left="438" w:right="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Subject to the provisions of the 2006 Act, the Company may, by ordinary resolution, declare a dividend to be paid to the members, according to their respective rights, and may fix the time for payment of such dividend, but no dividend shall exceed the amount recommended by the Board.</w:t>
      </w:r>
    </w:p>
    <w:p>
      <w:pPr>
        <w:spacing w:after="0" w:line="283"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and interim dividends</w:t>
      </w:r>
    </w:p>
    <w:p>
      <w:pPr>
        <w:spacing w:after="0" w:line="120" w:lineRule="exact"/>
        <w:rPr>
          <w:rFonts w:ascii="Times New Roman" w:cs="Times New Roman" w:eastAsia="Times New Roman" w:hAnsi="Times New Roman"/>
          <w:sz w:val="18"/>
          <w:szCs w:val="18"/>
          <w:b w:val="1"/>
          <w:bCs w:val="1"/>
          <w:color w:val="auto"/>
        </w:rPr>
      </w:pPr>
    </w:p>
    <w:p>
      <w:pPr>
        <w:ind w:left="438"/>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2006 Act, the Board may pay interim dividends and may also pay any dividend payable at a fixed rate at intervals settled by the Board whenever the financial position of the Company, in the opinion of the Board, justifies its payment. If the Board acts in good faith, none of the directors shall incur any liability to the holders of shares conferring preferred rights for any loss such holders may suffer in consequence of the payment of an interim dividend on any shares having non-preferred or deferred rights.</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and currency of dividends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insofar as the rights attaching to, or the terms of issue of, any share otherwise provide:</w:t>
      </w:r>
    </w:p>
    <w:p>
      <w:pPr>
        <w:spacing w:after="0" w:line="130" w:lineRule="exact"/>
        <w:rPr>
          <w:rFonts w:ascii="Times New Roman" w:cs="Times New Roman" w:eastAsia="Times New Roman" w:hAnsi="Times New Roman"/>
          <w:sz w:val="18"/>
          <w:szCs w:val="18"/>
          <w:color w:val="auto"/>
        </w:rPr>
      </w:pPr>
    </w:p>
    <w:p>
      <w:pPr>
        <w:jc w:val="both"/>
        <w:ind w:left="1978" w:right="160" w:hanging="548"/>
        <w:spacing w:after="0" w:line="265" w:lineRule="auto"/>
        <w:tabs>
          <w:tab w:leader="none" w:pos="1978"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w:t>
      </w:r>
    </w:p>
    <w:p>
      <w:pPr>
        <w:spacing w:after="0" w:line="80" w:lineRule="exact"/>
        <w:rPr>
          <w:rFonts w:ascii="Times New Roman" w:cs="Times New Roman" w:eastAsia="Times New Roman" w:hAnsi="Times New Roman"/>
          <w:sz w:val="18"/>
          <w:szCs w:val="18"/>
          <w:color w:val="auto"/>
        </w:rPr>
      </w:pPr>
    </w:p>
    <w:p>
      <w:pPr>
        <w:ind w:left="1978" w:right="220" w:hanging="548"/>
        <w:spacing w:after="0" w:line="283" w:lineRule="auto"/>
        <w:tabs>
          <w:tab w:leader="none" w:pos="1978"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dividends shall be apportioned and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paid up on the shares during any portion or portions of the period in respect of which the dividend is paid; and</w:t>
      </w:r>
    </w:p>
    <w:p>
      <w:pPr>
        <w:spacing w:after="0" w:line="94"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98"/>
          </w:cols>
          <w:pgMar w:left="442" w:top="270" w:right="559" w:bottom="1440" w:gutter="0" w:footer="0" w:header="0"/>
        </w:sectPr>
      </w:pPr>
    </w:p>
    <w:bookmarkStart w:id="109" w:name="page110"/>
    <w:bookmarkEnd w:id="109"/>
    <w:p>
      <w:pPr>
        <w:ind w:left="1978" w:hanging="548"/>
        <w:spacing w:after="0"/>
        <w:tabs>
          <w:tab w:leader="none" w:pos="1978"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may be declared or paid in any currency.</w:t>
      </w:r>
    </w:p>
    <w:p>
      <w:pPr>
        <w:spacing w:after="0" w:line="130" w:lineRule="exact"/>
        <w:rPr>
          <w:rFonts w:ascii="Times New Roman" w:cs="Times New Roman" w:eastAsia="Times New Roman" w:hAnsi="Times New Roman"/>
          <w:sz w:val="18"/>
          <w:szCs w:val="18"/>
          <w:color w:val="auto"/>
        </w:rPr>
      </w:pPr>
    </w:p>
    <w:p>
      <w:pPr>
        <w:ind w:left="1418" w:right="180" w:hanging="433"/>
        <w:spacing w:after="0" w:line="260" w:lineRule="auto"/>
        <w:tabs>
          <w:tab w:leader="none" w:pos="141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agree with any member that dividends which may at any time or from time to time be declared or become due on that member’s shares in one currency shall be paid or satisfied in another and may agree the basis of conversion to be applied and how and when the amount to be paid in the other currency shall be calculated and paid and for the Company or any other person to bear any costs involved.</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134" w:lineRule="exact"/>
        <w:rPr>
          <w:rFonts w:ascii="Times New Roman" w:cs="Times New Roman" w:eastAsia="Times New Roman" w:hAnsi="Times New Roman"/>
          <w:sz w:val="18"/>
          <w:szCs w:val="18"/>
          <w:b w:val="1"/>
          <w:bCs w:val="1"/>
          <w:color w:val="auto"/>
        </w:rPr>
      </w:pPr>
    </w:p>
    <w:p>
      <w:pPr>
        <w:ind w:left="1418" w:right="40" w:hanging="433"/>
        <w:spacing w:after="0" w:line="260" w:lineRule="auto"/>
        <w:tabs>
          <w:tab w:leader="none" w:pos="141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any dividend or other sum payable in respect of a share by such method as the Board may decide. The Board may decide to use different methods of payment for different holders or groups of holders. Without limiting any other method of payment which the Board may decide upon, the Board may decide that payment can be made, wholly or partly and exclusively or optionally:</w:t>
      </w:r>
    </w:p>
    <w:p>
      <w:pPr>
        <w:spacing w:after="0" w:line="87" w:lineRule="exact"/>
        <w:rPr>
          <w:rFonts w:ascii="Times New Roman" w:cs="Times New Roman" w:eastAsia="Times New Roman" w:hAnsi="Times New Roman"/>
          <w:sz w:val="18"/>
          <w:szCs w:val="18"/>
          <w:color w:val="auto"/>
        </w:rPr>
      </w:pPr>
    </w:p>
    <w:p>
      <w:pPr>
        <w:ind w:left="1978" w:hanging="548"/>
        <w:spacing w:after="0" w:line="265" w:lineRule="auto"/>
        <w:tabs>
          <w:tab w:leader="none" w:pos="1978"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dividend warrant payable to the holder (or, in the case of joint holders, the holder whose name stands first in the register in respect of the relevant share) or to such other person as the holder (or, in the case of joint holders, all the joint holders) may notify to the Company for the purpose; or</w:t>
      </w:r>
    </w:p>
    <w:p>
      <w:pPr>
        <w:spacing w:after="0" w:line="83" w:lineRule="exact"/>
        <w:rPr>
          <w:sz w:val="20"/>
          <w:szCs w:val="20"/>
          <w:color w:val="auto"/>
        </w:rPr>
      </w:pPr>
    </w:p>
    <w:p>
      <w:pPr>
        <w:ind w:left="1978" w:right="40" w:hanging="548"/>
        <w:spacing w:after="0" w:line="265" w:lineRule="auto"/>
        <w:tabs>
          <w:tab w:leader="none" w:pos="197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bank or other funds transfer system or by such other electronic means as the Board may decide (including, in the case of an uncertificated share, a relevant system) to such account as the holder (or, in the case of joint holders, all the joint holders) may notify to the Company for the purpose; or</w:t>
      </w:r>
    </w:p>
    <w:p>
      <w:pPr>
        <w:spacing w:after="0" w:line="82"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way as may be agreed between the Company and the holder (or, in the case of joint holders, all such holders).</w:t>
      </w:r>
    </w:p>
    <w:p>
      <w:pPr>
        <w:spacing w:after="0" w:line="130" w:lineRule="exact"/>
        <w:rPr>
          <w:rFonts w:ascii="Times New Roman" w:cs="Times New Roman" w:eastAsia="Times New Roman" w:hAnsi="Times New Roman"/>
          <w:sz w:val="18"/>
          <w:szCs w:val="18"/>
          <w:color w:val="auto"/>
        </w:rPr>
      </w:pPr>
    </w:p>
    <w:p>
      <w:pPr>
        <w:ind w:left="1418" w:right="240" w:hanging="433"/>
        <w:spacing w:after="0" w:line="260" w:lineRule="auto"/>
        <w:tabs>
          <w:tab w:leader="none" w:pos="14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decides that any dividend or other sum payable in respect of a share will be made exclusively by one or more of the methods referred to in paragraph (a)(ii) above to an account, but no such account is nominated by the holder (or, in case of joint holders, all the joint holders) or if an attempted payment into a nominated account is rejected or refunded, the Company may treat that dividend or other sum payable as unclaimed.</w:t>
      </w:r>
    </w:p>
    <w:p>
      <w:pPr>
        <w:spacing w:after="0" w:line="87" w:lineRule="exact"/>
        <w:rPr>
          <w:rFonts w:ascii="Times New Roman" w:cs="Times New Roman" w:eastAsia="Times New Roman" w:hAnsi="Times New Roman"/>
          <w:sz w:val="18"/>
          <w:szCs w:val="18"/>
          <w:color w:val="auto"/>
        </w:rPr>
      </w:pPr>
    </w:p>
    <w:p>
      <w:pPr>
        <w:jc w:val="both"/>
        <w:ind w:left="1418" w:right="140" w:hanging="433"/>
        <w:spacing w:after="0" w:line="265" w:lineRule="auto"/>
        <w:tabs>
          <w:tab w:leader="none" w:pos="14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cheque or dividend warrant may be sent by post to the registered address of the holder (or, in the case of joint holders, to the registered address of that person whose name stands first in the register in respect of the relevant share) or to such other address as the holder (or, in the case of joint holders, all the joint holders) may notify to the Company for the purpose.</w:t>
      </w:r>
    </w:p>
    <w:p>
      <w:pPr>
        <w:spacing w:after="0" w:line="82" w:lineRule="exact"/>
        <w:rPr>
          <w:rFonts w:ascii="Times New Roman" w:cs="Times New Roman" w:eastAsia="Times New Roman" w:hAnsi="Times New Roman"/>
          <w:sz w:val="18"/>
          <w:szCs w:val="18"/>
          <w:color w:val="auto"/>
        </w:rPr>
      </w:pPr>
    </w:p>
    <w:p>
      <w:pPr>
        <w:ind w:left="1418" w:right="280" w:hanging="433"/>
        <w:spacing w:after="0" w:line="260" w:lineRule="auto"/>
        <w:tabs>
          <w:tab w:leader="none" w:pos="14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cheque or warrant is sent, and payment in any other way is made, at the risk of the person or persons entitled to it and the Company will not be responsible for any sum lost or delayed when it has sent or transmitted the sum in accordance with these articles. Clearance of a cheque or warrant or transmission of funds through a bank or other funds transfer system or by such other electronic means as is permitted by these articles shall be a good discharge to the Company.</w:t>
      </w:r>
    </w:p>
    <w:p>
      <w:pPr>
        <w:spacing w:after="0" w:line="11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98"/>
          </w:cols>
          <w:pgMar w:left="442" w:top="270" w:right="459" w:bottom="1440" w:gutter="0" w:footer="0" w:header="0"/>
        </w:sectPr>
      </w:pPr>
    </w:p>
    <w:bookmarkStart w:id="110" w:name="page111"/>
    <w:bookmarkEnd w:id="110"/>
    <w:p>
      <w:pPr>
        <w:ind w:left="1978" w:right="20" w:hanging="548"/>
        <w:spacing w:after="0" w:line="281" w:lineRule="auto"/>
        <w:tabs>
          <w:tab w:leader="none" w:pos="1978"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joint holder or other person jointly entitled to any share may give an effective receipt for any dividend or other sum paid in respect of the share.</w:t>
      </w:r>
    </w:p>
    <w:p>
      <w:pPr>
        <w:spacing w:after="0" w:line="68" w:lineRule="exact"/>
        <w:rPr>
          <w:rFonts w:ascii="Times New Roman" w:cs="Times New Roman" w:eastAsia="Times New Roman" w:hAnsi="Times New Roman"/>
          <w:sz w:val="18"/>
          <w:szCs w:val="18"/>
          <w:color w:val="auto"/>
        </w:rPr>
      </w:pPr>
    </w:p>
    <w:p>
      <w:pPr>
        <w:ind w:left="1978" w:right="300" w:hanging="548"/>
        <w:spacing w:after="0" w:line="260" w:lineRule="auto"/>
        <w:tabs>
          <w:tab w:leader="none" w:pos="1978"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or other sum payable in respect of any share may be paid to a person or persons entitled by transmission to that share as if that person or those persons were the holder or joint holders of that share and that person’s address (or the address of the first named of two or more persons jointly entitled) noted in the register were the registered address.</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not to bear interest</w:t>
      </w:r>
    </w:p>
    <w:p>
      <w:pPr>
        <w:spacing w:after="0" w:line="120" w:lineRule="exact"/>
        <w:rPr>
          <w:rFonts w:ascii="Times New Roman" w:cs="Times New Roman" w:eastAsia="Times New Roman" w:hAnsi="Times New Roman"/>
          <w:sz w:val="18"/>
          <w:szCs w:val="18"/>
          <w:b w:val="1"/>
          <w:bCs w:val="1"/>
          <w:color w:val="auto"/>
        </w:rPr>
      </w:pPr>
    </w:p>
    <w:p>
      <w:pPr>
        <w:ind w:left="438" w:right="2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as against the Company unless otherwise provided by the rights attached to the share.</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or debts may be deducted from dividends</w:t>
      </w:r>
    </w:p>
    <w:p>
      <w:pPr>
        <w:spacing w:after="0" w:line="120" w:lineRule="exact"/>
        <w:rPr>
          <w:rFonts w:ascii="Times New Roman" w:cs="Times New Roman" w:eastAsia="Times New Roman" w:hAnsi="Times New Roman"/>
          <w:sz w:val="18"/>
          <w:szCs w:val="18"/>
          <w:b w:val="1"/>
          <w:bCs w:val="1"/>
          <w:color w:val="auto"/>
        </w:rPr>
      </w:pPr>
    </w:p>
    <w:p>
      <w:pPr>
        <w:jc w:val="both"/>
        <w:ind w:left="438" w:right="1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deduct from any dividend or other moneys payable to any person (either alone or jointly with another) on or in respect of a share all such sums as may be due from that person (either alone or jointly with another) to the Company on account of calls or otherwise in relation to shares of the Company.</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dividends etc.</w:t>
      </w:r>
    </w:p>
    <w:p>
      <w:pPr>
        <w:spacing w:after="0" w:line="134" w:lineRule="exact"/>
        <w:rPr>
          <w:rFonts w:ascii="Times New Roman" w:cs="Times New Roman" w:eastAsia="Times New Roman" w:hAnsi="Times New Roman"/>
          <w:sz w:val="18"/>
          <w:szCs w:val="18"/>
          <w:b w:val="1"/>
          <w:bCs w:val="1"/>
          <w:color w:val="auto"/>
        </w:rPr>
      </w:pPr>
    </w:p>
    <w:p>
      <w:pPr>
        <w:jc w:val="both"/>
        <w:ind w:left="1418" w:hanging="433"/>
        <w:spacing w:after="0" w:line="265" w:lineRule="auto"/>
        <w:tabs>
          <w:tab w:leader="none" w:pos="141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unclaimed dividends, interest or other sums payable may be invested or otherwise made use of by the Board for the benefit of the Company until claimed. All dividends and any other such monies unclaimed for a period of 10 years after having been declared shall be forfeited and cease to remain owing by the Company.</w:t>
      </w:r>
    </w:p>
    <w:p>
      <w:pPr>
        <w:spacing w:after="0" w:line="82" w:lineRule="exact"/>
        <w:rPr>
          <w:rFonts w:ascii="Times New Roman" w:cs="Times New Roman" w:eastAsia="Times New Roman" w:hAnsi="Times New Roman"/>
          <w:sz w:val="18"/>
          <w:szCs w:val="18"/>
          <w:color w:val="auto"/>
        </w:rPr>
      </w:pPr>
    </w:p>
    <w:p>
      <w:pPr>
        <w:ind w:left="1418" w:right="80" w:hanging="433"/>
        <w:spacing w:after="0" w:line="281" w:lineRule="auto"/>
        <w:tabs>
          <w:tab w:leader="none" w:pos="141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exercises its power of sale in accordance with article 145, all dividends and other such monies payable on that share shall be forfeited and cease to remain owing by the Company.</w:t>
      </w:r>
    </w:p>
    <w:p>
      <w:pPr>
        <w:spacing w:after="0" w:line="68" w:lineRule="exact"/>
        <w:rPr>
          <w:rFonts w:ascii="Times New Roman" w:cs="Times New Roman" w:eastAsia="Times New Roman" w:hAnsi="Times New Roman"/>
          <w:sz w:val="18"/>
          <w:szCs w:val="18"/>
          <w:color w:val="auto"/>
        </w:rPr>
      </w:pPr>
    </w:p>
    <w:p>
      <w:pPr>
        <w:ind w:left="1418" w:right="100" w:hanging="433"/>
        <w:spacing w:after="0" w:line="281" w:lineRule="auto"/>
        <w:tabs>
          <w:tab w:leader="none" w:pos="141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unclaimed dividend, interest or other sum payable by the Company on or in respect of any share into a separate account shall not constitute the Company a trustee in respect of it.</w:t>
      </w:r>
    </w:p>
    <w:p>
      <w:pPr>
        <w:spacing w:after="0" w:line="306" w:lineRule="exact"/>
        <w:rPr>
          <w:rFonts w:ascii="Times New Roman" w:cs="Times New Roman" w:eastAsia="Times New Roman" w:hAnsi="Times New Roman"/>
          <w:sz w:val="18"/>
          <w:szCs w:val="18"/>
          <w:color w:val="auto"/>
        </w:rPr>
      </w:pPr>
    </w:p>
    <w:p>
      <w:pPr>
        <w:ind w:left="438" w:right="9040" w:hanging="438"/>
        <w:spacing w:after="0" w:line="385" w:lineRule="auto"/>
        <w:tabs>
          <w:tab w:leader="none" w:pos="429"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Uncashed dividends </w:t>
      </w:r>
      <w:r>
        <w:rPr>
          <w:rFonts w:ascii="Times New Roman" w:cs="Times New Roman" w:eastAsia="Times New Roman" w:hAnsi="Times New Roman"/>
          <w:sz w:val="18"/>
          <w:szCs w:val="18"/>
          <w:color w:val="auto"/>
        </w:rPr>
        <w:t>If:</w:t>
      </w:r>
    </w:p>
    <w:p>
      <w:pPr>
        <w:ind w:left="1978" w:right="120" w:hanging="548"/>
        <w:spacing w:after="0" w:line="260" w:lineRule="auto"/>
        <w:tabs>
          <w:tab w:leader="none" w:pos="1978"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for a dividend or other sum payable in respect of a share sent by the Company to the person entitled to it in accordance with these articles is left uncashed or is returned to the Company or a payment has failed (including where the payment has been rejected or refunded) and, after reasonable enquiries, the Company is unable to establish any new address or, with respect to a payment to be made by a funds transfer system, a new account, for that person; or</w:t>
      </w:r>
    </w:p>
    <w:p>
      <w:pPr>
        <w:spacing w:after="0" w:line="11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98"/>
          </w:cols>
          <w:pgMar w:left="442" w:top="270" w:right="459" w:bottom="1440" w:gutter="0" w:footer="0" w:header="0"/>
        </w:sectPr>
      </w:pPr>
    </w:p>
    <w:bookmarkStart w:id="111" w:name="page112"/>
    <w:bookmarkEnd w:id="111"/>
    <w:p>
      <w:pPr>
        <w:ind w:left="1978" w:right="400" w:hanging="548"/>
        <w:spacing w:after="0" w:line="281" w:lineRule="auto"/>
        <w:tabs>
          <w:tab w:leader="none" w:pos="19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 payment is left uncashed or returned to the Company or fails (including where the payment has been rejected or refunded) on two consecutive occasions,</w:t>
      </w:r>
    </w:p>
    <w:p>
      <w:pPr>
        <w:spacing w:after="0" w:line="55" w:lineRule="exact"/>
        <w:rPr>
          <w:sz w:val="20"/>
          <w:szCs w:val="20"/>
          <w:color w:val="auto"/>
        </w:rPr>
      </w:pPr>
    </w:p>
    <w:p>
      <w:pPr>
        <w:ind w:left="438" w:right="40"/>
        <w:spacing w:after="0" w:line="281" w:lineRule="auto"/>
        <w:rPr>
          <w:sz w:val="20"/>
          <w:szCs w:val="20"/>
          <w:color w:val="auto"/>
        </w:rPr>
      </w:pPr>
      <w:r>
        <w:rPr>
          <w:rFonts w:ascii="Times New Roman" w:cs="Times New Roman" w:eastAsia="Times New Roman" w:hAnsi="Times New Roman"/>
          <w:sz w:val="18"/>
          <w:szCs w:val="18"/>
          <w:color w:val="auto"/>
        </w:rPr>
        <w:t>the Company shall not be obliged to send any dividends or other sums payable in respect of that share to that person until that person notifies the Company of an address or, where the payment is to be made by a funds transfer system, details of the account, to be used for the purpose.</w:t>
      </w:r>
    </w:p>
    <w:p>
      <w:pPr>
        <w:spacing w:after="0" w:line="307" w:lineRule="exact"/>
        <w:rPr>
          <w:sz w:val="20"/>
          <w:szCs w:val="20"/>
          <w:color w:val="auto"/>
        </w:rPr>
      </w:pPr>
    </w:p>
    <w:p>
      <w:pPr>
        <w:ind w:left="438" w:hanging="438"/>
        <w:spacing w:after="0"/>
        <w:tabs>
          <w:tab w:leader="none" w:pos="438"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b w:val="1"/>
          <w:bCs w:val="1"/>
          <w:i w:val="1"/>
          <w:iCs w:val="1"/>
          <w:color w:val="auto"/>
        </w:rPr>
        <w:t>in specie</w:t>
      </w:r>
    </w:p>
    <w:p>
      <w:pPr>
        <w:spacing w:after="0" w:line="134" w:lineRule="exact"/>
        <w:rPr>
          <w:rFonts w:ascii="Times New Roman" w:cs="Times New Roman" w:eastAsia="Times New Roman" w:hAnsi="Times New Roman"/>
          <w:sz w:val="18"/>
          <w:szCs w:val="18"/>
          <w:b w:val="1"/>
          <w:bCs w:val="1"/>
          <w:color w:val="auto"/>
        </w:rPr>
      </w:pPr>
    </w:p>
    <w:p>
      <w:pPr>
        <w:ind w:left="1418" w:right="60" w:hanging="433"/>
        <w:spacing w:after="0" w:line="265" w:lineRule="auto"/>
        <w:tabs>
          <w:tab w:leader="none" w:pos="14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 the authority of an ordinary resolution of the Company and on the recommendation of the Board, direct that payment of any dividend may be satisfied wholly or in part by the distribution of specific assets (and in particular of paid up shares or debentures of any other company).</w:t>
      </w:r>
    </w:p>
    <w:p>
      <w:pPr>
        <w:spacing w:after="0" w:line="82" w:lineRule="exact"/>
        <w:rPr>
          <w:rFonts w:ascii="Times New Roman" w:cs="Times New Roman" w:eastAsia="Times New Roman" w:hAnsi="Times New Roman"/>
          <w:sz w:val="18"/>
          <w:szCs w:val="18"/>
          <w:color w:val="auto"/>
        </w:rPr>
      </w:pPr>
    </w:p>
    <w:p>
      <w:pPr>
        <w:ind w:left="1418" w:hanging="433"/>
        <w:spacing w:after="0" w:line="280" w:lineRule="auto"/>
        <w:tabs>
          <w:tab w:leader="none" w:pos="1418"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any difficulty arises with the distribution, the Board may settle the difficulty as it thinks fit and, in particular, may (i) issue fractional certificates (or ignore fractions); (ii) fix the value for distribution of the specific assets or any part of them; (iii) determine that cash payments be made to any members on the basis of the value so fixed in order to secure equality of distribution; or (iv) and vest any of the specific assets in trustees on such trusts for the persons entitled to the dividend as the Board may think fit.</w:t>
      </w:r>
    </w:p>
    <w:p>
      <w:pPr>
        <w:spacing w:after="0" w:line="310" w:lineRule="exact"/>
        <w:rPr>
          <w:rFonts w:ascii="Times New Roman" w:cs="Times New Roman" w:eastAsia="Times New Roman" w:hAnsi="Times New Roman"/>
          <w:sz w:val="17"/>
          <w:szCs w:val="17"/>
          <w:color w:val="auto"/>
        </w:rPr>
      </w:pPr>
    </w:p>
    <w:p>
      <w:pPr>
        <w:ind w:left="438" w:hanging="438"/>
        <w:spacing w:after="0"/>
        <w:tabs>
          <w:tab w:leader="none" w:pos="438"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34" w:lineRule="exact"/>
        <w:rPr>
          <w:rFonts w:ascii="Times New Roman" w:cs="Times New Roman" w:eastAsia="Times New Roman" w:hAnsi="Times New Roman"/>
          <w:sz w:val="18"/>
          <w:szCs w:val="18"/>
          <w:b w:val="1"/>
          <w:bCs w:val="1"/>
          <w:color w:val="auto"/>
        </w:rPr>
      </w:pPr>
    </w:p>
    <w:p>
      <w:pPr>
        <w:ind w:left="1418" w:right="100" w:hanging="433"/>
        <w:spacing w:after="0" w:line="265" w:lineRule="auto"/>
        <w:tabs>
          <w:tab w:leader="none" w:pos="14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with the authority of an ordinary resolution of the Company, offer any holders of any particular class of shares the right to elect to receive further shares of that class, credited as fully paid, instead of cash in respect of all (or some part) of any dividend specified by the ordinary resolution (a </w:t>
      </w:r>
      <w:r>
        <w:rPr>
          <w:rFonts w:ascii="Times New Roman" w:cs="Times New Roman" w:eastAsia="Times New Roman" w:hAnsi="Times New Roman"/>
          <w:sz w:val="18"/>
          <w:szCs w:val="18"/>
          <w:b w:val="1"/>
          <w:bCs w:val="1"/>
          <w:color w:val="auto"/>
        </w:rPr>
        <w:t>scrip dividend</w:t>
      </w:r>
      <w:r>
        <w:rPr>
          <w:rFonts w:ascii="Times New Roman" w:cs="Times New Roman" w:eastAsia="Times New Roman" w:hAnsi="Times New Roman"/>
          <w:sz w:val="18"/>
          <w:szCs w:val="18"/>
          <w:color w:val="auto"/>
        </w:rPr>
        <w:t>) in accordance with the following provisions of this article.</w:t>
      </w:r>
    </w:p>
    <w:p>
      <w:pPr>
        <w:spacing w:after="0" w:line="82" w:lineRule="exact"/>
        <w:rPr>
          <w:rFonts w:ascii="Times New Roman" w:cs="Times New Roman" w:eastAsia="Times New Roman" w:hAnsi="Times New Roman"/>
          <w:sz w:val="18"/>
          <w:szCs w:val="18"/>
          <w:color w:val="auto"/>
        </w:rPr>
      </w:pPr>
    </w:p>
    <w:p>
      <w:pPr>
        <w:ind w:left="1418" w:right="320" w:hanging="433"/>
        <w:spacing w:after="0" w:line="265" w:lineRule="auto"/>
        <w:tabs>
          <w:tab w:leader="none" w:pos="14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specify a particular dividend (whether or not already declared) or may specify all or any dividends declared within a specified period, but such period may not end later than five years after the date of the meeting at which the ordinary resolution is passed.</w:t>
      </w:r>
    </w:p>
    <w:p>
      <w:pPr>
        <w:spacing w:after="0" w:line="82" w:lineRule="exact"/>
        <w:rPr>
          <w:rFonts w:ascii="Times New Roman" w:cs="Times New Roman" w:eastAsia="Times New Roman" w:hAnsi="Times New Roman"/>
          <w:sz w:val="18"/>
          <w:szCs w:val="18"/>
          <w:color w:val="auto"/>
        </w:rPr>
      </w:pPr>
    </w:p>
    <w:p>
      <w:pPr>
        <w:jc w:val="both"/>
        <w:ind w:left="1418" w:right="300" w:hanging="433"/>
        <w:spacing w:after="0" w:line="265" w:lineRule="auto"/>
        <w:tabs>
          <w:tab w:leader="none" w:pos="14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decided by the Board so that, as nearly as may be considered convenient, the value of the further shares, including any fractional entitlement, is equal to the amount of the cash dividend which would otherwise have been paid (disregarding the amount of any associated tax credit).</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(c) above the value of the further shares shall be:</w:t>
      </w:r>
    </w:p>
    <w:p>
      <w:pPr>
        <w:spacing w:after="0" w:line="130" w:lineRule="exact"/>
        <w:rPr>
          <w:rFonts w:ascii="Times New Roman" w:cs="Times New Roman" w:eastAsia="Times New Roman" w:hAnsi="Times New Roman"/>
          <w:sz w:val="18"/>
          <w:szCs w:val="18"/>
          <w:color w:val="auto"/>
        </w:rPr>
      </w:pPr>
    </w:p>
    <w:p>
      <w:pPr>
        <w:ind w:left="1978" w:right="180" w:hanging="548"/>
        <w:spacing w:after="0" w:line="265" w:lineRule="auto"/>
        <w:tabs>
          <w:tab w:leader="none" w:pos="1978"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final reported per share closing price as quoted for a fully paid share of the relevant class, as shown in the NASDAQ Daily List for the day on which such shares are first quoted “ex” the relevant dividend and the four subsequent dealing days; or</w:t>
      </w:r>
    </w:p>
    <w:p>
      <w:pPr>
        <w:spacing w:after="0" w:line="110"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98"/>
          </w:cols>
          <w:pgMar w:left="442" w:top="270" w:right="559" w:bottom="1440" w:gutter="0" w:footer="0" w:header="0"/>
        </w:sectPr>
      </w:pPr>
    </w:p>
    <w:bookmarkStart w:id="112" w:name="page113"/>
    <w:bookmarkEnd w:id="112"/>
    <w:p>
      <w:pPr>
        <w:ind w:left="993" w:hanging="548"/>
        <w:spacing w:after="0"/>
        <w:tabs>
          <w:tab w:leader="none" w:pos="99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calculated in such manner as may be determined by or in accordance with the ordinary resolution.</w:t>
      </w:r>
    </w:p>
    <w:p>
      <w:pPr>
        <w:spacing w:after="0" w:line="130" w:lineRule="exact"/>
        <w:rPr>
          <w:rFonts w:ascii="Times New Roman" w:cs="Times New Roman" w:eastAsia="Times New Roman" w:hAnsi="Times New Roman"/>
          <w:sz w:val="18"/>
          <w:szCs w:val="18"/>
          <w:color w:val="auto"/>
        </w:rPr>
      </w:pPr>
    </w:p>
    <w:p>
      <w:pPr>
        <w:ind w:left="433" w:right="160" w:hanging="433"/>
        <w:spacing w:after="0" w:line="281"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give notice to the holders of such shares of their rights of election in respect of the scrip dividend and shall specify the procedure to be followed in order to make an election.</w:t>
      </w:r>
    </w:p>
    <w:p>
      <w:pPr>
        <w:spacing w:after="0" w:line="68" w:lineRule="exact"/>
        <w:rPr>
          <w:rFonts w:ascii="Times New Roman" w:cs="Times New Roman" w:eastAsia="Times New Roman" w:hAnsi="Times New Roman"/>
          <w:sz w:val="18"/>
          <w:szCs w:val="18"/>
          <w:color w:val="auto"/>
        </w:rPr>
      </w:pPr>
    </w:p>
    <w:p>
      <w:pPr>
        <w:ind w:left="433" w:right="80" w:hanging="433"/>
        <w:spacing w:after="0" w:line="260"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it in respect of which an election for the scrip dividend is made shall not be paid and instead further shares of the relevant class shall be allotted in accordance with elections duly made and the Board shall capitalise a sum equal to the aggregate nominal amount of the shares to be allotted out of such sums available for the purpose as the Board may consider appropriate.</w:t>
      </w:r>
    </w:p>
    <w:p>
      <w:pPr>
        <w:spacing w:after="0" w:line="85" w:lineRule="exact"/>
        <w:rPr>
          <w:rFonts w:ascii="Times New Roman" w:cs="Times New Roman" w:eastAsia="Times New Roman" w:hAnsi="Times New Roman"/>
          <w:sz w:val="18"/>
          <w:szCs w:val="18"/>
          <w:color w:val="auto"/>
        </w:rPr>
      </w:pPr>
    </w:p>
    <w:p>
      <w:pPr>
        <w:ind w:left="433" w:right="120" w:hanging="433"/>
        <w:spacing w:after="0" w:line="283"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further shares so allotted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fully paid shares of the same class then in issue except as regards participation in the relevant dividend.</w:t>
      </w:r>
    </w:p>
    <w:p>
      <w:pPr>
        <w:spacing w:after="0" w:line="66" w:lineRule="exact"/>
        <w:rPr>
          <w:rFonts w:ascii="Times New Roman" w:cs="Times New Roman" w:eastAsia="Times New Roman" w:hAnsi="Times New Roman"/>
          <w:sz w:val="18"/>
          <w:szCs w:val="18"/>
          <w:color w:val="auto"/>
        </w:rPr>
      </w:pPr>
    </w:p>
    <w:p>
      <w:pPr>
        <w:ind w:left="433" w:right="160" w:hanging="433"/>
        <w:spacing w:after="0" w:line="281"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that the right to elect for any scrip dividend shall not be made available to members resident in any territory where, in the opinion of the Board, compliance with local laws or regulations would be unduly onerous.</w:t>
      </w:r>
    </w:p>
    <w:p>
      <w:pPr>
        <w:spacing w:after="0" w:line="68" w:lineRule="exact"/>
        <w:rPr>
          <w:rFonts w:ascii="Times New Roman" w:cs="Times New Roman" w:eastAsia="Times New Roman" w:hAnsi="Times New Roman"/>
          <w:sz w:val="18"/>
          <w:szCs w:val="18"/>
          <w:color w:val="auto"/>
        </w:rPr>
      </w:pPr>
    </w:p>
    <w:p>
      <w:pPr>
        <w:ind w:left="433" w:hanging="433"/>
        <w:spacing w:after="0" w:line="255"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as it considers necessary or expedient to give effect to the provisions of a scrip dividend election and the issue of any shares in accordance with the provisions of this article, and may make such provisions as it thinks fit for the case of shares becoming distributable in fractions (including provisions under which, in whole or in part, the benefit of fractional entitlements accrues to the Company rather than to the members concerned). To the extent that the entitlement of any holder of shares in respect of any dividend is less than the value of one new share of the relevant class (as determined for the basis of any scrip dividend) the Board may also from time to time establish or vary a procedure for such entitlement to be accrued and aggregated with any similar entitlement for the purposes of any subsequent scrip dividend.</w:t>
      </w:r>
    </w:p>
    <w:p>
      <w:pPr>
        <w:spacing w:after="0" w:line="92" w:lineRule="exact"/>
        <w:rPr>
          <w:rFonts w:ascii="Times New Roman" w:cs="Times New Roman" w:eastAsia="Times New Roman" w:hAnsi="Times New Roman"/>
          <w:sz w:val="18"/>
          <w:szCs w:val="18"/>
          <w:color w:val="auto"/>
        </w:rPr>
      </w:pPr>
    </w:p>
    <w:p>
      <w:pPr>
        <w:jc w:val="both"/>
        <w:ind w:left="433" w:right="20" w:hanging="433"/>
        <w:spacing w:after="0" w:line="265"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establish or vary a procedure for election mandates, under which a holder of shares may, in respect of any future dividends for which a right of election pursuant to this article is offered, elect to receive shares in lieu of such dividend on the terms of such mandate.</w:t>
      </w:r>
    </w:p>
    <w:p>
      <w:pPr>
        <w:spacing w:after="0" w:line="82" w:lineRule="exact"/>
        <w:rPr>
          <w:rFonts w:ascii="Times New Roman" w:cs="Times New Roman" w:eastAsia="Times New Roman" w:hAnsi="Times New Roman"/>
          <w:sz w:val="18"/>
          <w:szCs w:val="18"/>
          <w:color w:val="auto"/>
        </w:rPr>
      </w:pPr>
    </w:p>
    <w:p>
      <w:pPr>
        <w:ind w:left="433" w:hanging="433"/>
        <w:spacing w:after="0" w:line="281"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make a scrip dividend available unless the Company has sufficient undistributed profits or reserves to give effect to elections which could be made to receive that scrip dividend.</w:t>
      </w:r>
    </w:p>
    <w:p>
      <w:pPr>
        <w:spacing w:after="0" w:line="68" w:lineRule="exact"/>
        <w:rPr>
          <w:rFonts w:ascii="Times New Roman" w:cs="Times New Roman" w:eastAsia="Times New Roman" w:hAnsi="Times New Roman"/>
          <w:sz w:val="18"/>
          <w:szCs w:val="18"/>
          <w:color w:val="auto"/>
        </w:rPr>
      </w:pPr>
    </w:p>
    <w:p>
      <w:pPr>
        <w:ind w:left="433" w:right="240" w:hanging="433"/>
        <w:spacing w:after="0" w:line="265" w:lineRule="auto"/>
        <w:tabs>
          <w:tab w:leader="none" w:pos="4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at any time before the further shares are allotted that such shares shall not be allotted and pay the relevant dividend in cash instead. Such decision may be made before or after any election has been made by holders of shares in respect of the relevant dividend.</w:t>
      </w:r>
    </w:p>
    <w:p>
      <w:pPr>
        <w:spacing w:after="0" w:line="11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013"/>
          </w:cols>
          <w:pgMar w:left="1427" w:top="270" w:right="4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CAPITALISATION OF PROFITS AND RESERVES</w:t>
      </w:r>
    </w:p>
    <w:p>
      <w:pPr>
        <w:spacing w:after="0" w:line="130" w:lineRule="exact"/>
        <w:rPr>
          <w:sz w:val="20"/>
          <w:szCs w:val="20"/>
          <w:color w:val="auto"/>
        </w:rPr>
      </w:pPr>
    </w:p>
    <w:p>
      <w:pPr>
        <w:ind w:left="440" w:hanging="438"/>
        <w:spacing w:after="0"/>
        <w:tabs>
          <w:tab w:leader="none" w:pos="4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reserves</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 the authority of an ordinary resolution of the Company or, if required by the 2006 Act, a special resolution:</w:t>
      </w:r>
    </w:p>
    <w:p>
      <w:pPr>
        <w:spacing w:after="0" w:line="130" w:lineRule="exact"/>
        <w:rPr>
          <w:rFonts w:ascii="Times New Roman" w:cs="Times New Roman" w:eastAsia="Times New Roman" w:hAnsi="Times New Roman"/>
          <w:sz w:val="18"/>
          <w:szCs w:val="18"/>
          <w:color w:val="auto"/>
        </w:rPr>
      </w:pPr>
    </w:p>
    <w:p>
      <w:pPr>
        <w:ind w:left="1980" w:right="580" w:hanging="548"/>
        <w:spacing w:after="0" w:line="288" w:lineRule="auto"/>
        <w:tabs>
          <w:tab w:leader="none" w:pos="1980" w:val="left"/>
        </w:tabs>
        <w:numPr>
          <w:ilvl w:val="2"/>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resolve to capitalise any sum standing to the credit of any reserve account of the Company (including share premium account and capital redemption reserve) or any sum standing to the credit of profit and loss account not required for the payment of any preferential dividend (whether or not it is available for distribution); and</w:t>
      </w:r>
    </w:p>
    <w:p>
      <w:pPr>
        <w:spacing w:after="0" w:line="64" w:lineRule="exact"/>
        <w:rPr>
          <w:rFonts w:ascii="Times New Roman" w:cs="Times New Roman" w:eastAsia="Times New Roman" w:hAnsi="Times New Roman"/>
          <w:sz w:val="17"/>
          <w:szCs w:val="17"/>
          <w:color w:val="auto"/>
        </w:rPr>
      </w:pPr>
    </w:p>
    <w:p>
      <w:pPr>
        <w:ind w:left="1980" w:right="100" w:hanging="548"/>
        <w:spacing w:after="0" w:line="254" w:lineRule="auto"/>
        <w:tabs>
          <w:tab w:leader="none" w:pos="198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that sum as capital to the holders of Ordinary Shares in proportion to the nominal amount of the ordinary share capital held by them respectively which would entitle them to participate in a distribution of that sum if the Ordinary Shares were fully paid and the sum were then distributable and were distributed by way of dividend and apply that sum on their behalf in paying up in full any shares or debentures of the Company of a nominal amount equal to that sum and allot the shares or debentures credited as fully paid to those members, or as they may direct, in those proportions or in paying up the whole or part of any amounts which are unpaid in respect of any issued shares in the Company held by them respectively, or otherwise deal with such sum as directed by the resolution provided that the share premium account, the capital redemption reserve, any redenomination reserve and any sum not available for distribution in accordance with the Statutes may only be applied in paying up shares to be allotted credited as fully paid up; and</w:t>
      </w:r>
    </w:p>
    <w:p>
      <w:pPr>
        <w:spacing w:after="0" w:line="78" w:lineRule="exact"/>
        <w:rPr>
          <w:sz w:val="20"/>
          <w:szCs w:val="20"/>
          <w:color w:val="auto"/>
        </w:rPr>
      </w:pPr>
    </w:p>
    <w:p>
      <w:pPr>
        <w:ind w:left="1220" w:right="160"/>
        <w:spacing w:after="0" w:line="281" w:lineRule="auto"/>
        <w:rPr>
          <w:sz w:val="20"/>
          <w:szCs w:val="20"/>
          <w:color w:val="auto"/>
        </w:rPr>
      </w:pPr>
      <w:r>
        <w:rPr>
          <w:rFonts w:ascii="Times New Roman" w:cs="Times New Roman" w:eastAsia="Times New Roman" w:hAnsi="Times New Roman"/>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68" w:lineRule="exact"/>
        <w:rPr>
          <w:sz w:val="20"/>
          <w:szCs w:val="20"/>
          <w:color w:val="auto"/>
        </w:rPr>
      </w:pPr>
    </w:p>
    <w:p>
      <w:pPr>
        <w:ind w:left="1420" w:hanging="433"/>
        <w:spacing w:after="0" w:line="255" w:lineRule="auto"/>
        <w:tabs>
          <w:tab w:leader="none" w:pos="1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in respect of any distribution of any capitalised reserve or other sum, the Board may settle the difficulty as it thinks fit to give effect to the capitalisation and in particular may make such provisions as it thinks fit in the case of shares or debentures becoming distributable in fractions (including provisions under which, in whole or in part, the benefit of fractional entitlements accrues to the Company rather than the members concerned) or ignore fractions and may fix the value for distribution of any fully paid up shares or debentures and may determine that cash payments be made to any members on the basis of the value so fixed in order to secure equality of distribution, and may vest any shares or debentures in trustees upon such trusts for the persons entitled to share in the distribution as the Board may think fit.</w:t>
      </w:r>
    </w:p>
    <w:p>
      <w:pPr>
        <w:spacing w:after="0" w:line="92" w:lineRule="exact"/>
        <w:rPr>
          <w:rFonts w:ascii="Times New Roman" w:cs="Times New Roman" w:eastAsia="Times New Roman" w:hAnsi="Times New Roman"/>
          <w:sz w:val="18"/>
          <w:szCs w:val="18"/>
          <w:color w:val="auto"/>
        </w:rPr>
      </w:pPr>
    </w:p>
    <w:p>
      <w:pPr>
        <w:ind w:left="1420" w:right="260" w:hanging="433"/>
        <w:spacing w:after="0" w:line="265" w:lineRule="auto"/>
        <w:tabs>
          <w:tab w:leader="none" w:pos="1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authorise any person to sign on behalf of the persons entitled to share in the distribution a contract for the acceptance by those persons of the shares or debentures to be allotted to them credited as fully paid under a capitalisation and any such contract shall be binding on all those persons.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114" w:name="page115"/>
    <w:bookmarkEnd w:id="114"/>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DATES</w:t>
      </w:r>
    </w:p>
    <w:p>
      <w:pPr>
        <w:spacing w:after="0" w:line="130" w:lineRule="exact"/>
        <w:rPr>
          <w:sz w:val="20"/>
          <w:szCs w:val="20"/>
          <w:color w:val="auto"/>
        </w:rPr>
      </w:pPr>
    </w:p>
    <w:p>
      <w:pPr>
        <w:ind w:left="438" w:hanging="438"/>
        <w:spacing w:after="0"/>
        <w:tabs>
          <w:tab w:leader="none" w:pos="438"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record dates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60" w:lineRule="auto"/>
        <w:tabs>
          <w:tab w:leader="none" w:pos="141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of these articles, but without prejudice to any rights attached to any shares and subject always to the 2006 Act, the Company or the Board by resolution may fix any date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by reference to which a dividend will be declared or paid or a distribution, allotment or issue made, and that date may be before, on or after the date on which the dividend, distribution, allotment or issue is declared, paid or made.</w:t>
      </w:r>
    </w:p>
    <w:p>
      <w:pPr>
        <w:spacing w:after="0" w:line="87" w:lineRule="exact"/>
        <w:rPr>
          <w:rFonts w:ascii="Times New Roman" w:cs="Times New Roman" w:eastAsia="Times New Roman" w:hAnsi="Times New Roman"/>
          <w:sz w:val="18"/>
          <w:szCs w:val="18"/>
          <w:color w:val="auto"/>
        </w:rPr>
      </w:pPr>
    </w:p>
    <w:p>
      <w:pPr>
        <w:ind w:left="1418" w:right="460" w:hanging="433"/>
        <w:spacing w:after="0" w:line="281" w:lineRule="auto"/>
        <w:tabs>
          <w:tab w:leader="none" w:pos="141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record date being fixed, entitlement to any dividend, distribution, allotment or issue shall be determined by reference to the date on which the dividend is declared or the distribution, allotment or issue is made.</w:t>
      </w:r>
    </w:p>
    <w:p>
      <w:pPr>
        <w:spacing w:after="0" w:line="37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130" w:lineRule="exact"/>
        <w:rPr>
          <w:sz w:val="20"/>
          <w:szCs w:val="20"/>
          <w:color w:val="auto"/>
        </w:rPr>
      </w:pPr>
    </w:p>
    <w:p>
      <w:pPr>
        <w:ind w:left="438" w:hanging="438"/>
        <w:spacing w:after="0"/>
        <w:tabs>
          <w:tab w:leader="none" w:pos="438"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records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accounting records of the Company to be kept in accordance with the Statutes.</w:t>
      </w:r>
    </w:p>
    <w:p>
      <w:pPr>
        <w:spacing w:after="0" w:line="130" w:lineRule="exact"/>
        <w:rPr>
          <w:rFonts w:ascii="Times New Roman" w:cs="Times New Roman" w:eastAsia="Times New Roman" w:hAnsi="Times New Roman"/>
          <w:sz w:val="18"/>
          <w:szCs w:val="18"/>
          <w:color w:val="auto"/>
        </w:rPr>
      </w:pPr>
    </w:p>
    <w:p>
      <w:pPr>
        <w:ind w:left="1418" w:right="60" w:hanging="433"/>
        <w:spacing w:after="0" w:line="281" w:lineRule="auto"/>
        <w:tabs>
          <w:tab w:leader="none" w:pos="141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(as such) shall have any right of inspecting any account, book or document of the Company, except as conferred by law or authorised by the Board or by any ordinary resolution of the Company or ordered by a court of competent jurisdiction.</w:t>
      </w:r>
    </w:p>
    <w:p>
      <w:pPr>
        <w:spacing w:after="0" w:line="68" w:lineRule="exact"/>
        <w:rPr>
          <w:rFonts w:ascii="Times New Roman" w:cs="Times New Roman" w:eastAsia="Times New Roman" w:hAnsi="Times New Roman"/>
          <w:sz w:val="18"/>
          <w:szCs w:val="18"/>
          <w:color w:val="auto"/>
        </w:rPr>
      </w:pPr>
    </w:p>
    <w:p>
      <w:pPr>
        <w:ind w:left="1418" w:right="100" w:hanging="433"/>
        <w:spacing w:after="0" w:line="281" w:lineRule="auto"/>
        <w:tabs>
          <w:tab w:leader="none" w:pos="141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the Statutes, the Company may send a summary financial statement in the form specified by the Statutes to the persons who would otherwise be entitled to be sent a copy of the Company’s full annual accounts and reports.</w:t>
      </w:r>
    </w:p>
    <w:p>
      <w:pPr>
        <w:spacing w:after="0" w:line="37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130" w:lineRule="exact"/>
        <w:rPr>
          <w:sz w:val="20"/>
          <w:szCs w:val="20"/>
          <w:color w:val="auto"/>
        </w:rPr>
      </w:pPr>
    </w:p>
    <w:p>
      <w:pPr>
        <w:ind w:left="438" w:hanging="438"/>
        <w:spacing w:after="0"/>
        <w:tabs>
          <w:tab w:leader="none" w:pos="438"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Auditor</w:t>
      </w:r>
    </w:p>
    <w:p>
      <w:pPr>
        <w:spacing w:after="0" w:line="120" w:lineRule="exact"/>
        <w:rPr>
          <w:rFonts w:ascii="Times New Roman" w:cs="Times New Roman" w:eastAsia="Times New Roman" w:hAnsi="Times New Roman"/>
          <w:sz w:val="18"/>
          <w:szCs w:val="18"/>
          <w:b w:val="1"/>
          <w:bCs w:val="1"/>
          <w:color w:val="auto"/>
        </w:rPr>
      </w:pPr>
    </w:p>
    <w:p>
      <w:pPr>
        <w:jc w:val="both"/>
        <w:ind w:left="438" w:right="1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389"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SERVICE OF NOTICES AND OTHER DOCUMENTS</w:t>
      </w:r>
    </w:p>
    <w:p>
      <w:pPr>
        <w:spacing w:after="0" w:line="130" w:lineRule="exact"/>
        <w:rPr>
          <w:sz w:val="20"/>
          <w:szCs w:val="20"/>
          <w:color w:val="auto"/>
        </w:rPr>
      </w:pPr>
    </w:p>
    <w:p>
      <w:pPr>
        <w:ind w:left="438" w:hanging="438"/>
        <w:spacing w:after="0"/>
        <w:tabs>
          <w:tab w:leader="none" w:pos="438"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in writing</w:t>
      </w:r>
    </w:p>
    <w:p>
      <w:pPr>
        <w:spacing w:after="0" w:line="120" w:lineRule="exact"/>
        <w:rPr>
          <w:rFonts w:ascii="Times New Roman" w:cs="Times New Roman" w:eastAsia="Times New Roman" w:hAnsi="Times New Roman"/>
          <w:sz w:val="18"/>
          <w:szCs w:val="18"/>
          <w:b w:val="1"/>
          <w:bCs w:val="1"/>
          <w:color w:val="auto"/>
        </w:rPr>
      </w:pPr>
    </w:p>
    <w:p>
      <w:pPr>
        <w:ind w:left="438" w:right="2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to be given to or by any person under these articles (other than a notice calling a meeting of the Board) shall be in writing, except where otherwise expressly stated. Any such notice may be given using electronic communications provided sent to such address (if any) for the time being notified for that purpose to the person sending the notice by or on behalf of the person to whom the notice is sent and in the case of communications between the Company and its members, in accordance with the following articles 134 and 135.</w:t>
      </w:r>
    </w:p>
    <w:p>
      <w:pPr>
        <w:spacing w:after="0" w:line="11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58"/>
          </w:cols>
          <w:pgMar w:left="442" w:top="266" w:right="499" w:bottom="1440" w:gutter="0" w:footer="0" w:header="0"/>
        </w:sectPr>
      </w:pPr>
    </w:p>
    <w:bookmarkStart w:id="115" w:name="page116"/>
    <w:bookmarkEnd w:id="115"/>
    <w:p>
      <w:pPr>
        <w:ind w:left="438" w:hanging="438"/>
        <w:spacing w:after="0"/>
        <w:tabs>
          <w:tab w:leader="none" w:pos="438"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giving notice to members</w:t>
      </w:r>
    </w:p>
    <w:p>
      <w:pPr>
        <w:spacing w:after="0" w:line="134" w:lineRule="exact"/>
        <w:rPr>
          <w:rFonts w:ascii="Times New Roman" w:cs="Times New Roman" w:eastAsia="Times New Roman" w:hAnsi="Times New Roman"/>
          <w:sz w:val="18"/>
          <w:szCs w:val="18"/>
          <w:b w:val="1"/>
          <w:bCs w:val="1"/>
          <w:color w:val="auto"/>
        </w:rPr>
      </w:pPr>
    </w:p>
    <w:p>
      <w:pPr>
        <w:ind w:left="1418" w:right="260" w:hanging="433"/>
        <w:spacing w:after="0" w:line="281" w:lineRule="auto"/>
        <w:tabs>
          <w:tab w:leader="none" w:pos="141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any notice or other document under these articles to a member by whichever of the following methods it may elect in its absolute discretion:</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w:t>
      </w:r>
    </w:p>
    <w:p>
      <w:pPr>
        <w:spacing w:after="0" w:line="130" w:lineRule="exact"/>
        <w:rPr>
          <w:rFonts w:ascii="Times New Roman" w:cs="Times New Roman" w:eastAsia="Times New Roman" w:hAnsi="Times New Roman"/>
          <w:sz w:val="18"/>
          <w:szCs w:val="18"/>
          <w:color w:val="auto"/>
        </w:rPr>
      </w:pPr>
    </w:p>
    <w:p>
      <w:pPr>
        <w:ind w:left="1978" w:right="140" w:hanging="548"/>
        <w:spacing w:after="0" w:line="281" w:lineRule="auto"/>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in the case of a member, to his registered address, or in any other case, to the person’s usual address; or</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that address; or</w:t>
      </w:r>
    </w:p>
    <w:p>
      <w:pPr>
        <w:spacing w:after="0" w:line="130" w:lineRule="exact"/>
        <w:rPr>
          <w:rFonts w:ascii="Times New Roman" w:cs="Times New Roman" w:eastAsia="Times New Roman" w:hAnsi="Times New Roman"/>
          <w:sz w:val="18"/>
          <w:szCs w:val="18"/>
          <w:color w:val="auto"/>
        </w:rPr>
      </w:pPr>
    </w:p>
    <w:p>
      <w:pPr>
        <w:ind w:left="1978" w:right="40" w:hanging="548"/>
        <w:spacing w:after="0" w:line="281" w:lineRule="auto"/>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to the Company by or on behalf of the member for that purpose; or</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 134(b); or</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approved by the Board.</w:t>
      </w:r>
    </w:p>
    <w:p>
      <w:pPr>
        <w:spacing w:after="0" w:line="130" w:lineRule="exact"/>
        <w:rPr>
          <w:rFonts w:ascii="Times New Roman" w:cs="Times New Roman" w:eastAsia="Times New Roman" w:hAnsi="Times New Roman"/>
          <w:sz w:val="18"/>
          <w:szCs w:val="18"/>
          <w:color w:val="auto"/>
        </w:rPr>
      </w:pPr>
    </w:p>
    <w:p>
      <w:pPr>
        <w:ind w:left="1418" w:hanging="433"/>
        <w:spacing w:after="0" w:line="256" w:lineRule="auto"/>
        <w:tabs>
          <w:tab w:leader="none" w:pos="141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whose registered address is not within the United Kingdom and who gives to the Company an address within the United Kingdom at which notices may be given to him or an address to which notices may be sent using electronic communications shall be entitled to receive notices and other documents from the Company at that address, but, unless he does so, shall not be entitled to receive any notice from the Company. Without limiting the previous sentence, any notice of a general meeting of the Company which is in fact sent or purports to be sent to such address shall be ignored for the purposes of determining the validity of proceedings at such meeting.</w:t>
      </w:r>
    </w:p>
    <w:p>
      <w:pPr>
        <w:spacing w:after="0" w:line="91" w:lineRule="exact"/>
        <w:rPr>
          <w:rFonts w:ascii="Times New Roman" w:cs="Times New Roman" w:eastAsia="Times New Roman" w:hAnsi="Times New Roman"/>
          <w:sz w:val="18"/>
          <w:szCs w:val="18"/>
          <w:color w:val="auto"/>
        </w:rPr>
      </w:pPr>
    </w:p>
    <w:p>
      <w:pPr>
        <w:ind w:left="1418" w:hanging="433"/>
        <w:spacing w:after="0" w:line="281" w:lineRule="auto"/>
        <w:tabs>
          <w:tab w:leader="none" w:pos="141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also give any notice or other document under these articles to a member by publishing that notice or other document on a website where:</w:t>
      </w:r>
    </w:p>
    <w:p>
      <w:pPr>
        <w:spacing w:after="0" w:line="68" w:lineRule="exact"/>
        <w:rPr>
          <w:rFonts w:ascii="Times New Roman" w:cs="Times New Roman" w:eastAsia="Times New Roman" w:hAnsi="Times New Roman"/>
          <w:sz w:val="18"/>
          <w:szCs w:val="18"/>
          <w:color w:val="auto"/>
        </w:rPr>
      </w:pPr>
    </w:p>
    <w:p>
      <w:pPr>
        <w:ind w:left="1978" w:right="40" w:hanging="548"/>
        <w:spacing w:after="0" w:line="281" w:lineRule="auto"/>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the member having access to the notice or document on a website (instead of it being sent to him);</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 manner for the time being agreed between him and the Company for the purpose of:</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130" w:lineRule="exact"/>
        <w:rPr>
          <w:rFonts w:ascii="Times New Roman" w:cs="Times New Roman" w:eastAsia="Times New Roman" w:hAnsi="Times New Roman"/>
          <w:sz w:val="18"/>
          <w:szCs w:val="18"/>
          <w:color w:val="auto"/>
        </w:rPr>
      </w:pPr>
    </w:p>
    <w:p>
      <w:pPr>
        <w:ind w:left="2398" w:hanging="429"/>
        <w:spacing w:after="0"/>
        <w:tabs>
          <w:tab w:leader="none" w:pos="2398" w:val="left"/>
        </w:tabs>
        <w:numPr>
          <w:ilvl w:val="3"/>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15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78"/>
          </w:cols>
          <w:pgMar w:left="442" w:top="265" w:right="479" w:bottom="1440" w:gutter="0" w:footer="0" w:header="0"/>
        </w:sectPr>
      </w:pPr>
    </w:p>
    <w:bookmarkStart w:id="116" w:name="page117"/>
    <w:bookmarkEnd w:id="116"/>
    <w:p>
      <w:pPr>
        <w:ind w:left="993" w:right="180" w:hanging="548"/>
        <w:spacing w:after="0" w:line="256" w:lineRule="auto"/>
        <w:tabs>
          <w:tab w:leader="none" w:pos="99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of document is published on that website throughout the publication period and (if applicable) continues to be so published until the conclusion of the meeting (and any adjourned meeting), provided that, if the notice or document is published on that website for a part, but not all of, such period, the notice or document shall be treated as being published throughout that period if the failure to publish that notice or document throughout that period is wholly attributable to circumstances which it would be reasonable to have expected the Company to prevent or avoid by any other method approved by the Board.</w:t>
      </w:r>
    </w:p>
    <w:p>
      <w:pPr>
        <w:spacing w:after="0" w:line="91"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article 134(c) publication period means:</w:t>
      </w:r>
    </w:p>
    <w:p>
      <w:pPr>
        <w:spacing w:after="0" w:line="130" w:lineRule="exact"/>
        <w:rPr>
          <w:rFonts w:ascii="Times New Roman" w:cs="Times New Roman" w:eastAsia="Times New Roman" w:hAnsi="Times New Roman"/>
          <w:sz w:val="18"/>
          <w:szCs w:val="18"/>
          <w:color w:val="auto"/>
        </w:rPr>
      </w:pPr>
    </w:p>
    <w:p>
      <w:pPr>
        <w:ind w:left="993" w:right="80" w:hanging="548"/>
        <w:spacing w:after="0" w:line="265" w:lineRule="auto"/>
        <w:tabs>
          <w:tab w:leader="none" w:pos="99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an adjourned meeting under article 45 of not less than 14 days before the date of the adjourned meeting, beginning on the day following that on which the notice referred to in article 134(c)(i) is sent or (if later) is deemed given; and</w:t>
      </w:r>
    </w:p>
    <w:p>
      <w:pPr>
        <w:spacing w:after="0" w:line="82" w:lineRule="exact"/>
        <w:rPr>
          <w:rFonts w:ascii="Times New Roman" w:cs="Times New Roman" w:eastAsia="Times New Roman" w:hAnsi="Times New Roman"/>
          <w:sz w:val="18"/>
          <w:szCs w:val="18"/>
          <w:color w:val="auto"/>
        </w:rPr>
      </w:pPr>
    </w:p>
    <w:p>
      <w:pPr>
        <w:ind w:left="993" w:right="100" w:hanging="548"/>
        <w:spacing w:after="0" w:line="281" w:lineRule="auto"/>
        <w:tabs>
          <w:tab w:leader="none" w:pos="99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period of not less than 21 days, beginning on the day following that on which the notification referred to in article 134(c)(i) is sent or (if later) is deemed given;</w:t>
      </w:r>
    </w:p>
    <w:p>
      <w:pPr>
        <w:spacing w:after="0" w:line="68" w:lineRule="exact"/>
        <w:rPr>
          <w:rFonts w:ascii="Times New Roman" w:cs="Times New Roman" w:eastAsia="Times New Roman" w:hAnsi="Times New Roman"/>
          <w:sz w:val="18"/>
          <w:szCs w:val="18"/>
          <w:color w:val="auto"/>
        </w:rPr>
      </w:pPr>
    </w:p>
    <w:p>
      <w:pPr>
        <w:ind w:left="433" w:right="60" w:hanging="433"/>
        <w:spacing w:after="0" w:line="265" w:lineRule="auto"/>
        <w:tabs>
          <w:tab w:leader="none" w:pos="43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issue, endorse or adopt terms and conditions relating to the use of electronic communications for the giving of notices, other documents and proxy appointments by the Company to members or persons entitled by transmission and by members or persons entitled by transmission to the Company.</w:t>
      </w:r>
    </w:p>
    <w:p>
      <w:pPr>
        <w:spacing w:after="0" w:line="82" w:lineRule="exact"/>
        <w:rPr>
          <w:rFonts w:ascii="Times New Roman" w:cs="Times New Roman" w:eastAsia="Times New Roman" w:hAnsi="Times New Roman"/>
          <w:sz w:val="18"/>
          <w:szCs w:val="18"/>
          <w:color w:val="auto"/>
        </w:rPr>
      </w:pPr>
    </w:p>
    <w:p>
      <w:pPr>
        <w:ind w:left="433" w:hanging="433"/>
        <w:spacing w:after="0" w:line="256" w:lineRule="auto"/>
        <w:tabs>
          <w:tab w:leader="none" w:pos="43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that an envelope containing a notice or other document was properly addressed, prepaid and posted shall be conclusive evidence that the notice or document was given. Proof that a notice or other document contained in an electronic communication was sent or given in accordance with guidance issued by the Institute of Chartered Secretaries and Administrators current at the date of adoption of these articles, or, if the Board so resolves, any subsequent guidance so issued, shall be conclusive evidence that the notice or document was sent or given. A notice or other document sent by the Company to a member by post shall be deemed to be given or delivered:</w:t>
      </w:r>
    </w:p>
    <w:p>
      <w:pPr>
        <w:spacing w:after="0" w:line="91" w:lineRule="exact"/>
        <w:rPr>
          <w:rFonts w:ascii="Times New Roman" w:cs="Times New Roman" w:eastAsia="Times New Roman" w:hAnsi="Times New Roman"/>
          <w:sz w:val="18"/>
          <w:szCs w:val="18"/>
          <w:color w:val="auto"/>
        </w:rPr>
      </w:pPr>
    </w:p>
    <w:p>
      <w:pPr>
        <w:ind w:left="993" w:right="340" w:hanging="548"/>
        <w:spacing w:after="0" w:line="288" w:lineRule="auto"/>
        <w:tabs>
          <w:tab w:leader="none" w:pos="993"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sent by first class post or special delivery post from an address in the United Kingdom to another address in the United Kingdom, or by a postal service similar to first class post or special delivery post from an address in another country to another address in that other country, on the day following that on which the envelope containing it was posted;</w:t>
      </w:r>
    </w:p>
    <w:p>
      <w:pPr>
        <w:spacing w:after="0" w:line="64" w:lineRule="exact"/>
        <w:rPr>
          <w:rFonts w:ascii="Times New Roman" w:cs="Times New Roman" w:eastAsia="Times New Roman" w:hAnsi="Times New Roman"/>
          <w:sz w:val="17"/>
          <w:szCs w:val="17"/>
          <w:color w:val="auto"/>
        </w:rPr>
      </w:pPr>
    </w:p>
    <w:p>
      <w:pPr>
        <w:jc w:val="both"/>
        <w:ind w:left="993" w:right="220" w:hanging="548"/>
        <w:spacing w:after="0" w:line="265" w:lineRule="auto"/>
        <w:tabs>
          <w:tab w:leader="none" w:pos="99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airmail from an address in the United Kingdom to an address outside the United Kingdom, or from an address in another country to an address outside that country (including without limitation an address in the United Kingdom), on the third day following that on which the envelope containing it was posted;</w:t>
      </w:r>
    </w:p>
    <w:p>
      <w:pPr>
        <w:spacing w:after="0" w:line="82" w:lineRule="exact"/>
        <w:rPr>
          <w:rFonts w:ascii="Times New Roman" w:cs="Times New Roman" w:eastAsia="Times New Roman" w:hAnsi="Times New Roman"/>
          <w:sz w:val="18"/>
          <w:szCs w:val="18"/>
          <w:color w:val="auto"/>
        </w:rPr>
      </w:pPr>
    </w:p>
    <w:p>
      <w:pPr>
        <w:ind w:left="993" w:hanging="548"/>
        <w:spacing w:after="0"/>
        <w:tabs>
          <w:tab w:leader="none" w:pos="99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 the second day following that on which the envelope containing it was posted.</w:t>
      </w:r>
    </w:p>
    <w:p>
      <w:pPr>
        <w:spacing w:after="0" w:line="157"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013"/>
          </w:cols>
          <w:pgMar w:left="1427" w:top="269" w:right="459" w:bottom="1440" w:gutter="0" w:footer="0" w:header="0"/>
        </w:sectPr>
      </w:pPr>
    </w:p>
    <w:bookmarkStart w:id="117" w:name="page118"/>
    <w:bookmarkEnd w:id="117"/>
    <w:p>
      <w:pPr>
        <w:ind w:left="1418" w:right="180" w:hanging="433"/>
        <w:spacing w:after="0" w:line="258" w:lineRule="auto"/>
        <w:tabs>
          <w:tab w:leader="none" w:pos="141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notice or other document sent by the Company to a member contained in an electronic communication shall be deemed given to the member on the day on which the electronic communication was sent to the member. Such a notice or other document shall be deemed given by the Company to the member on that day notwithstanding that the Company becomes aware that the member has failed to receive the relevant notice or other document for any reason and notwithstanding that the Company subsequently sends a copy of such notice or other document by post to the member.</w:t>
      </w:r>
    </w:p>
    <w:p>
      <w:pPr>
        <w:spacing w:after="0" w:line="87"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document or other communication shall be deemed to have been given if made available on a website, when the recipient was deemed to have received notification of the fact that the material was available on the website, in accordance with this article and if such notice, document or communication is sent by means of a relevant system, when the Company or any sponsoring system-participant acting on its behalf sends the issuer instructions relating to the communication.</w:t>
      </w:r>
    </w:p>
    <w:p>
      <w:pPr>
        <w:spacing w:after="0" w:line="32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by members</w:t>
      </w:r>
    </w:p>
    <w:p>
      <w:pPr>
        <w:spacing w:after="0" w:line="120" w:lineRule="exact"/>
        <w:rPr>
          <w:rFonts w:ascii="Times New Roman" w:cs="Times New Roman" w:eastAsia="Times New Roman" w:hAnsi="Times New Roman"/>
          <w:sz w:val="18"/>
          <w:szCs w:val="18"/>
          <w:b w:val="1"/>
          <w:bCs w:val="1"/>
          <w:color w:val="auto"/>
        </w:rPr>
      </w:pPr>
    </w:p>
    <w:p>
      <w:pPr>
        <w:ind w:left="438" w:right="38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these articles, a member or a person entitled by transmission to a share shall give any notice or other document under these articles to the Company by whichever of the following methods he may in his absolute discretion determine:</w:t>
      </w:r>
    </w:p>
    <w:p>
      <w:pPr>
        <w:spacing w:after="0" w:line="68"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to the office; or</w:t>
      </w:r>
    </w:p>
    <w:p>
      <w:pPr>
        <w:spacing w:after="0" w:line="130"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the office; or</w:t>
      </w:r>
    </w:p>
    <w:p>
      <w:pPr>
        <w:spacing w:after="0" w:line="130" w:lineRule="exact"/>
        <w:rPr>
          <w:rFonts w:ascii="Times New Roman" w:cs="Times New Roman" w:eastAsia="Times New Roman" w:hAnsi="Times New Roman"/>
          <w:sz w:val="18"/>
          <w:szCs w:val="18"/>
          <w:color w:val="auto"/>
        </w:rPr>
      </w:pPr>
    </w:p>
    <w:p>
      <w:pPr>
        <w:ind w:left="1418" w:right="180" w:hanging="433"/>
        <w:spacing w:after="0" w:line="281" w:lineRule="auto"/>
        <w:tabs>
          <w:tab w:leader="none" w:pos="141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by or on behalf of the Company for that purpose.</w:t>
      </w:r>
    </w:p>
    <w:p>
      <w:pPr>
        <w:spacing w:after="0" w:line="306"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joint holders</w:t>
      </w:r>
    </w:p>
    <w:p>
      <w:pPr>
        <w:spacing w:after="0" w:line="120" w:lineRule="exact"/>
        <w:rPr>
          <w:rFonts w:ascii="Times New Roman" w:cs="Times New Roman" w:eastAsia="Times New Roman" w:hAnsi="Times New Roman"/>
          <w:sz w:val="18"/>
          <w:szCs w:val="18"/>
          <w:b w:val="1"/>
          <w:bCs w:val="1"/>
          <w:color w:val="auto"/>
        </w:rPr>
      </w:pPr>
    </w:p>
    <w:p>
      <w:pPr>
        <w:ind w:left="438"/>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holdings, all notices and other documents shall be given or sent to the joint holder whose name appears first in the register and this shall be sufficient delivery to all the joint holders in their capacity as such. For such purpose a joint holder having no registered address in the United Kingdom and not having given an address within the United Kingdom at which notices may be given to him or an address to which notices may be sent using electronic communications shall be disregarded.</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persons entitled by transmission</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within the United Kingdom supplied for that purpose by the persons claiming to be so entitled. Until such an address has been supplied, a notice may be given in any manner in which it might have been given if the death or bankruptcy had not occurred whether or not the Company has notice of the transmission event.</w:t>
      </w:r>
    </w:p>
    <w:p>
      <w:pPr>
        <w:spacing w:after="0" w:line="11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78"/>
          </w:cols>
          <w:pgMar w:left="442" w:top="270" w:right="479" w:bottom="1440" w:gutter="0" w:footer="0" w:header="0"/>
        </w:sectPr>
      </w:pPr>
    </w:p>
    <w:bookmarkStart w:id="118" w:name="page119"/>
    <w:bookmarkEnd w:id="118"/>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Disruption of postal services</w:t>
      </w:r>
    </w:p>
    <w:p>
      <w:pPr>
        <w:spacing w:after="0" w:line="120" w:lineRule="exact"/>
        <w:rPr>
          <w:rFonts w:ascii="Times New Roman" w:cs="Times New Roman" w:eastAsia="Times New Roman" w:hAnsi="Times New Roman"/>
          <w:sz w:val="18"/>
          <w:szCs w:val="18"/>
          <w:b w:val="1"/>
          <w:bCs w:val="1"/>
          <w:color w:val="auto"/>
        </w:rPr>
      </w:pPr>
    </w:p>
    <w:p>
      <w:pPr>
        <w:ind w:left="438" w:right="2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is unable effectively to convene a general meeting by notices sent through the post, a general meeting may be convened by a notice advertised in at least one leading national daily newspaper and such notice shall be deemed to have been given to all members and other persons entitled to receive it on the day when the advertisement appears (or first appears). In any such case the Company shall send confirmatory copies of the notice by post if at least seven days prior to the meeting the posting of notices to addresses throughout the United Kingdom again becomes practicable.</w:t>
      </w:r>
    </w:p>
    <w:p>
      <w:pPr>
        <w:spacing w:after="0" w:line="32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Deemed notice</w:t>
      </w:r>
    </w:p>
    <w:p>
      <w:pPr>
        <w:spacing w:after="0" w:line="120" w:lineRule="exact"/>
        <w:rPr>
          <w:rFonts w:ascii="Times New Roman" w:cs="Times New Roman" w:eastAsia="Times New Roman" w:hAnsi="Times New Roman"/>
          <w:sz w:val="18"/>
          <w:szCs w:val="18"/>
          <w:b w:val="1"/>
          <w:bCs w:val="1"/>
          <w:color w:val="auto"/>
        </w:rPr>
      </w:pPr>
    </w:p>
    <w:p>
      <w:pPr>
        <w:ind w:left="438"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in person at any meeting of the Company or of the holders of any class of shares shall be deemed to have received notice of the meeting and, where requisite, of the purposes for which it was called.</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in title bound by notice to predecessor</w:t>
      </w:r>
    </w:p>
    <w:p>
      <w:pPr>
        <w:spacing w:after="0" w:line="120" w:lineRule="exact"/>
        <w:rPr>
          <w:rFonts w:ascii="Times New Roman" w:cs="Times New Roman" w:eastAsia="Times New Roman" w:hAnsi="Times New Roman"/>
          <w:sz w:val="18"/>
          <w:szCs w:val="18"/>
          <w:b w:val="1"/>
          <w:bCs w:val="1"/>
          <w:color w:val="auto"/>
        </w:rPr>
      </w:pPr>
    </w:p>
    <w:p>
      <w:pPr>
        <w:ind w:left="438" w:right="5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person who becomes entitled to a share shall be bound by any notice (other than a notice given under section 793 of the 2006 Act) in respect of that share which, before his name is entered in the register, was given to the person from whom he derives his title.</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notices are to notifications</w:t>
      </w:r>
    </w:p>
    <w:p>
      <w:pPr>
        <w:spacing w:after="0" w:line="120" w:lineRule="exact"/>
        <w:rPr>
          <w:rFonts w:ascii="Times New Roman" w:cs="Times New Roman" w:eastAsia="Times New Roman" w:hAnsi="Times New Roman"/>
          <w:sz w:val="18"/>
          <w:szCs w:val="18"/>
          <w:b w:val="1"/>
          <w:bCs w:val="1"/>
          <w:color w:val="auto"/>
        </w:rPr>
      </w:pPr>
    </w:p>
    <w:p>
      <w:pPr>
        <w:ind w:left="438" w:right="4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when the subject or context otherwise requires, in articles 134(a), 134(b), 134(c), 134(f), 135 and 136 references to a notice include without limitation references to any notification required by the Statutes or these articles in relation to the publication of any notices or other documents on a website.</w:t>
      </w:r>
    </w:p>
    <w:p>
      <w:pPr>
        <w:spacing w:after="0" w:line="321"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requirements</w:t>
      </w:r>
    </w:p>
    <w:p>
      <w:pPr>
        <w:spacing w:after="0" w:line="120" w:lineRule="exact"/>
        <w:rPr>
          <w:rFonts w:ascii="Times New Roman" w:cs="Times New Roman" w:eastAsia="Times New Roman" w:hAnsi="Times New Roman"/>
          <w:sz w:val="18"/>
          <w:szCs w:val="18"/>
          <w:b w:val="1"/>
          <w:bCs w:val="1"/>
          <w:color w:val="auto"/>
        </w:rPr>
      </w:pPr>
    </w:p>
    <w:p>
      <w:pPr>
        <w:ind w:left="438" w:right="5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these articles shall affect any requirement of the Statutes that any particular notice or other document be served in any particular manner.</w:t>
      </w:r>
    </w:p>
    <w:p>
      <w:pPr>
        <w:spacing w:after="0" w:line="306" w:lineRule="exact"/>
        <w:rPr>
          <w:rFonts w:ascii="Times New Roman" w:cs="Times New Roman" w:eastAsia="Times New Roman" w:hAnsi="Times New Roman"/>
          <w:sz w:val="18"/>
          <w:szCs w:val="18"/>
          <w:b w:val="1"/>
          <w:bCs w:val="1"/>
          <w:color w:val="auto"/>
        </w:rPr>
      </w:pPr>
    </w:p>
    <w:p>
      <w:pPr>
        <w:ind w:left="438" w:hanging="438"/>
        <w:spacing w:after="0"/>
        <w:tabs>
          <w:tab w:leader="none" w:pos="438"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for delivery</w:t>
      </w:r>
    </w:p>
    <w:p>
      <w:pPr>
        <w:spacing w:after="0" w:line="134" w:lineRule="exact"/>
        <w:rPr>
          <w:rFonts w:ascii="Times New Roman" w:cs="Times New Roman" w:eastAsia="Times New Roman" w:hAnsi="Times New Roman"/>
          <w:sz w:val="18"/>
          <w:szCs w:val="18"/>
          <w:b w:val="1"/>
          <w:bCs w:val="1"/>
          <w:color w:val="auto"/>
        </w:rPr>
      </w:pPr>
    </w:p>
    <w:p>
      <w:pPr>
        <w:jc w:val="both"/>
        <w:ind w:left="1418" w:right="80" w:hanging="433"/>
        <w:spacing w:after="0" w:line="265" w:lineRule="auto"/>
        <w:tabs>
          <w:tab w:leader="none" w:pos="141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notices of meetings or other documents, whether under these articles or under section 310(1) of the 2006 Act, any other Statute or any other statutory instrument, the Company may determine that persons entitled to receive such notices or other documents are those persons entered on the register at the close of business on a day determined by it.</w:t>
      </w:r>
    </w:p>
    <w:p>
      <w:pPr>
        <w:spacing w:after="0" w:line="82" w:lineRule="exact"/>
        <w:rPr>
          <w:rFonts w:ascii="Times New Roman" w:cs="Times New Roman" w:eastAsia="Times New Roman" w:hAnsi="Times New Roman"/>
          <w:sz w:val="18"/>
          <w:szCs w:val="18"/>
          <w:color w:val="auto"/>
        </w:rPr>
      </w:pPr>
    </w:p>
    <w:p>
      <w:pPr>
        <w:ind w:left="1418" w:right="60" w:hanging="433"/>
        <w:spacing w:after="0" w:line="281" w:lineRule="auto"/>
        <w:tabs>
          <w:tab w:leader="none" w:pos="141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determined by the Company under article 143(a) may not be more that 21 days before the day that the notice of the meeting or other document is sent.</w:t>
      </w:r>
    </w:p>
    <w:p>
      <w:pPr>
        <w:spacing w:after="0" w:line="68" w:lineRule="exact"/>
        <w:rPr>
          <w:rFonts w:ascii="Times New Roman" w:cs="Times New Roman" w:eastAsia="Times New Roman" w:hAnsi="Times New Roman"/>
          <w:sz w:val="18"/>
          <w:szCs w:val="18"/>
          <w:color w:val="auto"/>
        </w:rPr>
      </w:pPr>
    </w:p>
    <w:p>
      <w:pPr>
        <w:ind w:left="1418" w:hanging="433"/>
        <w:spacing w:after="0" w:line="260" w:lineRule="auto"/>
        <w:tabs>
          <w:tab w:leader="none" w:pos="141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and/or vote at a meeting, and how many votes such persons may cast, the Company may specify in the notice of the meeting a time, not more than 48 hours before the time fixed for the meeting, by which a person must be entered on the register in order to have the right to attend and/or vote at the meeting. In calculating the period mentioned in this article 143(c), no account shall be taken of any part of a day that is not a working day.</w:t>
      </w:r>
    </w:p>
    <w:p>
      <w:pPr>
        <w:spacing w:after="0" w:line="11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98"/>
          </w:cols>
          <w:pgMar w:left="442" w:top="265" w:right="4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w:t>
      </w:r>
    </w:p>
    <w:p>
      <w:pPr>
        <w:spacing w:after="0" w:line="130" w:lineRule="exact"/>
        <w:rPr>
          <w:sz w:val="20"/>
          <w:szCs w:val="20"/>
          <w:color w:val="auto"/>
        </w:rPr>
      </w:pPr>
    </w:p>
    <w:p>
      <w:pPr>
        <w:ind w:left="440" w:hanging="438"/>
        <w:spacing w:after="0"/>
        <w:tabs>
          <w:tab w:leader="none" w:pos="4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Requirements</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tabs>
          <w:tab w:leader="none" w:pos="14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of members in the manner required by the 2006 Act.</w:t>
      </w:r>
    </w:p>
    <w:p>
      <w:pPr>
        <w:spacing w:after="0" w:line="130" w:lineRule="exact"/>
        <w:rPr>
          <w:rFonts w:ascii="Times New Roman" w:cs="Times New Roman" w:eastAsia="Times New Roman" w:hAnsi="Times New Roman"/>
          <w:sz w:val="18"/>
          <w:szCs w:val="18"/>
          <w:color w:val="auto"/>
        </w:rPr>
      </w:pPr>
    </w:p>
    <w:p>
      <w:pPr>
        <w:ind w:left="1420" w:right="40" w:hanging="433"/>
        <w:spacing w:after="0" w:line="260" w:lineRule="auto"/>
        <w:tabs>
          <w:tab w:leader="none" w:pos="14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the Company may keep an overseas branch register in any country, territory or place. The Board may (subject to the 2006 Act) make and vary such regulations as it may think fit in relation to the keeping of any such overseas branch register, including any regulations regarding the transfer of shares from such overseas branch register to the register, the transfer of shares from the register to such overseas branch register or the inspection of the overseas branch register.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UNTRACED MEMBERS</w:t>
      </w:r>
    </w:p>
    <w:p>
      <w:pPr>
        <w:spacing w:after="0" w:line="130" w:lineRule="exact"/>
        <w:rPr>
          <w:sz w:val="20"/>
          <w:szCs w:val="20"/>
          <w:color w:val="auto"/>
        </w:rPr>
      </w:pPr>
    </w:p>
    <w:p>
      <w:pPr>
        <w:ind w:left="440" w:hanging="438"/>
        <w:spacing w:after="0"/>
        <w:tabs>
          <w:tab w:leader="none" w:pos="4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of untraced members</w:t>
      </w:r>
    </w:p>
    <w:p>
      <w:pPr>
        <w:spacing w:after="0" w:line="134" w:lineRule="exact"/>
        <w:rPr>
          <w:rFonts w:ascii="Times New Roman" w:cs="Times New Roman" w:eastAsia="Times New Roman" w:hAnsi="Times New Roman"/>
          <w:sz w:val="18"/>
          <w:szCs w:val="18"/>
          <w:b w:val="1"/>
          <w:bCs w:val="1"/>
          <w:color w:val="auto"/>
        </w:rPr>
      </w:pPr>
    </w:p>
    <w:p>
      <w:pPr>
        <w:ind w:left="1420" w:right="60" w:hanging="433"/>
        <w:spacing w:after="0" w:line="281" w:lineRule="auto"/>
        <w:tabs>
          <w:tab w:leader="none" w:pos="14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may decide and at the best price it considers to be reasonably obtainable at that time, any share of a member, or any share to which a person is entitled by transmission if:</w:t>
      </w:r>
    </w:p>
    <w:p>
      <w:pPr>
        <w:spacing w:after="0" w:line="68"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12 years at least three cash dividends have become payable in respect of the share to be sold;</w:t>
      </w:r>
    </w:p>
    <w:p>
      <w:pPr>
        <w:spacing w:after="0" w:line="130" w:lineRule="exact"/>
        <w:rPr>
          <w:rFonts w:ascii="Times New Roman" w:cs="Times New Roman" w:eastAsia="Times New Roman" w:hAnsi="Times New Roman"/>
          <w:sz w:val="18"/>
          <w:szCs w:val="18"/>
          <w:color w:val="auto"/>
        </w:rPr>
      </w:pPr>
    </w:p>
    <w:p>
      <w:pPr>
        <w:ind w:left="1980" w:hanging="548"/>
        <w:spacing w:after="0" w:line="260" w:lineRule="auto"/>
        <w:tabs>
          <w:tab w:leader="none" w:pos="198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of 12 years no cash dividend payable in respect of the share has been claimed, no cheque, warrant, order or other payment for a dividend has been cashed, no dividend sent by means of a bank or other funds transfer system or other electronic system or means (including, in the case of uncertificated shares, a relevant system) has been paid and no communication has been received by the Company from the member or the person entitled by transmission to the share;</w:t>
      </w:r>
    </w:p>
    <w:p>
      <w:pPr>
        <w:spacing w:after="0" w:line="87" w:lineRule="exact"/>
        <w:rPr>
          <w:rFonts w:ascii="Times New Roman" w:cs="Times New Roman" w:eastAsia="Times New Roman" w:hAnsi="Times New Roman"/>
          <w:sz w:val="18"/>
          <w:szCs w:val="18"/>
          <w:color w:val="auto"/>
        </w:rPr>
      </w:pPr>
    </w:p>
    <w:p>
      <w:pPr>
        <w:ind w:left="1980" w:right="20" w:hanging="548"/>
        <w:spacing w:after="0" w:line="258" w:lineRule="auto"/>
        <w:tabs>
          <w:tab w:leader="none" w:pos="198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expiry of that period of 12 years the Company has sent, or caused to be sent, a notice to the registered address or last known address the Company has for the member or other person entitled by transmission to the share, giving notice of its intention to sell the share (provided that before sending such a notice, the Company shall have made, or caused to be made, such tracing enquiries for the purpose of contacting that member or other person as the Board considers to be reasonable and appropriate in the circumstances); and</w:t>
      </w:r>
    </w:p>
    <w:p>
      <w:pPr>
        <w:spacing w:after="0" w:line="87" w:lineRule="exact"/>
        <w:rPr>
          <w:rFonts w:ascii="Times New Roman" w:cs="Times New Roman" w:eastAsia="Times New Roman" w:hAnsi="Times New Roman"/>
          <w:sz w:val="18"/>
          <w:szCs w:val="18"/>
          <w:color w:val="auto"/>
        </w:rPr>
      </w:pPr>
    </w:p>
    <w:p>
      <w:pPr>
        <w:ind w:left="1980" w:right="40" w:hanging="548"/>
        <w:spacing w:after="0" w:line="265" w:lineRule="auto"/>
        <w:tabs>
          <w:tab w:leader="none" w:pos="198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three months following the sending of the notice referred to in paragraph (iii) above and after that period until the exercise of the power to sell the share, the Company has not received any communication from the member or the person entitled by transmission to the share.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5" w:right="459" w:bottom="1440" w:gutter="0" w:footer="0" w:header="0"/>
        </w:sectPr>
      </w:pPr>
    </w:p>
    <w:bookmarkStart w:id="120" w:name="page121"/>
    <w:bookmarkEnd w:id="120"/>
    <w:p>
      <w:pPr>
        <w:ind w:left="1418" w:right="60" w:hanging="433"/>
        <w:spacing w:after="0" w:line="258" w:lineRule="auto"/>
        <w:tabs>
          <w:tab w:leader="none" w:pos="141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power of sale shall extend to any further share which, on or before the sending of the notice pursuant to paragraph (a)(iii) above (</w:t>
      </w:r>
      <w:r>
        <w:rPr>
          <w:rFonts w:ascii="Times New Roman" w:cs="Times New Roman" w:eastAsia="Times New Roman" w:hAnsi="Times New Roman"/>
          <w:sz w:val="18"/>
          <w:szCs w:val="18"/>
          <w:b w:val="1"/>
          <w:bCs w:val="1"/>
          <w:color w:val="auto"/>
        </w:rPr>
        <w:t>additional share</w:t>
      </w:r>
      <w:r>
        <w:rPr>
          <w:rFonts w:ascii="Times New Roman" w:cs="Times New Roman" w:eastAsia="Times New Roman" w:hAnsi="Times New Roman"/>
          <w:sz w:val="18"/>
          <w:szCs w:val="18"/>
          <w:color w:val="auto"/>
        </w:rPr>
        <w:t>), is issued in right of a share to which paragraph (a) above applies (or in right of any share to which this paragraph applies) if the conditions set out in paragraphs 145(a)(ii) to (iv) above are satisfied in relation to the additional share (but as if the references to a period of 12 years were references to a period beginning on the date of allotment of the original share and ending on the date of sending the notice referred to above).</w:t>
      </w:r>
    </w:p>
    <w:p>
      <w:pPr>
        <w:spacing w:after="0" w:line="87"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the Board may:</w:t>
      </w:r>
    </w:p>
    <w:p>
      <w:pPr>
        <w:spacing w:after="0" w:line="130" w:lineRule="exact"/>
        <w:rPr>
          <w:rFonts w:ascii="Times New Roman" w:cs="Times New Roman" w:eastAsia="Times New Roman" w:hAnsi="Times New Roman"/>
          <w:sz w:val="18"/>
          <w:szCs w:val="18"/>
          <w:color w:val="auto"/>
        </w:rPr>
      </w:pPr>
    </w:p>
    <w:p>
      <w:pPr>
        <w:ind w:left="1978" w:right="200" w:hanging="548"/>
        <w:spacing w:after="0" w:line="281" w:lineRule="auto"/>
        <w:tabs>
          <w:tab w:leader="none" w:pos="197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certificated form, appoint any person to execute, as transferor, an instrument of transfer of the shares to, or in accordance with the directions of the buyer; and</w:t>
      </w:r>
    </w:p>
    <w:p>
      <w:pPr>
        <w:spacing w:after="0" w:line="68" w:lineRule="exact"/>
        <w:rPr>
          <w:rFonts w:ascii="Times New Roman" w:cs="Times New Roman" w:eastAsia="Times New Roman" w:hAnsi="Times New Roman"/>
          <w:sz w:val="18"/>
          <w:szCs w:val="18"/>
          <w:color w:val="auto"/>
        </w:rPr>
      </w:pPr>
    </w:p>
    <w:p>
      <w:pPr>
        <w:ind w:left="1978" w:right="500" w:hanging="548"/>
        <w:spacing w:after="0" w:line="281" w:lineRule="auto"/>
        <w:tabs>
          <w:tab w:leader="none" w:pos="197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uncertificated form, do all acts and things it considers necessary or expedient to effect the transfer of the shares to or in accordance with the directions of the buyer,</w:t>
      </w:r>
    </w:p>
    <w:p>
      <w:pPr>
        <w:spacing w:after="0" w:line="55" w:lineRule="exact"/>
        <w:rPr>
          <w:sz w:val="20"/>
          <w:szCs w:val="20"/>
          <w:color w:val="auto"/>
        </w:rPr>
      </w:pPr>
    </w:p>
    <w:p>
      <w:pPr>
        <w:ind w:left="1438"/>
        <w:spacing w:after="0" w:line="281" w:lineRule="auto"/>
        <w:rPr>
          <w:sz w:val="20"/>
          <w:szCs w:val="20"/>
          <w:color w:val="auto"/>
        </w:rPr>
      </w:pPr>
      <w:r>
        <w:rPr>
          <w:rFonts w:ascii="Times New Roman" w:cs="Times New Roman" w:eastAsia="Times New Roman" w:hAnsi="Times New Roman"/>
          <w:sz w:val="18"/>
          <w:szCs w:val="18"/>
          <w:color w:val="auto"/>
        </w:rPr>
        <w:t>in each case, the title of the new holder to the share not be affected by any irregularity in, or invalidity of, the proceedings relating to the sale.</w:t>
      </w:r>
    </w:p>
    <w:p>
      <w:pPr>
        <w:spacing w:after="0" w:line="307" w:lineRule="exact"/>
        <w:rPr>
          <w:sz w:val="20"/>
          <w:szCs w:val="20"/>
          <w:color w:val="auto"/>
        </w:rPr>
      </w:pPr>
    </w:p>
    <w:p>
      <w:pPr>
        <w:ind w:left="438" w:hanging="438"/>
        <w:spacing w:after="0"/>
        <w:tabs>
          <w:tab w:leader="none" w:pos="43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proceeds of sale</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of any sale made under article 145 will be forfeited and will belong to the Company. No interest shall be payable in respect of the net proceeds and the Company shall not be required to account for any money earned on the net proceeds. The Company will not be liable in any respect to the former member or members or other person who may or would have been entitled to the share or shares by law for the proceeds of sale, and the Company may use the proceeds of sale for any purpose as the Board may decide.</w:t>
      </w:r>
    </w:p>
    <w:p>
      <w:pPr>
        <w:spacing w:after="0" w:line="39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130" w:lineRule="exact"/>
        <w:rPr>
          <w:sz w:val="20"/>
          <w:szCs w:val="20"/>
          <w:color w:val="auto"/>
        </w:rPr>
      </w:pPr>
    </w:p>
    <w:p>
      <w:pPr>
        <w:ind w:left="438" w:hanging="438"/>
        <w:spacing w:after="0"/>
        <w:tabs>
          <w:tab w:leader="none" w:pos="43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Destruction of documents</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tabs>
          <w:tab w:leader="none" w:pos="141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authorise or arrange the destruction of documents held by the Company as follows:</w:t>
      </w:r>
    </w:p>
    <w:p>
      <w:pPr>
        <w:spacing w:after="0" w:line="130" w:lineRule="exact"/>
        <w:rPr>
          <w:rFonts w:ascii="Times New Roman" w:cs="Times New Roman" w:eastAsia="Times New Roman" w:hAnsi="Times New Roman"/>
          <w:sz w:val="18"/>
          <w:szCs w:val="18"/>
          <w:color w:val="auto"/>
        </w:rPr>
      </w:pPr>
    </w:p>
    <w:p>
      <w:pPr>
        <w:ind w:left="1978" w:right="40" w:hanging="548"/>
        <w:spacing w:after="0" w:line="265" w:lineRule="auto"/>
        <w:tabs>
          <w:tab w:leader="none" w:pos="1978"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six years from the date of registration, all instruments of transfer of shares and all other documents transferring or purporting to transfer shares or representing or purporting to represent the right to be registered as the holder of shares on the faith of which entries have been made in the register;</w:t>
      </w:r>
    </w:p>
    <w:p>
      <w:pPr>
        <w:spacing w:after="0" w:line="82" w:lineRule="exact"/>
        <w:rPr>
          <w:rFonts w:ascii="Times New Roman" w:cs="Times New Roman" w:eastAsia="Times New Roman" w:hAnsi="Times New Roman"/>
          <w:sz w:val="18"/>
          <w:szCs w:val="18"/>
          <w:color w:val="auto"/>
        </w:rPr>
      </w:pPr>
    </w:p>
    <w:p>
      <w:pPr>
        <w:ind w:left="1978" w:right="280" w:hanging="548"/>
        <w:spacing w:after="0" w:line="281" w:lineRule="auto"/>
        <w:tabs>
          <w:tab w:leader="none" w:pos="1978"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cancellation, all registered share certificates which have been cancelled;</w:t>
      </w:r>
    </w:p>
    <w:p>
      <w:pPr>
        <w:spacing w:after="0" w:line="68" w:lineRule="exact"/>
        <w:rPr>
          <w:rFonts w:ascii="Times New Roman" w:cs="Times New Roman" w:eastAsia="Times New Roman" w:hAnsi="Times New Roman"/>
          <w:sz w:val="18"/>
          <w:szCs w:val="18"/>
          <w:color w:val="auto"/>
        </w:rPr>
      </w:pPr>
    </w:p>
    <w:p>
      <w:pPr>
        <w:ind w:left="1978" w:right="400" w:hanging="548"/>
        <w:spacing w:after="0" w:line="281" w:lineRule="auto"/>
        <w:tabs>
          <w:tab w:leader="none" w:pos="1978"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two years from the date of recording them, all dividend mandates and notifications of change of address;</w:t>
      </w:r>
    </w:p>
    <w:p>
      <w:pPr>
        <w:spacing w:after="0" w:line="95"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58"/>
          </w:cols>
          <w:pgMar w:left="442" w:top="270" w:right="499" w:bottom="1440" w:gutter="0" w:footer="0" w:header="0"/>
        </w:sectPr>
      </w:pPr>
    </w:p>
    <w:bookmarkStart w:id="121" w:name="page122"/>
    <w:bookmarkEnd w:id="121"/>
    <w:p>
      <w:pPr>
        <w:ind w:left="1978" w:hanging="548"/>
        <w:spacing w:after="0"/>
        <w:tabs>
          <w:tab w:leader="none" w:pos="197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the expiration of one year from the date of actual payment, all paid dividend warrants and cheques;</w:t>
      </w:r>
    </w:p>
    <w:p>
      <w:pPr>
        <w:spacing w:after="0" w:line="130" w:lineRule="exact"/>
        <w:rPr>
          <w:rFonts w:ascii="Times New Roman" w:cs="Times New Roman" w:eastAsia="Times New Roman" w:hAnsi="Times New Roman"/>
          <w:sz w:val="18"/>
          <w:szCs w:val="18"/>
          <w:color w:val="auto"/>
        </w:rPr>
      </w:pPr>
    </w:p>
    <w:p>
      <w:pPr>
        <w:ind w:left="1978" w:right="200" w:hanging="548"/>
        <w:spacing w:after="0" w:line="281" w:lineRule="auto"/>
        <w:tabs>
          <w:tab w:leader="none" w:pos="197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been used for the purpose of a poll at any time after the expiration of one year from the date of use; and</w:t>
      </w:r>
    </w:p>
    <w:p>
      <w:pPr>
        <w:spacing w:after="0" w:line="68" w:lineRule="exact"/>
        <w:rPr>
          <w:rFonts w:ascii="Times New Roman" w:cs="Times New Roman" w:eastAsia="Times New Roman" w:hAnsi="Times New Roman"/>
          <w:sz w:val="18"/>
          <w:szCs w:val="18"/>
          <w:color w:val="auto"/>
        </w:rPr>
      </w:pPr>
    </w:p>
    <w:p>
      <w:pPr>
        <w:ind w:left="1978" w:right="200" w:hanging="548"/>
        <w:spacing w:after="0" w:line="312" w:lineRule="auto"/>
        <w:tabs>
          <w:tab w:leader="none" w:pos="1978"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appointments (or records of appointment) of proxy which have not been used for the purpose of a poll at any time after one month from the end of the meeting to which the appointment of proxy relates and at which no poll was demanded.</w:t>
      </w:r>
    </w:p>
    <w:p>
      <w:pPr>
        <w:spacing w:after="0" w:line="44" w:lineRule="exact"/>
        <w:rPr>
          <w:rFonts w:ascii="Times New Roman" w:cs="Times New Roman" w:eastAsia="Times New Roman" w:hAnsi="Times New Roman"/>
          <w:sz w:val="17"/>
          <w:szCs w:val="17"/>
          <w:color w:val="auto"/>
        </w:rPr>
      </w:pPr>
    </w:p>
    <w:p>
      <w:pPr>
        <w:ind w:left="1418" w:hanging="433"/>
        <w:spacing w:after="0"/>
        <w:tabs>
          <w:tab w:leader="none" w:pos="14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it shall conclusively be presumed in favour of the Company that:</w:t>
      </w:r>
    </w:p>
    <w:p>
      <w:pPr>
        <w:spacing w:after="0" w:line="130" w:lineRule="exact"/>
        <w:rPr>
          <w:rFonts w:ascii="Times New Roman" w:cs="Times New Roman" w:eastAsia="Times New Roman" w:hAnsi="Times New Roman"/>
          <w:sz w:val="18"/>
          <w:szCs w:val="18"/>
          <w:color w:val="auto"/>
        </w:rPr>
      </w:pPr>
    </w:p>
    <w:p>
      <w:pPr>
        <w:ind w:left="1978" w:right="460" w:hanging="548"/>
        <w:spacing w:after="0" w:line="281" w:lineRule="auto"/>
        <w:tabs>
          <w:tab w:leader="none" w:pos="19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entry in the register purporting to have been made on the basis of an instrument of transfer or other document so destroyed was duly and properly made;</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so destroyed was a valid certificate duly and properly cancelled;</w:t>
      </w:r>
    </w:p>
    <w:p>
      <w:pPr>
        <w:spacing w:after="0" w:line="130" w:lineRule="exact"/>
        <w:rPr>
          <w:rFonts w:ascii="Times New Roman" w:cs="Times New Roman" w:eastAsia="Times New Roman" w:hAnsi="Times New Roman"/>
          <w:sz w:val="18"/>
          <w:szCs w:val="18"/>
          <w:color w:val="auto"/>
        </w:rPr>
      </w:pPr>
    </w:p>
    <w:p>
      <w:pPr>
        <w:ind w:left="1978" w:hanging="548"/>
        <w:spacing w:after="0" w:line="281" w:lineRule="auto"/>
        <w:tabs>
          <w:tab w:leader="none" w:pos="19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document mentioned in paragraph (a) above so destroyed was a valid and effective document in accordance with the particulars of it recorded in the books and records of the Company; and</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paid dividend warrant and cheque so destroyed was duly paid.</w:t>
      </w:r>
    </w:p>
    <w:p>
      <w:pPr>
        <w:spacing w:after="0" w:line="130" w:lineRule="exact"/>
        <w:rPr>
          <w:rFonts w:ascii="Times New Roman" w:cs="Times New Roman" w:eastAsia="Times New Roman" w:hAnsi="Times New Roman"/>
          <w:sz w:val="18"/>
          <w:szCs w:val="18"/>
          <w:color w:val="auto"/>
        </w:rPr>
      </w:pPr>
    </w:p>
    <w:p>
      <w:pPr>
        <w:ind w:left="1418" w:right="360" w:hanging="433"/>
        <w:spacing w:after="0" w:line="281" w:lineRule="auto"/>
        <w:tabs>
          <w:tab w:leader="none" w:pos="14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(b) above shall apply only to the destruction of a document in good faith and without notice of any claim (regardless of the parties to it) to which the document might be relevant.</w:t>
      </w:r>
    </w:p>
    <w:p>
      <w:pPr>
        <w:spacing w:after="0" w:line="68" w:lineRule="exact"/>
        <w:rPr>
          <w:rFonts w:ascii="Times New Roman" w:cs="Times New Roman" w:eastAsia="Times New Roman" w:hAnsi="Times New Roman"/>
          <w:sz w:val="18"/>
          <w:szCs w:val="18"/>
          <w:color w:val="auto"/>
        </w:rPr>
      </w:pPr>
    </w:p>
    <w:p>
      <w:pPr>
        <w:ind w:left="1418" w:right="80" w:hanging="433"/>
        <w:spacing w:after="0" w:line="265" w:lineRule="auto"/>
        <w:tabs>
          <w:tab w:leader="none" w:pos="14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be construed as imposing on the Company or the Board any liability in respect of the destruction of any document earlier than as stated in paragraph (a) above or in any other circumstances in which liability would not attach to the Company or the Board in the absence of this article.</w:t>
      </w:r>
    </w:p>
    <w:p>
      <w:pPr>
        <w:spacing w:after="0" w:line="82" w:lineRule="exact"/>
        <w:rPr>
          <w:rFonts w:ascii="Times New Roman" w:cs="Times New Roman" w:eastAsia="Times New Roman" w:hAnsi="Times New Roman"/>
          <w:sz w:val="18"/>
          <w:szCs w:val="18"/>
          <w:color w:val="auto"/>
        </w:rPr>
      </w:pPr>
    </w:p>
    <w:p>
      <w:pPr>
        <w:ind w:left="1418" w:hanging="433"/>
        <w:spacing w:after="0"/>
        <w:tabs>
          <w:tab w:leader="none" w:pos="14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36"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30" w:lineRule="exact"/>
        <w:rPr>
          <w:sz w:val="20"/>
          <w:szCs w:val="20"/>
          <w:color w:val="auto"/>
        </w:rPr>
      </w:pPr>
    </w:p>
    <w:p>
      <w:pPr>
        <w:ind w:left="438" w:hanging="438"/>
        <w:spacing w:after="0"/>
        <w:tabs>
          <w:tab w:leader="none" w:pos="438"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to distribute </w:t>
      </w:r>
      <w:r>
        <w:rPr>
          <w:rFonts w:ascii="Times New Roman" w:cs="Times New Roman" w:eastAsia="Times New Roman" w:hAnsi="Times New Roman"/>
          <w:sz w:val="18"/>
          <w:szCs w:val="18"/>
          <w:b w:val="1"/>
          <w:bCs w:val="1"/>
          <w:i w:val="1"/>
          <w:iCs w:val="1"/>
          <w:color w:val="auto"/>
        </w:rPr>
        <w:t>in specie</w:t>
      </w:r>
    </w:p>
    <w:p>
      <w:pPr>
        <w:spacing w:after="0" w:line="120" w:lineRule="exact"/>
        <w:rPr>
          <w:rFonts w:ascii="Times New Roman" w:cs="Times New Roman" w:eastAsia="Times New Roman" w:hAnsi="Times New Roman"/>
          <w:sz w:val="18"/>
          <w:szCs w:val="18"/>
          <w:b w:val="1"/>
          <w:bCs w:val="1"/>
          <w:color w:val="auto"/>
        </w:rPr>
      </w:pPr>
    </w:p>
    <w:p>
      <w:pPr>
        <w:ind w:left="438" w:right="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being wound up (whether the liquidation is voluntary, under supervision or by the Court or otherwise), the liquidator may, with the authority of a special resolution of the Company and any other authority required by the Statutes:</w:t>
      </w:r>
    </w:p>
    <w:p>
      <w:pPr>
        <w:spacing w:after="0" w:line="95"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38"/>
          </w:cols>
          <w:pgMar w:left="442" w:top="269" w:right="519" w:bottom="1440" w:gutter="0" w:footer="0" w:header="0"/>
        </w:sectPr>
      </w:pPr>
    </w:p>
    <w:bookmarkStart w:id="122" w:name="page123"/>
    <w:bookmarkEnd w:id="122"/>
    <w:p>
      <w:pPr>
        <w:ind w:left="1980" w:right="380" w:hanging="548"/>
        <w:spacing w:after="0" w:line="314" w:lineRule="auto"/>
        <w:tabs>
          <w:tab w:leader="none" w:pos="198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divide among the members </w:t>
      </w:r>
      <w:r>
        <w:rPr>
          <w:rFonts w:ascii="Times New Roman" w:cs="Times New Roman" w:eastAsia="Times New Roman" w:hAnsi="Times New Roman"/>
          <w:sz w:val="17"/>
          <w:szCs w:val="17"/>
          <w:i w:val="1"/>
          <w:iCs w:val="1"/>
          <w:color w:val="auto"/>
        </w:rPr>
        <w:t>in specie</w:t>
      </w:r>
      <w:r>
        <w:rPr>
          <w:rFonts w:ascii="Times New Roman" w:cs="Times New Roman" w:eastAsia="Times New Roman" w:hAnsi="Times New Roman"/>
          <w:sz w:val="17"/>
          <w:szCs w:val="17"/>
          <w:color w:val="auto"/>
        </w:rPr>
        <w:t xml:space="preserve"> the whole or any part of the assets of the Company and, for that purpose, value any assets and determine how the division shall be carried out as between the members or different classes of members; or</w:t>
      </w:r>
    </w:p>
    <w:p>
      <w:pPr>
        <w:spacing w:after="0" w:line="43" w:lineRule="exact"/>
        <w:rPr>
          <w:rFonts w:ascii="Times New Roman" w:cs="Times New Roman" w:eastAsia="Times New Roman" w:hAnsi="Times New Roman"/>
          <w:sz w:val="17"/>
          <w:szCs w:val="17"/>
          <w:color w:val="auto"/>
        </w:rPr>
      </w:pPr>
    </w:p>
    <w:p>
      <w:pPr>
        <w:ind w:left="1980" w:right="100" w:hanging="548"/>
        <w:spacing w:after="0" w:line="281" w:lineRule="auto"/>
        <w:tabs>
          <w:tab w:leader="none" w:pos="1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members as the liquidator, with the like sanction, shall think fit but no member shall be compelled to accept any assets upon which there is any liability.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AND INSURANCE, ETC.</w:t>
      </w:r>
    </w:p>
    <w:p>
      <w:pPr>
        <w:spacing w:after="0" w:line="130" w:lineRule="exact"/>
        <w:rPr>
          <w:sz w:val="20"/>
          <w:szCs w:val="20"/>
          <w:color w:val="auto"/>
        </w:rPr>
      </w:pPr>
    </w:p>
    <w:p>
      <w:pPr>
        <w:ind w:left="440" w:hanging="438"/>
        <w:spacing w:after="0"/>
        <w:tabs>
          <w:tab w:leader="none" w:pos="4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indemnity, insurance and defence</w:t>
      </w:r>
    </w:p>
    <w:p>
      <w:pPr>
        <w:spacing w:after="0" w:line="134" w:lineRule="exact"/>
        <w:rPr>
          <w:rFonts w:ascii="Times New Roman" w:cs="Times New Roman" w:eastAsia="Times New Roman" w:hAnsi="Times New Roman"/>
          <w:sz w:val="18"/>
          <w:szCs w:val="18"/>
          <w:b w:val="1"/>
          <w:bCs w:val="1"/>
          <w:color w:val="auto"/>
        </w:rPr>
      </w:pPr>
    </w:p>
    <w:p>
      <w:pPr>
        <w:ind w:left="1420" w:hanging="433"/>
        <w:spacing w:after="0" w:line="255" w:lineRule="auto"/>
        <w:tabs>
          <w:tab w:leader="none" w:pos="14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but without prejudice to any indemnity to which the person concerned may otherwise be entitled, every director or other officer of the Company shall be indemnified out of the assets of the Company against any liability incurred by him for negligence, default, breach of duty, breach of trust or otherwise in relation to the affairs of the Company or of an associated company, or in connection with the activities of the Company, or of an associated company, as a trustee of an occupational pension scheme (as defined in section 235(6) of the 2006 Act), provided that this article shall be deemed not to provide for, or entitle any such person to, indemnification to the extent that it would cause this article, or any element of it, to be treated as void under the 2006 Act or otherwise unlawful under the 2006 Act.</w:t>
      </w:r>
    </w:p>
    <w:p>
      <w:pPr>
        <w:spacing w:after="0" w:line="92" w:lineRule="exact"/>
        <w:rPr>
          <w:rFonts w:ascii="Times New Roman" w:cs="Times New Roman" w:eastAsia="Times New Roman" w:hAnsi="Times New Roman"/>
          <w:sz w:val="18"/>
          <w:szCs w:val="18"/>
          <w:color w:val="auto"/>
        </w:rPr>
      </w:pPr>
    </w:p>
    <w:p>
      <w:pPr>
        <w:ind w:left="1420" w:right="20" w:hanging="433"/>
        <w:spacing w:after="0" w:line="281" w:lineRule="auto"/>
        <w:tabs>
          <w:tab w:leader="none" w:pos="14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foregoing, the Board may exercise all the powers of the Company to purchase and maintain insurance for or for the benefit of any person who is or was:</w:t>
      </w:r>
    </w:p>
    <w:p>
      <w:pPr>
        <w:spacing w:after="0" w:line="68" w:lineRule="exact"/>
        <w:rPr>
          <w:rFonts w:ascii="Times New Roman" w:cs="Times New Roman" w:eastAsia="Times New Roman" w:hAnsi="Times New Roman"/>
          <w:sz w:val="18"/>
          <w:szCs w:val="18"/>
          <w:color w:val="auto"/>
        </w:rPr>
      </w:pPr>
    </w:p>
    <w:p>
      <w:pPr>
        <w:ind w:left="1980" w:right="40" w:hanging="548"/>
        <w:spacing w:after="0" w:line="260" w:lineRule="auto"/>
        <w:tabs>
          <w:tab w:leader="none" w:pos="19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auditor of the Company or any body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87" w:lineRule="exact"/>
        <w:rPr>
          <w:rFonts w:ascii="Times New Roman" w:cs="Times New Roman" w:eastAsia="Times New Roman" w:hAnsi="Times New Roman"/>
          <w:sz w:val="18"/>
          <w:szCs w:val="18"/>
          <w:color w:val="auto"/>
        </w:rPr>
      </w:pPr>
    </w:p>
    <w:p>
      <w:pPr>
        <w:ind w:left="1980" w:right="60" w:hanging="548"/>
        <w:spacing w:after="0" w:line="281" w:lineRule="auto"/>
        <w:tabs>
          <w:tab w:leader="none" w:pos="19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any pension fund in which employees of the Company or any other body referred to in paragraph (i) above are or have been interested,</w:t>
      </w:r>
    </w:p>
    <w:p>
      <w:pPr>
        <w:spacing w:after="0" w:line="55" w:lineRule="exact"/>
        <w:rPr>
          <w:sz w:val="20"/>
          <w:szCs w:val="20"/>
          <w:color w:val="auto"/>
        </w:rPr>
      </w:pPr>
    </w:p>
    <w:p>
      <w:pPr>
        <w:ind w:left="1440" w:right="80"/>
        <w:spacing w:after="0" w:line="265" w:lineRule="auto"/>
        <w:rPr>
          <w:sz w:val="20"/>
          <w:szCs w:val="20"/>
          <w:color w:val="auto"/>
        </w:rPr>
      </w:pPr>
      <w:r>
        <w:rPr>
          <w:rFonts w:ascii="Times New Roman" w:cs="Times New Roman" w:eastAsia="Times New Roman" w:hAnsi="Times New Roman"/>
          <w:sz w:val="18"/>
          <w:szCs w:val="18"/>
          <w:color w:val="auto"/>
        </w:rPr>
        <w:t>including without limitation insurance against any liability incurred by such person in respect of any act or omission in the actual or purported execution or discharge of his duties or in the exercise or purported exercise of his powers or otherwise in relation to his duties, powers or offices in relation to the relevant body or fund.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67" w:right="459" w:bottom="1440" w:gutter="0" w:footer="0" w:header="0"/>
        </w:sectPr>
      </w:pPr>
    </w:p>
    <w:bookmarkStart w:id="123" w:name="page124"/>
    <w:bookmarkEnd w:id="123"/>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FORUM SELECTION</w:t>
      </w:r>
    </w:p>
    <w:p>
      <w:pPr>
        <w:spacing w:after="0" w:line="130" w:lineRule="exact"/>
        <w:rPr>
          <w:sz w:val="20"/>
          <w:szCs w:val="20"/>
          <w:color w:val="auto"/>
        </w:rPr>
      </w:pPr>
    </w:p>
    <w:p>
      <w:pPr>
        <w:ind w:left="438" w:hanging="438"/>
        <w:spacing w:after="0"/>
        <w:tabs>
          <w:tab w:leader="none" w:pos="438"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Forum Selection</w:t>
      </w:r>
    </w:p>
    <w:p>
      <w:pPr>
        <w:spacing w:after="0" w:line="134" w:lineRule="exact"/>
        <w:rPr>
          <w:rFonts w:ascii="Times New Roman" w:cs="Times New Roman" w:eastAsia="Times New Roman" w:hAnsi="Times New Roman"/>
          <w:sz w:val="18"/>
          <w:szCs w:val="18"/>
          <w:b w:val="1"/>
          <w:bCs w:val="1"/>
          <w:color w:val="auto"/>
        </w:rPr>
      </w:pPr>
    </w:p>
    <w:p>
      <w:pPr>
        <w:ind w:left="1418" w:hanging="433"/>
        <w:spacing w:after="0" w:line="281" w:lineRule="auto"/>
        <w:tabs>
          <w:tab w:leader="none" w:pos="14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Courts of England and Wales shall, to the fullest extent permitted by law, be the sole and exclusive forum for:</w:t>
      </w:r>
    </w:p>
    <w:p>
      <w:pPr>
        <w:spacing w:after="0" w:line="68" w:lineRule="exact"/>
        <w:rPr>
          <w:rFonts w:ascii="Times New Roman" w:cs="Times New Roman" w:eastAsia="Times New Roman" w:hAnsi="Times New Roman"/>
          <w:sz w:val="18"/>
          <w:szCs w:val="18"/>
          <w:color w:val="auto"/>
        </w:rPr>
      </w:pPr>
    </w:p>
    <w:p>
      <w:pPr>
        <w:ind w:left="1978" w:hanging="548"/>
        <w:spacing w:after="0"/>
        <w:tabs>
          <w:tab w:leader="none" w:pos="197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jc w:val="both"/>
        <w:ind w:left="1978" w:right="240" w:hanging="548"/>
        <w:spacing w:after="0" w:line="265" w:lineRule="auto"/>
        <w:tabs>
          <w:tab w:leader="none" w:pos="197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2006 Act); and/or</w:t>
      </w:r>
    </w:p>
    <w:p>
      <w:pPr>
        <w:spacing w:after="0" w:line="82" w:lineRule="exact"/>
        <w:rPr>
          <w:rFonts w:ascii="Times New Roman" w:cs="Times New Roman" w:eastAsia="Times New Roman" w:hAnsi="Times New Roman"/>
          <w:sz w:val="18"/>
          <w:szCs w:val="18"/>
          <w:color w:val="auto"/>
        </w:rPr>
      </w:pPr>
    </w:p>
    <w:p>
      <w:pPr>
        <w:ind w:left="1978" w:right="120" w:hanging="548"/>
        <w:spacing w:after="0" w:line="260" w:lineRule="auto"/>
        <w:tabs>
          <w:tab w:leader="none" w:pos="197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these articles (pursuant to any provision of the laws of England and Wales or these articles (as either may be may be amended from time to time)) or otherwise in any way relating to the constitution or conduct of the Company, other than any such action in any way relating to the conduct of the Company arising out of a breach of any federal law of the United States of America or the laws of any State of the United States of America.</w:t>
      </w:r>
    </w:p>
    <w:p>
      <w:pPr>
        <w:spacing w:after="0" w:line="87" w:lineRule="exact"/>
        <w:rPr>
          <w:rFonts w:ascii="Times New Roman" w:cs="Times New Roman" w:eastAsia="Times New Roman" w:hAnsi="Times New Roman"/>
          <w:sz w:val="18"/>
          <w:szCs w:val="18"/>
          <w:color w:val="auto"/>
        </w:rPr>
      </w:pPr>
    </w:p>
    <w:p>
      <w:pPr>
        <w:ind w:left="1418" w:right="280" w:hanging="433"/>
        <w:spacing w:after="0" w:line="265" w:lineRule="auto"/>
        <w:tabs>
          <w:tab w:leader="none" w:pos="14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United States Securities Act of 1933, as amended or any successor thereto.</w:t>
      </w:r>
    </w:p>
    <w:p>
      <w:pPr>
        <w:spacing w:after="0" w:line="82" w:lineRule="exact"/>
        <w:rPr>
          <w:rFonts w:ascii="Times New Roman" w:cs="Times New Roman" w:eastAsia="Times New Roman" w:hAnsi="Times New Roman"/>
          <w:sz w:val="18"/>
          <w:szCs w:val="18"/>
          <w:color w:val="auto"/>
        </w:rPr>
      </w:pPr>
    </w:p>
    <w:p>
      <w:pPr>
        <w:ind w:left="1418" w:right="480" w:hanging="433"/>
        <w:spacing w:after="0" w:line="281" w:lineRule="auto"/>
        <w:tabs>
          <w:tab w:leader="none" w:pos="14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contained in this article 150 shall apply to any action brought to enforce a duty or liability created by the Exchange Act or any successor thereto.</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78"/>
          </w:cols>
          <w:pgMar w:left="442" w:top="266" w:right="479" w:bottom="1440" w:gutter="0" w:footer="0" w:header="0"/>
        </w:sectPr>
      </w:pPr>
    </w:p>
    <w:bookmarkStart w:id="124" w:name="page125"/>
    <w:bookmarkEnd w:id="124"/>
    <w:p>
      <w:pPr>
        <w:ind w:left="916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180975</wp:posOffset>
            </wp:positionV>
            <wp:extent cx="7118985" cy="4340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18985" cy="4340860"/>
                    </a:xfrm>
                    <a:prstGeom prst="rect">
                      <a:avLst/>
                    </a:prstGeom>
                    <a:noFill/>
                  </pic:spPr>
                </pic:pic>
              </a:graphicData>
            </a:graphic>
          </wp:anchor>
        </w:drawing>
      </w:r>
    </w:p>
    <w:p>
      <w:pPr>
        <w:sectPr>
          <w:pgSz w:w="11900" w:h="16838" w:orient="portrait"/>
          <w:cols w:equalWidth="0" w:num="1">
            <w:col w:w="10000"/>
          </w:cols>
          <w:pgMar w:left="1440" w:top="117" w:right="459" w:bottom="1440"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59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8459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ind w:left="10160"/>
        <w:spacing w:after="0"/>
        <w:rPr>
          <w:sz w:val="20"/>
          <w:szCs w:val="20"/>
          <w:color w:val="auto"/>
        </w:rPr>
      </w:pPr>
      <w:r>
        <w:rPr>
          <w:rFonts w:ascii="Times New Roman" w:cs="Times New Roman" w:eastAsia="Times New Roman" w:hAnsi="Times New Roman"/>
          <w:sz w:val="17"/>
          <w:szCs w:val="17"/>
          <w:b w:val="1"/>
          <w:bCs w:val="1"/>
          <w:color w:val="auto"/>
        </w:rPr>
        <w:t>Exhibit 2.2</w:t>
      </w:r>
    </w:p>
    <w:p>
      <w:pPr>
        <w:spacing w:after="0" w:line="263" w:lineRule="exact"/>
        <w:rPr>
          <w:sz w:val="20"/>
          <w:szCs w:val="20"/>
          <w:color w:val="auto"/>
        </w:rPr>
      </w:pPr>
    </w:p>
    <w:p>
      <w:pPr>
        <w:spacing w:after="0"/>
        <w:tabs>
          <w:tab w:leader="none" w:pos="9560" w:val="left"/>
        </w:tabs>
        <w:rPr>
          <w:sz w:val="20"/>
          <w:szCs w:val="20"/>
          <w:color w:val="auto"/>
        </w:rPr>
      </w:pPr>
      <w:r>
        <w:rPr>
          <w:rFonts w:ascii="Times New Roman" w:cs="Times New Roman" w:eastAsia="Times New Roman" w:hAnsi="Times New Roman"/>
          <w:sz w:val="18"/>
          <w:szCs w:val="18"/>
          <w:b w:val="1"/>
          <w:bCs w:val="1"/>
          <w:color w:val="auto"/>
        </w:rPr>
        <w:t>NUMBER (SEE REVERSE SIDE FOR LEGEND)</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31" w:lineRule="exact"/>
        <w:rPr>
          <w:sz w:val="20"/>
          <w:szCs w:val="20"/>
          <w:color w:val="auto"/>
        </w:rPr>
      </w:pPr>
    </w:p>
    <w:p>
      <w:pPr>
        <w:ind w:left="900" w:right="4260" w:hanging="898"/>
        <w:spacing w:after="0" w:line="260" w:lineRule="auto"/>
        <w:tabs>
          <w:tab w:leader="none" w:pos="9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CUSIP </w:t>
      </w:r>
      <w:r>
        <w:rPr>
          <w:rFonts w:ascii="Times New Roman" w:cs="Times New Roman" w:eastAsia="Times New Roman" w:hAnsi="Times New Roman"/>
          <w:sz w:val="18"/>
          <w:szCs w:val="18"/>
          <w:i w:val="1"/>
          <w:iCs w:val="1"/>
          <w:color w:val="auto"/>
        </w:rPr>
        <w:t>[to be inserted]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ind w:right="36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THIS CERTIFIES THAT, for value received ,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the registered holder of a warrant or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to subscribe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ordinary shares, nominal value £0.0001 per share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Rezolve AI Limited, a limited company incorporated under the laws of England and Wales with registration number 14573691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Warrants shall expire at 5:00 p.m., New York City time, on the earlier to occur of:</w:t>
      </w:r>
    </w:p>
    <w:p>
      <w:pPr>
        <w:ind w:right="20" w:firstLine="2"/>
        <w:spacing w:after="0" w:line="251" w:lineRule="auto"/>
        <w:tabs>
          <w:tab w:leader="none" w:pos="2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from the Closing Date; (ii) the date fixed by the Company for the redemption of all Warrants subject to redemption;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whole Warrant entitles the holder, upon exercise during the period set forth in that certain Warrant Agreement, dated as of [___], 2024, by and between the Company and the Warrant Agent (as defined below)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referred to below, to receive from the Company that number of fully paid Shares, at an exercise price of $11.50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upon surrender of this Warrant Certificate and payment of the Warrant Price at the office or agency of Computershare Inc.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and its affiliate, Computershare Trust Company, N.A (together with Computershare,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but only subject to the conditions set forth herein and in the Warrant Agreement. In no event will the Company be required to net cash settle any Warrant exercise. The Warrant Agreement provides that upon the occurrence of certain events the Warrant Price, the Redemption Trigger Price (defined below) and the number of Shares that may be subscribed for hereunder, set forth on the face hereof, may, subject to certain conditions, be adjusted. Defined terms used in this Warrant Certificate but not defined herein shall have the meanings given to them in the Warrant Agreement</w:t>
      </w:r>
    </w:p>
    <w:p>
      <w:pPr>
        <w:spacing w:after="0" w:line="190" w:lineRule="exact"/>
        <w:rPr>
          <w:sz w:val="20"/>
          <w:szCs w:val="20"/>
          <w:color w:val="auto"/>
        </w:rPr>
      </w:pPr>
    </w:p>
    <w:p>
      <w:pPr>
        <w:jc w:val="both"/>
        <w:ind w:right="180" w:firstLine="440"/>
        <w:spacing w:after="0" w:line="265" w:lineRule="auto"/>
        <w:rPr>
          <w:sz w:val="20"/>
          <w:szCs w:val="20"/>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round down to the nearest whole number the number of Shares to be issued to such holder.</w:t>
      </w:r>
    </w:p>
    <w:p>
      <w:pPr>
        <w:spacing w:after="0" w:line="177"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39" w:lineRule="exact"/>
        <w:rPr>
          <w:sz w:val="20"/>
          <w:szCs w:val="20"/>
          <w:color w:val="auto"/>
        </w:rPr>
      </w:pPr>
    </w:p>
    <w:p>
      <w:pPr>
        <w:ind w:right="240" w:firstLine="440"/>
        <w:spacing w:after="0" w:line="265" w:lineRule="auto"/>
        <w:rPr>
          <w:sz w:val="20"/>
          <w:szCs w:val="20"/>
          <w:color w:val="auto"/>
        </w:rPr>
      </w:pPr>
      <w:r>
        <w:rPr>
          <w:rFonts w:ascii="Times New Roman" w:cs="Times New Roman" w:eastAsia="Times New Roman" w:hAnsi="Times New Roman"/>
          <w:sz w:val="18"/>
          <w:szCs w:val="18"/>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77"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82" w:lineRule="exact"/>
        <w:rPr>
          <w:sz w:val="20"/>
          <w:szCs w:val="20"/>
          <w:color w:val="auto"/>
        </w:rPr>
      </w:pPr>
    </w:p>
    <w:p>
      <w:pPr>
        <w:jc w:val="both"/>
        <w:ind w:right="100" w:firstLine="440"/>
        <w:spacing w:after="0" w:line="265"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does not entitle the registered holder to any of the rights of a shareholder of the Company.</w:t>
      </w:r>
    </w:p>
    <w:p>
      <w:pPr>
        <w:sectPr>
          <w:pgSz w:w="11900" w:h="16838" w:orient="portrait"/>
          <w:cols w:equalWidth="0" w:num="1">
            <w:col w:w="11000"/>
          </w:cols>
          <w:pgMar w:left="440" w:top="117" w:right="459" w:bottom="1440" w:gutter="0" w:footer="0" w:header="0"/>
        </w:sectPr>
      </w:pPr>
    </w:p>
    <w:bookmarkStart w:id="127" w:name="page128"/>
    <w:bookmarkEnd w:id="1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Times New Roman" w:cs="Times New Roman" w:eastAsia="Times New Roman" w:hAnsi="Times New Roman"/>
          <w:sz w:val="18"/>
          <w:szCs w:val="18"/>
          <w:u w:val="single" w:color="auto"/>
          <w:color w:val="auto"/>
        </w:rPr>
        <w:t>Redemption Trigger Price</w:t>
      </w:r>
      <w:r>
        <w:rPr>
          <w:rFonts w:ascii="Times New Roman" w:cs="Times New Roman" w:eastAsia="Times New Roman" w:hAnsi="Times New Roman"/>
          <w:sz w:val="18"/>
          <w:szCs w:val="18"/>
          <w:color w:val="auto"/>
        </w:rPr>
        <w:t>”) on each of 20 trading days within any 30 trading day period (the “</w:t>
      </w:r>
      <w:r>
        <w:rPr>
          <w:rFonts w:ascii="Times New Roman" w:cs="Times New Roman" w:eastAsia="Times New Roman" w:hAnsi="Times New Roman"/>
          <w:sz w:val="18"/>
          <w:szCs w:val="18"/>
          <w:u w:val="single" w:color="auto"/>
          <w:color w:val="auto"/>
        </w:rPr>
        <w:t>30-day trading period</w:t>
      </w:r>
      <w:r>
        <w:rPr>
          <w:rFonts w:ascii="Times New Roman" w:cs="Times New Roman" w:eastAsia="Times New Roman" w:hAnsi="Times New Roman"/>
          <w:sz w:val="18"/>
          <w:szCs w:val="18"/>
          <w:color w:val="auto"/>
        </w:rPr>
        <w:t>”) commencing after the Warrants become exercisable and ending on the third business day prior to the date on which notice of such call is given and if, and only if, there is a current registration statement in effect with respect to the Shares underlying the Warrants.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This Certificate was Authorised by: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 N.A,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60"/>
          </w:cols>
          <w:pgMar w:left="440" w:top="270" w:right="699" w:bottom="1440" w:gutter="0" w:footer="0" w:header="0"/>
        </w:sectPr>
      </w:pPr>
    </w:p>
    <w:bookmarkStart w:id="128" w:name="page129"/>
    <w:bookmarkEnd w:id="128"/>
    <w:p>
      <w:pPr>
        <w:jc w:val="center"/>
        <w:ind w:right="-3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SUBSCRIPTION FORM</w:t>
      </w:r>
    </w:p>
    <w:p>
      <w:pPr>
        <w:spacing w:after="0" w:line="1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undersigned Registered Holder irrevocably elects to exercise Warrants represented by this Warrant Certificate, and to subscribe for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269240</wp:posOffset>
            </wp:positionV>
            <wp:extent cx="6986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9869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986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17145</wp:posOffset>
            </wp:positionV>
            <wp:extent cx="54457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445760" cy="8255"/>
                    </a:xfrm>
                    <a:prstGeom prst="rect">
                      <a:avLst/>
                    </a:prstGeom>
                    <a:noFill/>
                  </pic:spPr>
                </pic:pic>
              </a:graphicData>
            </a:graphic>
          </wp:anchor>
        </w:drawing>
      </w:r>
    </w:p>
    <w:p>
      <w:pPr>
        <w:spacing w:after="0" w:line="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17145</wp:posOffset>
            </wp:positionV>
            <wp:extent cx="5933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933440" cy="8255"/>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48260</wp:posOffset>
            </wp:positionV>
            <wp:extent cx="5933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933440" cy="825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(ADDRESS)</w:t>
      </w:r>
    </w:p>
    <w:p>
      <w:pPr>
        <w:spacing w:after="0" w:line="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-127635</wp:posOffset>
            </wp:positionV>
            <wp:extent cx="59334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933440" cy="8255"/>
                    </a:xfrm>
                    <a:prstGeom prst="rect">
                      <a:avLst/>
                    </a:prstGeom>
                    <a:noFill/>
                  </pic:spPr>
                </pic:pic>
              </a:graphicData>
            </a:graphic>
          </wp:anchor>
        </w:drawing>
      </w:r>
    </w:p>
    <w:p>
      <w:pPr>
        <w:sectPr>
          <w:pgSz w:w="11900" w:h="16838" w:orient="portrait"/>
          <w:cols w:equalWidth="0" w:num="1">
            <w:col w:w="10640"/>
          </w:cols>
          <w:pgMar w:left="440" w:top="269" w:right="81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986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986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51"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and be delivered to</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-7620</wp:posOffset>
            </wp:positionV>
            <wp:extent cx="2279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17145</wp:posOffset>
            </wp:positionV>
            <wp:extent cx="32791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SIGNATURE TO THE ASSIGNMENT OF THE SUBSCRIPTION FORM MUST CORRESPOND TO THE NAME WRITTEN UPON THE FACE OF THIS WARRANT CERTIFICATE IN EVERY PARTICULAR, WITHOUT ALTERATION OR ENLARGEMENT OR ANY CHANGE WHATSOEVER, AND MUST BE GUARANTEED BY A COMMERCIAL BANK OR TRUST COMPANY OR A MEMBER FIRM OF THE NYSE AMERICAN, NASDAQ, NEW YORK STOCK EXCHANGE, PACIFIC STOCK EXCHANGE, OR CHICAGO STOCK EXCHANGE.</w:t>
      </w:r>
    </w:p>
    <w:p>
      <w:pPr>
        <w:sectPr>
          <w:pgSz w:w="11900" w:h="16838" w:orient="portrait"/>
          <w:cols w:equalWidth="0" w:num="1">
            <w:col w:w="10980"/>
          </w:cols>
          <w:pgMar w:left="440" w:top="265" w:right="4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This agreement is made as of August 15 , 2024 between Rezolve AI Limited, a limited company incorporated under the laws of England and Wales with registration number 14573691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(“Computershare”) and its affiliate, Computershare Trust Company, N.A., a federally chartered trust company, (together with Computershare,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dated as of 17 December 2021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Armada shall be merged with and into Merger Sub (a wholly-owned subsidiary of the Company), with Armada surviving as a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7,499,994 Warrants;</w:t>
      </w:r>
    </w:p>
    <w:p>
      <w:pPr>
        <w:spacing w:after="0" w:line="1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F-4, No. 333-272751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Warrants;</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6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right="40" w:firstLine="2"/>
        <w:spacing w:after="0" w:line="260" w:lineRule="auto"/>
        <w:tabs>
          <w:tab w:leader="none" w:pos="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in accordance with the express terms and conditions hereof (and no implied terms and conditions), and the Warrant Agent hereby accepts such appointment and agrees to perform the same in accordance with the express terms and conditions (and no duties or obligations shall be inferred or implied) set forth in this Agreement.</w:t>
      </w:r>
    </w:p>
    <w:p>
      <w:pPr>
        <w:spacing w:after="0" w:line="181" w:lineRule="exact"/>
        <w:rPr>
          <w:rFonts w:ascii="Times New Roman" w:cs="Times New Roman" w:eastAsia="Times New Roman" w:hAnsi="Times New Roman"/>
          <w:sz w:val="18"/>
          <w:szCs w:val="18"/>
          <w:color w:val="auto"/>
        </w:rPr>
      </w:pPr>
    </w:p>
    <w:p>
      <w:pPr>
        <w:ind w:left="180" w:hanging="178"/>
        <w:spacing w:after="0"/>
        <w:tabs>
          <w:tab w:leader="none" w:pos="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of Directors or Chief Executive Officer and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ectPr>
          <w:pgSz w:w="11900" w:h="16838" w:orient="portrait"/>
          <w:cols w:equalWidth="0" w:num="1">
            <w:col w:w="11000"/>
          </w:cols>
          <w:pgMar w:left="440" w:top="117" w:right="459" w:bottom="1440" w:gutter="0" w:footer="0" w:header="0"/>
        </w:sectPr>
      </w:pPr>
    </w:p>
    <w:bookmarkStart w:id="131" w:name="page132"/>
    <w:bookmarkEnd w:id="131"/>
    <w:p>
      <w:pPr>
        <w:ind w:firstLine="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2" w:lineRule="exact"/>
        <w:rPr>
          <w:sz w:val="20"/>
          <w:szCs w:val="20"/>
          <w:color w:val="auto"/>
        </w:rPr>
      </w:pPr>
    </w:p>
    <w:p>
      <w:pPr>
        <w:ind w:right="1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manually or by facsimile or other electronic signature by the Warrant Agent pursuant to this Agreement, a Warrant shall be invalid and of no effect and may not be exercised by the holder thereof.</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7" w:lineRule="exact"/>
        <w:rPr>
          <w:sz w:val="20"/>
          <w:szCs w:val="20"/>
          <w:color w:val="auto"/>
        </w:rPr>
      </w:pPr>
    </w:p>
    <w:p>
      <w:pPr>
        <w:ind w:right="20" w:firstLine="990"/>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[INTENTIONALLY OMITTED]</w:t>
      </w:r>
    </w:p>
    <w:p>
      <w:pPr>
        <w:spacing w:after="0" w:line="225" w:lineRule="exact"/>
        <w:rPr>
          <w:sz w:val="20"/>
          <w:szCs w:val="20"/>
          <w:color w:val="auto"/>
        </w:rPr>
      </w:pPr>
    </w:p>
    <w:p>
      <w:pPr>
        <w:ind w:left="180" w:hanging="178"/>
        <w:spacing w:after="0"/>
        <w:tabs>
          <w:tab w:leader="none" w:pos="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5:00 p.m., New York City time on the earlier to occur of (i) five years from the Closing Date, (ii) the Redemption Date as provided in Section 6.2 of this Agreement and (iii) the liquidation of the Company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w:t>
      </w:r>
    </w:p>
    <w:p>
      <w:pPr>
        <w:spacing w:after="0" w:line="4" w:lineRule="exact"/>
        <w:rPr>
          <w:sz w:val="20"/>
          <w:szCs w:val="20"/>
          <w:color w:val="auto"/>
        </w:rPr>
      </w:pPr>
    </w:p>
    <w:p>
      <w:pPr>
        <w:ind w:right="160" w:firstLine="2"/>
        <w:spacing w:after="0" w:line="260" w:lineRule="auto"/>
        <w:tabs>
          <w:tab w:leader="none" w:pos="3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65"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132" w:name="page133"/>
    <w:bookmarkEnd w:id="13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set forth in the Warrant, properly completed and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87"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pacing w:after="0" w:line="186" w:lineRule="exact"/>
        <w:rPr>
          <w:sz w:val="20"/>
          <w:szCs w:val="20"/>
          <w:color w:val="auto"/>
        </w:rPr>
      </w:pPr>
    </w:p>
    <w:p>
      <w:pPr>
        <w:ind w:right="200" w:firstLine="990"/>
        <w:spacing w:after="0" w:line="281"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issued upon the proper exercise of a Warrant in conformity with this Agreement shall be validly issued, fully paid and nonassessable.</w:t>
      </w:r>
    </w:p>
    <w:p>
      <w:pPr>
        <w:spacing w:after="0" w:line="163" w:lineRule="exact"/>
        <w:rPr>
          <w:sz w:val="20"/>
          <w:szCs w:val="20"/>
          <w:color w:val="auto"/>
        </w:rPr>
      </w:pPr>
    </w:p>
    <w:p>
      <w:pPr>
        <w:ind w:right="20" w:firstLine="990"/>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6" w:lineRule="exact"/>
        <w:rPr>
          <w:sz w:val="20"/>
          <w:szCs w:val="20"/>
          <w:color w:val="auto"/>
        </w:rPr>
      </w:pPr>
    </w:p>
    <w:p>
      <w:pPr>
        <w:ind w:right="20" w:firstLine="990"/>
        <w:spacing w:after="0" w:line="252"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“Exchange Act”)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upon receipt of written notice from the Company that such person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133" w:name="page134"/>
    <w:bookmarkEnd w:id="13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86" w:lineRule="exact"/>
        <w:rPr>
          <w:sz w:val="20"/>
          <w:szCs w:val="20"/>
          <w:color w:val="auto"/>
        </w:rPr>
      </w:pPr>
    </w:p>
    <w:p>
      <w:pPr>
        <w:ind w:left="180" w:hanging="178"/>
        <w:spacing w:after="0"/>
        <w:tabs>
          <w:tab w:leader="none" w:pos="1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Stock Dividends; Split Ups</w:t>
      </w:r>
      <w:r>
        <w:rPr>
          <w:rFonts w:ascii="Times New Roman" w:cs="Times New Roman" w:eastAsia="Times New Roman" w:hAnsi="Times New Roman"/>
          <w:sz w:val="17"/>
          <w:szCs w:val="17"/>
          <w:color w:val="auto"/>
        </w:rPr>
        <w:t>. If after the date hereof, and subject to the provisions of Section 4.6 below, the number of outstanding Shares is increased by a stock dividend payable in Shares, or by a split up of Shares, or other similar event, then, on the effective date of such stock dividend, split up or similar event, the number of Shares issuable on exercise of each Warrant shall be increased in proportion to such increase in outstanding Shares.</w:t>
      </w:r>
    </w:p>
    <w:p>
      <w:pPr>
        <w:spacing w:after="0" w:line="159" w:lineRule="exact"/>
        <w:rPr>
          <w:sz w:val="20"/>
          <w:szCs w:val="20"/>
          <w:color w:val="auto"/>
        </w:rPr>
      </w:pPr>
    </w:p>
    <w:p>
      <w:pPr>
        <w:ind w:right="1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is decreased by a consolidation, combination, reverse stock split or reclassification of Shares or other similar event, then, on the effective date of such consolidation, combination, reverse stock split, reclassification or similar event, the number of Shares issuable on exercise of each Warrant shall be decreased in proportion to such decrease in outstanding Shares.</w:t>
      </w:r>
    </w:p>
    <w:p>
      <w:pPr>
        <w:spacing w:after="0" w:line="18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 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201" w:lineRule="exact"/>
        <w:rPr>
          <w:sz w:val="20"/>
          <w:szCs w:val="20"/>
          <w:color w:val="auto"/>
        </w:rPr>
      </w:pPr>
    </w:p>
    <w:p>
      <w:pPr>
        <w:ind w:right="2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4" w:name="page135"/>
    <w:bookmarkEnd w:id="13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(other than a change covered by Section 4.1, 4.2 or 4.3 hereof or that solely affects the nominal value of the Shares), or in the case of any merger or consolidation of the Company with or into another corporation (other than a consolidation or merger in which the Company is the continuing corporation and that does not result in any reclassification or reorganization of the outstanding Shares),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Shares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nominal value per Share issuable upon exercise of the Warrant.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 Upon the occurrence of any event specified in Sections 4.1, 4.2, 4.3, 4.4, or 4.5,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6" w:lineRule="exact"/>
        <w:rPr>
          <w:sz w:val="20"/>
          <w:szCs w:val="20"/>
          <w:color w:val="auto"/>
        </w:rPr>
      </w:pPr>
    </w:p>
    <w:p>
      <w:pPr>
        <w:ind w:right="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number of Shares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to be issued to such holder.</w:t>
      </w:r>
    </w:p>
    <w:p>
      <w:pPr>
        <w:spacing w:after="0" w:line="18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5" w:name="page136"/>
    <w:bookmarkEnd w:id="135"/>
    <w:p>
      <w:pPr>
        <w:ind w:left="180" w:hanging="178"/>
        <w:spacing w:after="0"/>
        <w:tabs>
          <w:tab w:leader="none" w:pos="1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at the expense of the Company, to the Company from time to time upon request.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86"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right="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5.6 [INTENTIONALLY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5.7 [INTENTIONALLY OMITTED]</w:t>
      </w:r>
    </w:p>
    <w:p>
      <w:pPr>
        <w:spacing w:after="0" w:line="225" w:lineRule="exact"/>
        <w:rPr>
          <w:sz w:val="20"/>
          <w:szCs w:val="20"/>
          <w:color w:val="auto"/>
        </w:rPr>
      </w:pPr>
    </w:p>
    <w:p>
      <w:pPr>
        <w:ind w:left="180" w:hanging="178"/>
        <w:spacing w:after="0"/>
        <w:tabs>
          <w:tab w:leader="none" w:pos="1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provided that the last sales price of the Shares equals or exceeds $18.00 per share (subject to adjustment in accordance with Section 4 hereof), on each of twenty</w:t>
      </w:r>
    </w:p>
    <w:p>
      <w:pPr>
        <w:spacing w:after="0" w:line="1" w:lineRule="exact"/>
        <w:rPr>
          <w:sz w:val="20"/>
          <w:szCs w:val="20"/>
          <w:color w:val="auto"/>
        </w:rPr>
      </w:pPr>
    </w:p>
    <w:p>
      <w:pPr>
        <w:ind w:firstLine="2"/>
        <w:spacing w:after="0" w:line="252" w:lineRule="auto"/>
        <w:tabs>
          <w:tab w:leader="none" w:pos="3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thirty (30) trading day period commencing after the Warrants become exercisable and ending on the third trading day prior to the date on which notice of redemption is given and provided that there is an effective registration statement covering the Shares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upon exercise of the Warrants is not exempt from registration or qualification under applicable state blue sky laws or the Company is unable to effect such registration or qualification.</w:t>
      </w:r>
    </w:p>
    <w:p>
      <w:pPr>
        <w:spacing w:after="0" w:line="188"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9" w:right="499" w:bottom="1440" w:gutter="0" w:footer="0" w:header="0"/>
        </w:sectPr>
      </w:pPr>
    </w:p>
    <w:bookmarkStart w:id="136" w:name="page137"/>
    <w:bookmarkEnd w:id="136"/>
    <w:p>
      <w:pPr>
        <w:jc w:val="both"/>
        <w:ind w:right="120"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7" w:lineRule="exact"/>
        <w:rPr>
          <w:sz w:val="20"/>
          <w:szCs w:val="20"/>
          <w:color w:val="auto"/>
        </w:rPr>
      </w:pPr>
    </w:p>
    <w:p>
      <w:pPr>
        <w:ind w:left="180" w:hanging="178"/>
        <w:spacing w:after="0"/>
        <w:tabs>
          <w:tab w:leader="none" w:pos="1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6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 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87" w:lineRule="exact"/>
        <w:rPr>
          <w:sz w:val="20"/>
          <w:szCs w:val="20"/>
          <w:color w:val="auto"/>
        </w:rPr>
      </w:pPr>
    </w:p>
    <w:p>
      <w:pPr>
        <w:ind w:right="120" w:firstLine="440"/>
        <w:spacing w:after="0" w:line="280"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Authorisation of Shares</w:t>
      </w:r>
      <w:r>
        <w:rPr>
          <w:rFonts w:ascii="Times New Roman" w:cs="Times New Roman" w:eastAsia="Times New Roman" w:hAnsi="Times New Roman"/>
          <w:sz w:val="17"/>
          <w:szCs w:val="17"/>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6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w:t>
      </w:r>
      <w:r>
        <w:rPr>
          <w:rFonts w:ascii="Times New Roman" w:cs="Times New Roman" w:eastAsia="Times New Roman" w:hAnsi="Times New Roman"/>
          <w:sz w:val="18"/>
          <w:szCs w:val="18"/>
          <w:color w:val="auto"/>
        </w:rPr>
        <w:t>. The Company agrees that as soon as practicable after the Closing Date it shall use its best efforts to file with the Securities and Exchange Commission a registration statement for the registration, under the Act, of the Shares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8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Merger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 (ii) were issued in compliance with all applicable state securities or “blue sky” laws; and (iii) are validly issued, fully paid and non-assessable.</w:t>
      </w:r>
    </w:p>
    <w:p>
      <w:pPr>
        <w:spacing w:after="0" w:line="182" w:lineRule="exact"/>
        <w:rPr>
          <w:sz w:val="20"/>
          <w:szCs w:val="20"/>
          <w:color w:val="auto"/>
        </w:rPr>
      </w:pPr>
    </w:p>
    <w:p>
      <w:pPr>
        <w:ind w:left="180" w:hanging="178"/>
        <w:spacing w:after="0"/>
        <w:tabs>
          <w:tab w:leader="none" w:pos="1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0"/>
        <w:spacing w:after="0" w:line="256"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thirty (30)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7" w:name="page138"/>
    <w:bookmarkEnd w:id="1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provided that, such predecessor Warrant Agent shall not be required to make any additional expenditure (without prompt reimbursement by the Company) or assume any additional liability in connection with the foregoing.</w:t>
      </w:r>
    </w:p>
    <w:p>
      <w:pPr>
        <w:spacing w:after="0" w:line="189" w:lineRule="exact"/>
        <w:rPr>
          <w:sz w:val="20"/>
          <w:szCs w:val="20"/>
          <w:color w:val="auto"/>
        </w:rPr>
      </w:pPr>
    </w:p>
    <w:p>
      <w:pPr>
        <w:ind w:right="480" w:firstLine="990"/>
        <w:spacing w:after="0" w:line="281"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63" w:lineRule="exact"/>
        <w:rPr>
          <w:sz w:val="20"/>
          <w:szCs w:val="20"/>
          <w:color w:val="auto"/>
        </w:rPr>
      </w:pPr>
    </w:p>
    <w:p>
      <w:pPr>
        <w:ind w:right="1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60"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82" w:lineRule="exact"/>
        <w:rPr>
          <w:sz w:val="20"/>
          <w:szCs w:val="20"/>
          <w:color w:val="auto"/>
        </w:rPr>
      </w:pPr>
    </w:p>
    <w:p>
      <w:pPr>
        <w:ind w:right="280" w:firstLine="990"/>
        <w:spacing w:after="0" w:line="265"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0"/>
        <w:spacing w:after="0" w:line="255"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87" w:lineRule="exact"/>
        <w:rPr>
          <w:sz w:val="20"/>
          <w:szCs w:val="20"/>
          <w:color w:val="auto"/>
        </w:rPr>
      </w:pPr>
    </w:p>
    <w:p>
      <w:pPr>
        <w:ind w:right="60" w:firstLine="990"/>
        <w:spacing w:after="0" w:line="255"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and documented costs and expenses of defending against any claim of liability arising therefrom, directly or indirectly, or of enforcing its rights under this Agreement, except as a result of the Warrant Agent’s fraud, gross negligence, willful misconduct or bad faith (in each case as determined by a final, non-appealable judgment of a court of competent jurisdiction).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8" w:name="page139"/>
    <w:bookmarkEnd w:id="138"/>
    <w:p>
      <w:pPr>
        <w:ind w:right="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82" w:lineRule="exact"/>
        <w:rPr>
          <w:sz w:val="20"/>
          <w:szCs w:val="20"/>
          <w:color w:val="auto"/>
        </w:rPr>
      </w:pPr>
    </w:p>
    <w:p>
      <w:pPr>
        <w:ind w:right="60" w:firstLine="990"/>
        <w:spacing w:after="0" w:line="256"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of any Shares to be issued pursuant to this Agreement or any Warrant or as to whether any Shares will, when issued, be valid and fully paid and nonassessable.</w:t>
      </w:r>
    </w:p>
    <w:p>
      <w:pPr>
        <w:spacing w:after="0" w:line="186" w:lineRule="exact"/>
        <w:rPr>
          <w:sz w:val="20"/>
          <w:szCs w:val="20"/>
          <w:color w:val="auto"/>
        </w:rPr>
      </w:pPr>
    </w:p>
    <w:p>
      <w:pPr>
        <w:ind w:right="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177" w:lineRule="exact"/>
        <w:rPr>
          <w:sz w:val="20"/>
          <w:szCs w:val="20"/>
          <w:color w:val="auto"/>
        </w:rPr>
      </w:pPr>
    </w:p>
    <w:p>
      <w:pPr>
        <w:ind w:right="4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177" w:lineRule="exact"/>
        <w:rPr>
          <w:sz w:val="20"/>
          <w:szCs w:val="20"/>
          <w:color w:val="auto"/>
        </w:rPr>
      </w:pPr>
    </w:p>
    <w:p>
      <w:pPr>
        <w:ind w:right="80" w:firstLine="990"/>
        <w:spacing w:after="0" w:line="258"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subject to applicable law,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w:t>
      </w:r>
    </w:p>
    <w:p>
      <w:pPr>
        <w:spacing w:after="0" w:line="182" w:lineRule="exact"/>
        <w:rPr>
          <w:sz w:val="20"/>
          <w:szCs w:val="20"/>
          <w:color w:val="auto"/>
        </w:rPr>
      </w:pPr>
    </w:p>
    <w:p>
      <w:pPr>
        <w:ind w:firstLine="990"/>
        <w:spacing w:after="0" w:line="265" w:lineRule="auto"/>
        <w:rPr>
          <w:sz w:val="20"/>
          <w:szCs w:val="20"/>
          <w:color w:val="auto"/>
        </w:rPr>
      </w:pPr>
      <w:r>
        <w:rPr>
          <w:rFonts w:ascii="Times New Roman" w:cs="Times New Roman" w:eastAsia="Times New Roman" w:hAnsi="Times New Roman"/>
          <w:sz w:val="18"/>
          <w:szCs w:val="18"/>
          <w:color w:val="auto"/>
        </w:rPr>
        <w:t xml:space="preserve">8.4.7.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177" w:lineRule="exact"/>
        <w:rPr>
          <w:sz w:val="20"/>
          <w:szCs w:val="20"/>
          <w:color w:val="auto"/>
        </w:rPr>
      </w:pPr>
    </w:p>
    <w:p>
      <w:pPr>
        <w:ind w:right="60" w:firstLine="990"/>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82" w:lineRule="exact"/>
        <w:rPr>
          <w:sz w:val="20"/>
          <w:szCs w:val="20"/>
          <w:color w:val="auto"/>
        </w:rPr>
      </w:pPr>
    </w:p>
    <w:p>
      <w:pPr>
        <w:ind w:right="20" w:firstLine="990"/>
        <w:spacing w:after="0" w:line="258" w:lineRule="auto"/>
        <w:rPr>
          <w:sz w:val="20"/>
          <w:szCs w:val="20"/>
          <w:color w:val="auto"/>
        </w:rPr>
      </w:pPr>
      <w:r>
        <w:rPr>
          <w:rFonts w:ascii="Times New Roman" w:cs="Times New Roman" w:eastAsia="Times New Roman" w:hAnsi="Times New Roman"/>
          <w:sz w:val="18"/>
          <w:szCs w:val="18"/>
          <w:color w:val="auto"/>
        </w:rPr>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182" w:lineRule="exact"/>
        <w:rPr>
          <w:sz w:val="20"/>
          <w:szCs w:val="20"/>
          <w:color w:val="auto"/>
        </w:rPr>
      </w:pPr>
    </w:p>
    <w:p>
      <w:pPr>
        <w:jc w:val="both"/>
        <w:ind w:right="240" w:firstLine="990"/>
        <w:spacing w:after="0" w:line="265"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9" w:name="page140"/>
    <w:bookmarkEnd w:id="139"/>
    <w:p>
      <w:pPr>
        <w:ind w:right="80" w:firstLine="99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182" w:lineRule="exact"/>
        <w:rPr>
          <w:sz w:val="20"/>
          <w:szCs w:val="20"/>
          <w:color w:val="auto"/>
        </w:rPr>
      </w:pPr>
    </w:p>
    <w:p>
      <w:pPr>
        <w:ind w:right="100" w:firstLine="990"/>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save to the extent arising from fraud, gross negligence, willful misconduct or bad faith (each as determined by a final, non-appealable judgment of a court of competent jurisdiction) in the selection and continued employment thereof.</w:t>
      </w:r>
    </w:p>
    <w:p>
      <w:pPr>
        <w:spacing w:after="0" w:line="182" w:lineRule="exact"/>
        <w:rPr>
          <w:sz w:val="20"/>
          <w:szCs w:val="20"/>
          <w:color w:val="auto"/>
        </w:rPr>
      </w:pPr>
    </w:p>
    <w:p>
      <w:pPr>
        <w:ind w:right="220" w:firstLine="990"/>
        <w:spacing w:after="0" w:line="260"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subscription of Shares through the exercise of the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6"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163" w:lineRule="exact"/>
        <w:rPr>
          <w:sz w:val="20"/>
          <w:szCs w:val="20"/>
          <w:color w:val="auto"/>
        </w:rPr>
      </w:pPr>
    </w:p>
    <w:p>
      <w:pPr>
        <w:ind w:left="180" w:hanging="178"/>
        <w:spacing w:after="0"/>
        <w:tabs>
          <w:tab w:leader="none" w:pos="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3" w:lineRule="exact"/>
        <w:rPr>
          <w:sz w:val="20"/>
          <w:szCs w:val="20"/>
          <w:color w:val="auto"/>
        </w:rPr>
      </w:pPr>
    </w:p>
    <w:p>
      <w:pPr>
        <w:ind w:right="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upon deposit of such notice, postage prepaid, addressed (until another address is filed in writing by the Company with the Warrant Agent), as follows: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 EC4A 3TWAttention: Dan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2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upon deposit of such notice, postage prepaid, addressed (until another address is filed in writing by the Warrant Agent with the Company), as follows: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respects by the laws of the State of New York, without giving effect to conflicts of law principles that would result in the application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 laws of another jurisdiction. The Company hereby agrees that any action, proceeding or claim against it arising out of or relating in any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Agreement shall be brought and enforced in the courts of the State of New York or the United States District Court for the Southern District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and irrevocably submits to such jurisdiction, which jurisdiction shall be the exclusive forum for any such action, proceeding or claim.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waives any objection to such exclusive jurisdiction and that such courts represent an inconvenient forum. Any such process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summons to be served upon the Company may be served by transmitting a copy thereof by registered or certified mail, return receipt requested, postage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addressed to it at the address set forth in Section 9.2 hereof. Such mailing shall be deemed personal service and shall be legal and binding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 any action, proceeding or claim. Notwithstanding the foregoing, the provisions of this paragraph will not apply to suits brought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any liability or duty created by the Exchange Act or any other claim for which the federal district courts of the United States of America 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and exclusive forum. Any person or entity purchasing or otherwise acquiring any interest in the Warrants shall be deemed to have notice of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consented to the forum provisions in this Section 9.3. If any action, the subject matter of which is within the scope the forum provisions above,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in a court other than a court located within the State of New York or the United States District Court for the Southern District of New York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warrant holder, such warrant holder shall be deemed to have consented to: (x) the personal jurisdiction of the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federal courts located within the State of New York or the United States District Court for the Southern District of New York in connection with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brought in any such court to enforce the forum provisions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in any Enforcement Action by service upon such warrant holder’s counsel in the Foreign Action as agent for such warrant holder.</w:t>
      </w:r>
    </w:p>
    <w:p>
      <w:pPr>
        <w:spacing w:after="0" w:line="20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82"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Examination of the Warrant Agreement</w:t>
      </w:r>
      <w:r>
        <w:rPr>
          <w:rFonts w:ascii="Times New Roman" w:cs="Times New Roman" w:eastAsia="Times New Roman" w:hAnsi="Times New Roman"/>
          <w:sz w:val="17"/>
          <w:szCs w:val="17"/>
          <w:color w:val="auto"/>
        </w:rPr>
        <w:t>. A copy of this Agreement shall be available at all reasonable times at the office of the Warrant Agent for inspection by the registered holder of any Warrant. The Warrant Agent may require any such holder to submit his Warrant for inspection by it.</w:t>
      </w:r>
    </w:p>
    <w:p>
      <w:pPr>
        <w:spacing w:after="0" w:line="139"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3" w:lineRule="exact"/>
        <w:rPr>
          <w:sz w:val="20"/>
          <w:szCs w:val="20"/>
          <w:color w:val="auto"/>
        </w:rPr>
      </w:pPr>
    </w:p>
    <w:p>
      <w:pPr>
        <w:ind w:right="7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1" w:name="page142"/>
    <w:bookmarkEnd w:id="14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 No supplement or amendment to this Agreement shall be effective unless duly executed by the Warrant Agent.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Bank Accounts</w:t>
      </w:r>
      <w:r>
        <w:rPr>
          <w:rFonts w:ascii="Times New Roman" w:cs="Times New Roman" w:eastAsia="Times New Roman" w:hAnsi="Times New Roman"/>
          <w:sz w:val="17"/>
          <w:szCs w:val="17"/>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respectively; (c) Government and Treasury backed AAA-rated Fixed NAV money market funds that comply with Rule 2a-7 of the Investment Company Act of 1940, as amended; or</w:t>
      </w:r>
    </w:p>
    <w:p>
      <w:pPr>
        <w:spacing w:after="0" w:line="3" w:lineRule="exact"/>
        <w:rPr>
          <w:sz w:val="20"/>
          <w:szCs w:val="20"/>
          <w:color w:val="auto"/>
        </w:rPr>
      </w:pPr>
    </w:p>
    <w:p>
      <w:pPr>
        <w:ind w:right="20" w:firstLine="2"/>
        <w:spacing w:after="0" w:line="251" w:lineRule="auto"/>
        <w:tabs>
          <w:tab w:leader="none" w:pos="2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92" w:lineRule="exact"/>
        <w:rPr>
          <w:sz w:val="20"/>
          <w:szCs w:val="20"/>
          <w:color w:val="auto"/>
        </w:rPr>
      </w:pPr>
    </w:p>
    <w:p>
      <w:pPr>
        <w:ind w:right="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or applicable regulation, including, without limitation, pursuant to subpoenas from state or federal government authorities (e.g., in divorce and criminal actions).</w:t>
      </w:r>
    </w:p>
    <w:p>
      <w:pPr>
        <w:spacing w:after="0" w:line="182"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42" w:name="page143"/>
    <w:bookmarkEnd w:id="142"/>
    <w:p>
      <w:pPr>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amend any provisions of the Warrants without the prior consent of the Warrant Agent, not to be unreasonably withheld or delayed.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Ma” ice Wagne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2560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Daniel Ma” ice Wagne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CEO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2560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Collin Ekeogu</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Manager, Corporate Actions</w:t>
      </w:r>
    </w:p>
    <w:p>
      <w:pPr>
        <w:spacing w:after="0" w:line="20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15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440" w:top="270" w:right="9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ASSIGNMENT, ASSUMPTION AND AMENDMENT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ASSIGNMENT, ASSUMPTION AND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15 August, 2024,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AI Limited, a limited company registered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 and Wales with registration number 14573691 (“</w:t>
      </w:r>
      <w:r>
        <w:rPr>
          <w:rFonts w:ascii="Times New Roman" w:cs="Times New Roman" w:eastAsia="Times New Roman" w:hAnsi="Times New Roman"/>
          <w:sz w:val="18"/>
          <w:szCs w:val="18"/>
          <w:u w:val="single" w:color="auto"/>
          <w:color w:val="auto"/>
        </w:rPr>
        <w:t>Rezolve</w:t>
      </w:r>
      <w:r>
        <w:rPr>
          <w:rFonts w:ascii="Times New Roman" w:cs="Times New Roman" w:eastAsia="Times New Roman" w:hAnsi="Times New Roman"/>
          <w:sz w:val="18"/>
          <w:szCs w:val="18"/>
          <w:color w:val="auto"/>
        </w:rPr>
        <w:t>”), Computershare Inc., a Delaware corporation (“</w:t>
      </w:r>
      <w:r>
        <w:rPr>
          <w:rFonts w:ascii="Times New Roman" w:cs="Times New Roman" w:eastAsia="Times New Roman" w:hAnsi="Times New Roman"/>
          <w:sz w:val="18"/>
          <w:szCs w:val="18"/>
          <w:u w:val="single" w:color="auto"/>
          <w:color w:val="auto"/>
        </w:rPr>
        <w:t>Computershare Inc.</w:t>
      </w:r>
      <w:r>
        <w:rPr>
          <w:rFonts w:ascii="Times New Roman" w:cs="Times New Roman" w:eastAsia="Times New Roman" w:hAnsi="Times New Roman"/>
          <w:sz w:val="18"/>
          <w:szCs w:val="18"/>
          <w:color w:val="auto"/>
        </w:rPr>
        <w:t>”)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Computershare Trust Company, N.A., a federally chartered trust company, ( the “Trust Company” and, together with 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Computershare</w:t>
      </w:r>
      <w:r>
        <w:rPr>
          <w:rFonts w:ascii="Times New Roman" w:cs="Times New Roman" w:eastAsia="Times New Roman" w:hAnsi="Times New Roman"/>
          <w:sz w:val="17"/>
          <w:szCs w:val="17"/>
          <w:color w:val="auto"/>
        </w:rPr>
        <w:t>”) as successor warrant agent, and Continental Stock Transfer &amp; Trust Company, a New York Corporation (the “</w:t>
      </w:r>
      <w:r>
        <w:rPr>
          <w:rFonts w:ascii="Times New Roman" w:cs="Times New Roman" w:eastAsia="Times New Roman" w:hAnsi="Times New Roman"/>
          <w:sz w:val="17"/>
          <w:szCs w:val="17"/>
          <w:u w:val="single" w:color="auto"/>
          <w:color w:val="auto"/>
        </w:rPr>
        <w:t>Continental</w:t>
      </w:r>
      <w:r>
        <w:rPr>
          <w:rFonts w:ascii="Times New Roman" w:cs="Times New Roman" w:eastAsia="Times New Roman" w:hAnsi="Times New Roman"/>
          <w:sz w:val="17"/>
          <w:szCs w:val="17"/>
          <w:color w:val="auto"/>
        </w:rPr>
        <w:t>”) as former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agent. Capitalized terms used but not defined in this Agreement shall have the respective meanings ascribed to such terms in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Agreement (as defined below).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380" w:firstLine="440"/>
        <w:spacing w:after="0" w:line="281" w:lineRule="auto"/>
        <w:rPr>
          <w:sz w:val="20"/>
          <w:szCs w:val="20"/>
          <w:color w:val="auto"/>
        </w:rPr>
      </w:pPr>
      <w:r>
        <w:rPr>
          <w:rFonts w:ascii="Times New Roman" w:cs="Times New Roman" w:eastAsia="Times New Roman" w:hAnsi="Times New Roman"/>
          <w:sz w:val="18"/>
          <w:szCs w:val="18"/>
          <w:color w:val="auto"/>
        </w:rPr>
        <w:t>WHEREAS, Armada and Continental are parties to that certain Warrant Agreement, dated as of August 12, 2021, filed with the United States Securities and Exchange Commission on August 18, 2021 (including all Exhibits thereto, the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right="320" w:firstLine="440"/>
        <w:spacing w:after="0" w:line="265" w:lineRule="auto"/>
        <w:rPr>
          <w:sz w:val="20"/>
          <w:szCs w:val="20"/>
          <w:color w:val="auto"/>
        </w:rPr>
      </w:pPr>
      <w:r>
        <w:rPr>
          <w:rFonts w:ascii="Times New Roman" w:cs="Times New Roman" w:eastAsia="Times New Roman" w:hAnsi="Times New Roman"/>
          <w:sz w:val="18"/>
          <w:szCs w:val="18"/>
          <w:color w:val="auto"/>
        </w:rPr>
        <w:t>WHEREAS, Armada has issued and sold 7,500,000 warrants as part of the units sold to public investors in a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to purchase Armada common stock with each whole Warrant being exercisable for one share of Armada common stock and with an exercise price of $11.50 per share;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all of the Warrants are governed by the Existing Warrant Agreement;</w:t>
      </w:r>
    </w:p>
    <w:p>
      <w:pPr>
        <w:spacing w:after="0" w:line="225" w:lineRule="exact"/>
        <w:rPr>
          <w:sz w:val="20"/>
          <w:szCs w:val="20"/>
          <w:color w:val="auto"/>
        </w:rPr>
      </w:pPr>
    </w:p>
    <w:p>
      <w:pPr>
        <w:jc w:val="both"/>
        <w:ind w:right="60" w:firstLine="440"/>
        <w:spacing w:after="0" w:line="265" w:lineRule="auto"/>
        <w:rPr>
          <w:sz w:val="20"/>
          <w:szCs w:val="20"/>
          <w:color w:val="auto"/>
        </w:rPr>
      </w:pPr>
      <w:r>
        <w:rPr>
          <w:rFonts w:ascii="Times New Roman" w:cs="Times New Roman" w:eastAsia="Times New Roman" w:hAnsi="Times New Roman"/>
          <w:sz w:val="18"/>
          <w:szCs w:val="18"/>
          <w:color w:val="auto"/>
        </w:rPr>
        <w:t>WHEREAS, Armada, Rezolve, Rezolve Limited, a private limited company organized under the laws of England and Wales and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entered into that certain business combination agreement, dated as of December 17, 2021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400" w:firstLine="440"/>
        <w:spacing w:after="0" w:line="265" w:lineRule="auto"/>
        <w:rPr>
          <w:sz w:val="20"/>
          <w:szCs w:val="20"/>
          <w:color w:val="auto"/>
        </w:rPr>
      </w:pPr>
      <w:r>
        <w:rPr>
          <w:rFonts w:ascii="Times New Roman" w:cs="Times New Roman" w:eastAsia="Times New Roman" w:hAnsi="Times New Roman"/>
          <w:sz w:val="18"/>
          <w:szCs w:val="18"/>
          <w:color w:val="auto"/>
        </w:rPr>
        <w:t>WHEREAS, immediately prior to the Merger Effective Time, each issued and outstanding Warrant will be exchanged for one newly issued warrant in the capital of Rezolve and which will be exercisable (subject to the terms and conditions of the Existing Warrant Agreement as amended hereby) for Rezolve ordinary shares (the “</w:t>
      </w:r>
      <w:r>
        <w:rPr>
          <w:rFonts w:ascii="Times New Roman" w:cs="Times New Roman" w:eastAsia="Times New Roman" w:hAnsi="Times New Roman"/>
          <w:sz w:val="18"/>
          <w:szCs w:val="18"/>
          <w:u w:val="single" w:color="auto"/>
          <w:color w:val="auto"/>
        </w:rPr>
        <w:t>Rezolve Ordinary Shares</w:t>
      </w:r>
      <w:r>
        <w:rPr>
          <w:rFonts w:ascii="Times New Roman" w:cs="Times New Roman" w:eastAsia="Times New Roman" w:hAnsi="Times New Roman"/>
          <w:sz w:val="18"/>
          <w:szCs w:val="18"/>
          <w:color w:val="auto"/>
        </w:rPr>
        <w:t>” );</w:t>
      </w:r>
    </w:p>
    <w:p>
      <w:pPr>
        <w:spacing w:after="0" w:line="17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t>WHEREAS, the Armada Board has determined that the consummation of the transactions contemplated by the Business Combination Agreement constitutes a “Business Combination” (as such term is defined in Section 3.2 of the Existing Warrant Agreement);</w:t>
      </w:r>
    </w:p>
    <w:p>
      <w:pPr>
        <w:spacing w:after="0" w:line="163" w:lineRule="exact"/>
        <w:rPr>
          <w:sz w:val="20"/>
          <w:szCs w:val="20"/>
          <w:color w:val="auto"/>
        </w:rPr>
      </w:pPr>
    </w:p>
    <w:p>
      <w:pPr>
        <w:ind w:right="400" w:firstLine="440"/>
        <w:spacing w:after="0" w:line="265" w:lineRule="auto"/>
        <w:rPr>
          <w:sz w:val="20"/>
          <w:szCs w:val="20"/>
          <w:color w:val="auto"/>
        </w:rPr>
      </w:pPr>
      <w:r>
        <w:rPr>
          <w:rFonts w:ascii="Times New Roman" w:cs="Times New Roman" w:eastAsia="Times New Roman" w:hAnsi="Times New Roman"/>
          <w:sz w:val="18"/>
          <w:szCs w:val="18"/>
          <w:color w:val="auto"/>
        </w:rPr>
        <w:t>WHEREAS, Rezolve has obtained all necessary corporate approvals to enter into this Agreement and to consummate the transactions contemplated hereby (including the issuance of each warrant to subscribe for Rezolve Ordinary Shares in exchange for the existing Warrants on the conditions set out herein, and the exclusion of any pre- emptive rights in that respect);</w:t>
      </w:r>
    </w:p>
    <w:p>
      <w:pPr>
        <w:spacing w:after="0" w:line="177"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8"/>
          <w:szCs w:val="18"/>
          <w:color w:val="auto"/>
        </w:rPr>
        <w:t>WHEREAS, each new warrant issued by Rezolve to subscribe for Rezolve Ordinary Shares shall be issued on the terms of the Existing Warrant Agreement as amended hereby</w:t>
      </w:r>
    </w:p>
    <w:p>
      <w:pPr>
        <w:spacing w:after="0" w:line="163" w:lineRule="exact"/>
        <w:rPr>
          <w:sz w:val="20"/>
          <w:szCs w:val="20"/>
          <w:color w:val="auto"/>
        </w:rPr>
      </w:pPr>
    </w:p>
    <w:p>
      <w:pPr>
        <w:ind w:right="100" w:firstLine="440"/>
        <w:spacing w:after="0" w:line="276" w:lineRule="auto"/>
        <w:rPr>
          <w:sz w:val="20"/>
          <w:szCs w:val="20"/>
          <w:color w:val="auto"/>
        </w:rPr>
      </w:pPr>
      <w:r>
        <w:rPr>
          <w:rFonts w:ascii="Times New Roman" w:cs="Times New Roman" w:eastAsia="Times New Roman" w:hAnsi="Times New Roman"/>
          <w:sz w:val="17"/>
          <w:szCs w:val="17"/>
          <w:color w:val="auto"/>
        </w:rPr>
        <w:t>WHEREAS, Section 9.8 of the Existing Warrant Agreement provides that Armada and Continental may amend the Existing Warrant Agreement without the consent of any “registered holder” (as such term is defined in the Existing Warrant Agreement) for the purpose of curing any ambiguity, or curing, correcting or supplementing any defective provision contained therein or adding or changing any other provisions with respect to matters or questions arising under the Existing Warrant Agreement as Armada and Continental may deem necessary or desirable and that Armada and Continental deem shall not adversely affect the interest of the “registered holders” (as such term is defined in the Existing Warrant Agreement) of the Warrants;</w:t>
      </w:r>
    </w:p>
    <w:p>
      <w:pPr>
        <w:sectPr>
          <w:pgSz w:w="11900" w:h="16838" w:orient="portrait"/>
          <w:cols w:equalWidth="0" w:num="1">
            <w:col w:w="11000"/>
          </w:cols>
          <w:pgMar w:left="440" w:top="117" w:right="459" w:bottom="1440" w:gutter="0" w:footer="0" w:header="0"/>
        </w:sectPr>
      </w:pPr>
    </w:p>
    <w:bookmarkStart w:id="144" w:name="page145"/>
    <w:bookmarkEnd w:id="144"/>
    <w:p>
      <w:pPr>
        <w:ind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Armada desires to assign all of its right, title and interest in the Existing Warrant Agreement to Rezolve and Rezolve wishes to accept such assignment;</w:t>
      </w:r>
    </w:p>
    <w:p>
      <w:pPr>
        <w:spacing w:after="0" w:line="163" w:lineRule="exact"/>
        <w:rPr>
          <w:sz w:val="20"/>
          <w:szCs w:val="20"/>
          <w:color w:val="auto"/>
        </w:rPr>
      </w:pPr>
    </w:p>
    <w:p>
      <w:pPr>
        <w:ind w:right="300" w:firstLine="440"/>
        <w:spacing w:after="0" w:line="288" w:lineRule="auto"/>
        <w:rPr>
          <w:sz w:val="20"/>
          <w:szCs w:val="20"/>
          <w:color w:val="auto"/>
        </w:rPr>
      </w:pPr>
      <w:r>
        <w:rPr>
          <w:rFonts w:ascii="Times New Roman" w:cs="Times New Roman" w:eastAsia="Times New Roman" w:hAnsi="Times New Roman"/>
          <w:sz w:val="17"/>
          <w:szCs w:val="17"/>
          <w:color w:val="auto"/>
        </w:rPr>
        <w:t>WHEREAS, effective upon Closing, Rezolve wishes to appoint Computershare to serve as successor warrant agent under the Existing Warrant Agreement (as amended hereby) and in furtherance of the foregoing Rezolve has waived the requirement in Section 8.2.1 of the Existing Warrant Agreement that the successor warrant agent be a corporation or other entity organized and existing under the laws of the State of New York; and</w:t>
      </w:r>
    </w:p>
    <w:p>
      <w:pPr>
        <w:spacing w:after="0" w:line="159" w:lineRule="exact"/>
        <w:rPr>
          <w:sz w:val="20"/>
          <w:szCs w:val="20"/>
          <w:color w:val="auto"/>
        </w:rPr>
      </w:pPr>
    </w:p>
    <w:p>
      <w:pPr>
        <w:jc w:val="both"/>
        <w:ind w:right="280" w:firstLine="440"/>
        <w:spacing w:after="0" w:line="265" w:lineRule="auto"/>
        <w:rPr>
          <w:sz w:val="20"/>
          <w:szCs w:val="20"/>
          <w:color w:val="auto"/>
        </w:rPr>
      </w:pPr>
      <w:r>
        <w:rPr>
          <w:rFonts w:ascii="Times New Roman" w:cs="Times New Roman" w:eastAsia="Times New Roman" w:hAnsi="Times New Roman"/>
          <w:sz w:val="18"/>
          <w:szCs w:val="18"/>
          <w:color w:val="auto"/>
        </w:rPr>
        <w:t>WHEREAS, in connection with and effective upon such appointment, Continental wishes to assign all of its rights, interests and obligations as warrant agent under the Existing Warrant Agreement (as amended hereby) to Computershare and Computershare wishes to assume all of such rights, interests and obligations and Rezolve wishes to approve such assignment and assumption.</w:t>
      </w:r>
    </w:p>
    <w:p>
      <w:pPr>
        <w:spacing w:after="0" w:line="177"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ASSUMPTION; CONSENT</w:t>
      </w:r>
    </w:p>
    <w:p>
      <w:pPr>
        <w:spacing w:after="0" w:line="20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Armada hereby assigns to Rezolve all of Armada’s right, title and interest in and to the Existing Warrant Agreement (as amended hereby) and Rezolve hereby assumes, and agrees to pay, perform, satisfy and discharge in full, as the same become due, all of Armada’s liabilities and obligations under the Existing Warrant Agreement (as amended hereby) arising from and after the execution of this Agreement, in each case, as of the Merger Effective Time, and conditioned on the occurrence of the Closing. As a result of the preceding sentence, effective immediately prior Merger Effective Time, each Warrant shall be exchanged for newly issued Rezolve warrants and automatically cease to represent a right to acquire Armada common stock and the existing Warrants issued by Armada shall thereupon be deemed terminated and no longer outstanding and the newly issued Rezolve warrants shall instead represent a right to acquire Rezolve Ordinary Shares pursuant to the terms and conditions of the Existing Warrant Agreement (as amended hereby) and references in the Existing Warrant Agreement to “Warrants” shall thereafter be to such warrants issued by Rezolve. Rezolve consents to payment of the Warrant Price (as defined in the Existing Warrant Agreement) upon an exercise of such warrants for Rezolve Ordinary Shares in accordance with the terms of the Existing Warrant Agreement (as amended hereby).</w:t>
      </w:r>
    </w:p>
    <w:p>
      <w:pPr>
        <w:spacing w:after="0" w:line="19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Continental hereby consents to the assignment of the Existing Warrant Agreement by Armada to Rezolve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immediately at the Merger Effective Time and conditioned on the occurrence of the Closing, and the assumption of the Existing Warrant Agreement by Rezolve from Armada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at the Merger Effective Time and conditioned on the occurrence of the Closing, and to the continuation of the Existing Warrant Agreement in full force and effect from at the Merger Effective Time, subject at all times to the Existing Warrant Agreement (as amended hereby) and to all of the provisions, covenants, agreements, terms and conditions of the Existing Warrant Agreement and this Agreement.</w:t>
      </w:r>
    </w:p>
    <w:p>
      <w:pPr>
        <w:spacing w:after="0" w:line="18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Rezolve hereby appoints Computershare to serve as successor warrant agent to Continental under the Existing Warrant Agreement (as amended hereby) effective upon the Closing, and Continental hereby assigns to Computershare, and Computershare hereby agrees to accept and assume, with effect from Closing all of Continental’s rights, interests and obligations in, and under the Existing Warrant Agreement (as amended hereby) and the Warrants, as warrant agent; provided that, Computershare shall not assume any of Continental’s liabilities and obligations under the Existing Warrant Agreement (as amended hereby) arising prior to the Closing. Unless otherwise provided or the context otherwise requires, from and after Closing, any references in the Existing Warrant Agreement (as amended hereby) to the “Warrant Agent” shall mean Computershare.</w:t>
      </w:r>
    </w:p>
    <w:p>
      <w:pPr>
        <w:sectPr>
          <w:pgSz w:w="11900" w:h="16838" w:orient="portrait"/>
          <w:cols w:equalWidth="0" w:num="1">
            <w:col w:w="11000"/>
          </w:cols>
          <w:pgMar w:left="440" w:top="270" w:right="45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EXISTING WARRANT AGREEMENT</w:t>
      </w:r>
    </w:p>
    <w:p>
      <w:pPr>
        <w:spacing w:after="0" w:line="206"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Rezolve and Computershare hereby amend the Existing Warrant Agreement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effective at the Merger Effective Time and conditioned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 (as such term is defined in the Existing Warrant Agreement).</w:t>
      </w:r>
    </w:p>
    <w:p>
      <w:pPr>
        <w:spacing w:after="0" w:line="18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All references to “Armada Acquisition Corp. I, a Delaware corporation, with offices at 2005 Market Street, Suite 3120, Philadelphia, PA 19103” in the Existing Warrant Agreement shall refer instead to “Rezolve AI Limited, a limited company registered under the laws of England and Wales with offices at 5 New Street Square, London, United Kingdom EC4A 3TW.” As a result thereof, all references to the “Company” in the Existing Warrant Agreement shall be references to Rezolve AI PLC rather than to Armada Acquisition Corp. I. All references to “Continental Stock Transfer &amp; Trust Company, a New York limited purpose trust company, with offices at 1 State Street, New York, New York 10004” in the Existing Warrant Agreement shall refer instead to “Computershare Inc., a Delaware corporation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and its affiliate, Computershare Trust Company, N.A., a federally chartered trust company, (together with Computershare,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As a result thereof, all references to the “Warrant Agent” in the Existing Warrant Agreement shall be references to Computershare and the Trust Company, together as Warrant Agent, rather than to Armada Continental.</w:t>
      </w:r>
    </w:p>
    <w:p>
      <w:pPr>
        <w:spacing w:after="0" w:line="186" w:lineRule="exact"/>
        <w:rPr>
          <w:sz w:val="20"/>
          <w:szCs w:val="20"/>
          <w:color w:val="auto"/>
        </w:rPr>
      </w:pPr>
    </w:p>
    <w:p>
      <w:pPr>
        <w:ind w:right="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“common stock” or “Common Stock” in the Existing Warrant Agreement shall refer instead to “ordinary shares” or “Shares”, respectively. As a result thereof, all references to “common stock” or “Common Stock” in the Existing Warrant Agreement shall be references to Rezolve Ordinary Shares rather than to Armada Common Stock. All references to “par value” in the Existing Warrant Agreement shall refer instead to “nominal value”.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shall be inserted into the Existing Warrant Agreement:</w:t>
      </w:r>
    </w:p>
    <w:p>
      <w:pPr>
        <w:spacing w:after="0" w:line="117"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Armada shall be merged with and into Merger Sub (a wholly-owned subsidiary of the Company), with Armada surviving as a subsidiary of the Company (the “Merger”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7,499,994 Warrants;</w:t>
      </w:r>
    </w:p>
    <w:p>
      <w:pPr>
        <w:spacing w:after="0" w:line="182"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has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Registration Statement on Form F-4, No. 333-272751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for the registration, under the Securities Act of 1933, as amended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of, among other securities, the Warrants;”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in the Existing Warrant Agreement are hereby deleted in their entirety:</w:t>
      </w:r>
    </w:p>
    <w:p>
      <w:pPr>
        <w:spacing w:after="0" w:line="117" w:lineRule="exact"/>
        <w:rPr>
          <w:sz w:val="20"/>
          <w:szCs w:val="20"/>
          <w:color w:val="auto"/>
        </w:rPr>
      </w:pPr>
    </w:p>
    <w:p>
      <w:pPr>
        <w:ind w:right="140" w:firstLine="440"/>
        <w:spacing w:after="0" w:line="280" w:lineRule="auto"/>
        <w:rPr>
          <w:sz w:val="20"/>
          <w:szCs w:val="20"/>
          <w:color w:val="auto"/>
        </w:rPr>
      </w:pPr>
      <w:r>
        <w:rPr>
          <w:rFonts w:ascii="Times New Roman" w:cs="Times New Roman" w:eastAsia="Times New Roman" w:hAnsi="Times New Roman"/>
          <w:sz w:val="17"/>
          <w:szCs w:val="17"/>
          <w:color w:val="auto"/>
        </w:rPr>
        <w:t>“WHEREAS, the Company is engaged in a public offering (“</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of up to 17,250,000 units, each unit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comprised of one share of common stock of the Company,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one-half of one warrant, where each whole warrant entitles the holder to purchase one share of Common Stock at a price of $11.50 per share, subject to adjustment as described herein, and, in connection therewith, will issue and deliver up to 8,625,000 warrants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to the public investors in connection with the Public Offering;”</w:t>
      </w:r>
    </w:p>
    <w:p>
      <w:pPr>
        <w:sectPr>
          <w:pgSz w:w="11900" w:h="16838" w:orient="portrait"/>
          <w:cols w:equalWidth="0" w:num="1">
            <w:col w:w="10980"/>
          </w:cols>
          <w:pgMar w:left="440" w:top="266" w:right="479" w:bottom="1440" w:gutter="0" w:footer="0" w:header="0"/>
        </w:sectPr>
      </w:pPr>
    </w:p>
    <w:bookmarkStart w:id="146" w:name="page147"/>
    <w:bookmarkEnd w:id="146"/>
    <w:p>
      <w:pPr>
        <w:ind w:right="100"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No. 333-257692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177" w:lineRule="exact"/>
        <w:rPr>
          <w:sz w:val="20"/>
          <w:szCs w:val="20"/>
          <w:color w:val="auto"/>
        </w:rPr>
      </w:pPr>
    </w:p>
    <w:p>
      <w:pPr>
        <w:jc w:val="both"/>
        <w:ind w:right="300" w:firstLine="440"/>
        <w:spacing w:after="0" w:line="265"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“Public Warrants” in the Existing Warrant Agreement shall refer instead to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Section 2.2 of the Existing Warrant Agreement is hereby amended and restated in its entirety as follows:</w:t>
      </w:r>
    </w:p>
    <w:p>
      <w:pPr>
        <w:spacing w:after="0" w:line="117"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Section 2.3 of the Existing Warrant Agreement is hereby deleted and replaced with the following:</w:t>
      </w:r>
    </w:p>
    <w:p>
      <w:pPr>
        <w:spacing w:after="0" w:line="117" w:lineRule="exact"/>
        <w:rPr>
          <w:sz w:val="20"/>
          <w:szCs w:val="20"/>
          <w:color w:val="auto"/>
        </w:rPr>
      </w:pPr>
    </w:p>
    <w:p>
      <w:pPr>
        <w:ind w:right="1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manually or by facsimile or other electronic signature by the Warrant Agent pursuant to this Agreement, a Warrant shall be invalid and of no effect and may not be exercised by the holder thereof.”</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Section 2.5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Section 2.6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3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Section 3.1 of the Existing Warrant Agreement is hereby amended and restated in its entirety as follows:</w:t>
      </w:r>
    </w:p>
    <w:p>
      <w:pPr>
        <w:spacing w:after="0" w:line="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ectPr>
          <w:pgSz w:w="11900" w:h="16838" w:orient="portrait"/>
          <w:cols w:equalWidth="0" w:num="1">
            <w:col w:w="11000"/>
          </w:cols>
          <w:pgMar w:left="440" w:top="270" w:right="459" w:bottom="1440" w:gutter="0" w:footer="0" w:header="0"/>
        </w:sectPr>
      </w:pPr>
    </w:p>
    <w:bookmarkStart w:id="147" w:name="page148"/>
    <w:bookmarkEnd w:id="1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Section 3.2 of the Existing Warrant Agreement is hereby amended and restated in its entirety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p.m., New York City time on the earlier to occur of (i) five years from the Closing Date, (ii) the Redemption Date as provided in Section 6.2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expiration of the Warrants shall hereafter be referred to as the “Exercise Period.” Except with respect to the right to receive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(as set forth in Section 6 hereunder), as applicable, each Warrant not exercised on or before the Expiration Date shall become void,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and all rights in respect thereof under this Agreement shall cease at the close of business on the Expiration Date. The Company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may extend the duration of the Warrants by delaying the Expiration Date; provided, however, that the Company will provide at least twenty</w:t>
      </w:r>
    </w:p>
    <w:p>
      <w:pPr>
        <w:spacing w:after="0" w:line="9" w:lineRule="exact"/>
        <w:rPr>
          <w:sz w:val="20"/>
          <w:szCs w:val="20"/>
          <w:color w:val="auto"/>
        </w:rPr>
      </w:pPr>
    </w:p>
    <w:p>
      <w:pPr>
        <w:ind w:right="160" w:firstLine="2"/>
        <w:spacing w:after="0" w:line="260" w:lineRule="auto"/>
        <w:tabs>
          <w:tab w:leader="none" w:pos="3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Section 3.3.1 of the Existing Warrant Agreement is hereby amended and restated in its entirety as follows:</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 as set forth in the Warrant, properly completed and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Section 3.3.2 of the Existing Warrant Agreement is hereby amended and restated in its entirety as follows:</w:t>
      </w:r>
    </w:p>
    <w:p>
      <w:pPr>
        <w:spacing w:after="0" w:line="11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ectPr>
          <w:pgSz w:w="11900" w:h="16838" w:orient="portrait"/>
          <w:cols w:equalWidth="0" w:num="1">
            <w:col w:w="11000"/>
          </w:cols>
          <w:pgMar w:left="440" w:top="269" w:right="459" w:bottom="1440" w:gutter="0" w:footer="0" w:header="0"/>
        </w:sectPr>
      </w:pPr>
    </w:p>
    <w:bookmarkStart w:id="148" w:name="page149"/>
    <w:bookmarkEnd w:id="1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Section 3.3.5 of the Existing Warrant Agreement is hereby amended and restated in its entirety as follows:</w:t>
      </w:r>
    </w:p>
    <w:p>
      <w:pPr>
        <w:spacing w:after="0" w:line="117"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upon receipt of written notice from the Company that such person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Section 4.3 of the Existing Warrant Agreement is hereby amended and restated in its entirety as follows:</w:t>
      </w:r>
    </w:p>
    <w:p>
      <w:pPr>
        <w:spacing w:after="0" w:line="11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 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 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ectPr>
          <w:pgSz w:w="11900" w:h="16838" w:orient="portrait"/>
          <w:cols w:equalWidth="0" w:num="1">
            <w:col w:w="11000"/>
          </w:cols>
          <w:pgMar w:left="440" w:top="270" w:right="459" w:bottom="1440" w:gutter="0" w:footer="0" w:header="0"/>
        </w:sectPr>
      </w:pPr>
    </w:p>
    <w:bookmarkStart w:id="149" w:name="page150"/>
    <w:bookmarkEnd w:id="149"/>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Section 4.6 of the Existing Warrant Agreement is hereby deleted and replaced with the following:</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Section 4.7 of the Existing Warrant Agreement is hereby amended to add the following immediately after the first full sentence thereof:</w:t>
      </w:r>
    </w:p>
    <w:p>
      <w:pPr>
        <w:spacing w:after="0" w:line="55" w:lineRule="exact"/>
        <w:rPr>
          <w:sz w:val="20"/>
          <w:szCs w:val="20"/>
          <w:color w:val="auto"/>
        </w:rPr>
      </w:pPr>
    </w:p>
    <w:p>
      <w:pPr>
        <w:jc w:val="both"/>
        <w:ind w:right="140" w:firstLine="440"/>
        <w:spacing w:after="0" w:line="265" w:lineRule="auto"/>
        <w:rPr>
          <w:sz w:val="20"/>
          <w:szCs w:val="20"/>
          <w:color w:val="auto"/>
        </w:rPr>
      </w:pPr>
      <w:r>
        <w:rPr>
          <w:rFonts w:ascii="Times New Roman" w:cs="Times New Roman" w:eastAsia="Times New Roman" w:hAnsi="Times New Roman"/>
          <w:sz w:val="18"/>
          <w:szCs w:val="18"/>
          <w:color w:val="auto"/>
        </w:rPr>
        <w:t>“The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w:t>
      </w:r>
    </w:p>
    <w:p>
      <w:pPr>
        <w:spacing w:after="0" w:line="177" w:lineRule="exact"/>
        <w:rPr>
          <w:sz w:val="20"/>
          <w:szCs w:val="20"/>
          <w:color w:val="auto"/>
        </w:rPr>
      </w:pPr>
    </w:p>
    <w:p>
      <w:pPr>
        <w:ind w:right="4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Section 4.9 of the Existing Warrant Agreement is hereby amended by deleting the last sentence thereof in its entirety and replacing it with the following:</w:t>
      </w:r>
    </w:p>
    <w:p>
      <w:pPr>
        <w:spacing w:after="0" w:line="5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Section 5.1 of the Existing Warrant Agreement is hereby amended and restated in its entirety as follows: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The Warrant Agent shall register the 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at the expense of the Company, to the Company from time to time upon request.”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Section 5.3 of the Existing Warrant Agreement is hereby amended and restated in its entirety as follows:</w:t>
      </w:r>
    </w:p>
    <w:p>
      <w:pPr>
        <w:spacing w:after="0" w:line="117"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Section 5.7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Section 6.1 of the Existing Warrant Agreement is hereby amended and restated in its entirety as follows:</w:t>
      </w:r>
    </w:p>
    <w:p>
      <w:pPr>
        <w:spacing w:after="0" w:line="117" w:lineRule="exact"/>
        <w:rPr>
          <w:sz w:val="20"/>
          <w:szCs w:val="20"/>
          <w:color w:val="auto"/>
        </w:rPr>
      </w:pPr>
    </w:p>
    <w:p>
      <w:pPr>
        <w:jc w:val="both"/>
        <w:ind w:right="160" w:firstLine="440"/>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Shares equals or</w:t>
      </w:r>
    </w:p>
    <w:p>
      <w:pPr>
        <w:sectPr>
          <w:pgSz w:w="11900" w:h="16838" w:orient="portrait"/>
          <w:cols w:equalWidth="0" w:num="1">
            <w:col w:w="10940"/>
          </w:cols>
          <w:pgMar w:left="440" w:top="269" w:right="519" w:bottom="1440" w:gutter="0" w:footer="0" w:header="0"/>
        </w:sectPr>
      </w:pPr>
    </w:p>
    <w:bookmarkStart w:id="150" w:name="page151"/>
    <w:bookmarkEnd w:id="15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upon exercise of the Warrants is not exempt from registration or qualification under applicable state blue sky laws or the Company is unable to effect such registration or qualification.”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Section 6.3 is hereby amended and restated in its entirety as follows:</w:t>
      </w:r>
    </w:p>
    <w:p>
      <w:pPr>
        <w:spacing w:after="0" w:line="117" w:lineRule="exact"/>
        <w:rPr>
          <w:sz w:val="20"/>
          <w:szCs w:val="20"/>
          <w:color w:val="auto"/>
        </w:rPr>
      </w:pPr>
    </w:p>
    <w:p>
      <w:pPr>
        <w:jc w:val="both"/>
        <w:ind w:right="1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7"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Section 7.2 of the Existing Warrant Agreement is hereby amended and restated in its entirety as follows:</w:t>
      </w:r>
    </w:p>
    <w:p>
      <w:pPr>
        <w:spacing w:after="0" w:line="5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 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87" w:lineRule="exact"/>
        <w:rPr>
          <w:sz w:val="20"/>
          <w:szCs w:val="20"/>
          <w:color w:val="auto"/>
        </w:rPr>
      </w:pPr>
    </w:p>
    <w:p>
      <w:pPr>
        <w:ind w:right="5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Section 7.3 of the Existing Warrant Agreement is hereby amended and restated in its entirety as follows:</w:t>
      </w:r>
    </w:p>
    <w:p>
      <w:pPr>
        <w:spacing w:after="0" w:line="55" w:lineRule="exact"/>
        <w:rPr>
          <w:sz w:val="20"/>
          <w:szCs w:val="20"/>
          <w:color w:val="auto"/>
        </w:rPr>
      </w:pPr>
    </w:p>
    <w:p>
      <w:pPr>
        <w:ind w:firstLine="440"/>
        <w:spacing w:after="0" w:line="280"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Authorisation of Shares</w:t>
      </w:r>
      <w:r>
        <w:rPr>
          <w:rFonts w:ascii="Times New Roman" w:cs="Times New Roman" w:eastAsia="Times New Roman" w:hAnsi="Times New Roman"/>
          <w:sz w:val="17"/>
          <w:szCs w:val="17"/>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 emptive rights under section 561 of the Companies Act 2006 (UK) in relation to the Shares that may be exercisable under all outstanding Warrants.”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Registration of Shares</w:t>
      </w:r>
      <w:r>
        <w:rPr>
          <w:rFonts w:ascii="Times New Roman" w:cs="Times New Roman" w:eastAsia="Times New Roman" w:hAnsi="Times New Roman"/>
          <w:sz w:val="18"/>
          <w:szCs w:val="18"/>
          <w:color w:val="auto"/>
        </w:rPr>
        <w:t>. Section 7.4 of the Existing Warrant Agreement is hereby amended and restated in its entirety as follows:</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The Company agrees that as soon as practicable after the Closing Date, it shall use its best efforts to file with the Securities and Exchange Commission a registration statement for the registration, under the Act, of the Shares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ectPr>
          <w:pgSz w:w="11900" w:h="16838" w:orient="portrait"/>
          <w:cols w:equalWidth="0" w:num="1">
            <w:col w:w="11000"/>
          </w:cols>
          <w:pgMar w:left="440" w:top="270"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2.27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A new subsection 7.5 is hereby inserted in the Existing Warrant Agreement as follows:</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Merger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 (ii) were issued in compliance with all applicable state securities or “blue sky” laws; and (iii) are validly issued, fully paid and non-assessable.”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Section 8.1 of the Existing Warrant Agreement is hereby amended and restated in its entirety as follows:</w:t>
      </w:r>
    </w:p>
    <w:p>
      <w:pPr>
        <w:spacing w:after="0" w:line="117" w:lineRule="exact"/>
        <w:rPr>
          <w:sz w:val="20"/>
          <w:szCs w:val="20"/>
          <w:color w:val="auto"/>
        </w:rPr>
      </w:pPr>
    </w:p>
    <w:p>
      <w:pPr>
        <w:ind w:right="60" w:firstLine="440"/>
        <w:spacing w:after="0" w:line="26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Section 8.2.1 of the Existing Warrant Agreement is hereby amended as follows:</w:t>
      </w:r>
    </w:p>
    <w:p>
      <w:pPr>
        <w:spacing w:after="0" w:line="130" w:lineRule="exact"/>
        <w:rPr>
          <w:sz w:val="20"/>
          <w:szCs w:val="20"/>
          <w:color w:val="auto"/>
        </w:rPr>
      </w:pPr>
    </w:p>
    <w:p>
      <w:pPr>
        <w:ind w:left="980" w:hanging="546"/>
        <w:spacing w:after="0"/>
        <w:tabs>
          <w:tab w:leader="none" w:pos="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“sixty (60)” in the first full sentence thereof and replacing it with “thirty (30)”; and</w:t>
      </w:r>
    </w:p>
    <w:p>
      <w:pPr>
        <w:spacing w:after="0" w:line="130" w:lineRule="exact"/>
        <w:rPr>
          <w:rFonts w:ascii="Times New Roman" w:cs="Times New Roman" w:eastAsia="Times New Roman" w:hAnsi="Times New Roman"/>
          <w:sz w:val="18"/>
          <w:szCs w:val="18"/>
          <w:color w:val="auto"/>
        </w:rPr>
      </w:pPr>
    </w:p>
    <w:p>
      <w:pPr>
        <w:ind w:left="980" w:right="40" w:hanging="546"/>
        <w:spacing w:after="0" w:line="265" w:lineRule="auto"/>
        <w:tabs>
          <w:tab w:leader="none" w:pos="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following to the end of the last sentence thereof: “; provided that, such predecessor Warrant Agent shall not be required to make any additional expenditure (without prompt reimbursement by the Company) or assume any additional liability in connection with the foregoing.”</w:t>
      </w:r>
    </w:p>
    <w:p>
      <w:pPr>
        <w:spacing w:after="0" w:line="177" w:lineRule="exact"/>
        <w:rPr>
          <w:sz w:val="20"/>
          <w:szCs w:val="20"/>
          <w:color w:val="auto"/>
        </w:rPr>
      </w:pPr>
    </w:p>
    <w:p>
      <w:pPr>
        <w:ind w:right="3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Merger or Consolidation of the Warrant Agent</w:t>
      </w:r>
      <w:r>
        <w:rPr>
          <w:rFonts w:ascii="Times New Roman" w:cs="Times New Roman" w:eastAsia="Times New Roman" w:hAnsi="Times New Roman"/>
          <w:sz w:val="18"/>
          <w:szCs w:val="18"/>
          <w:color w:val="auto"/>
        </w:rPr>
        <w:t>. Section 8.2.3 of the Existing Warrant Agreement is hereby amended by replacing each instance of “corporation” with “entity”.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Subsection 8.3.1 of the Existing Warrant Agreement is hereby deleted in its entirety and replaced with the following:</w:t>
      </w:r>
    </w:p>
    <w:p>
      <w:pPr>
        <w:spacing w:after="0" w:line="117"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82"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2.32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Subsection 8.4.1 of the Existing Warrant Agreement is hereby deleted in its entirety and replaced with the following:</w:t>
      </w:r>
    </w:p>
    <w:p>
      <w:pPr>
        <w:spacing w:after="0" w:line="55" w:lineRule="exact"/>
        <w:rPr>
          <w:sz w:val="20"/>
          <w:szCs w:val="20"/>
          <w:color w:val="auto"/>
        </w:rPr>
      </w:pPr>
    </w:p>
    <w:p>
      <w:pPr>
        <w:ind w:right="20" w:firstLine="990"/>
        <w:spacing w:after="0" w:line="255"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2.33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Subsection 8.4.2 of the Existing Warrant Agreement is hereby deleted in its entirety and replaced with the following:</w:t>
      </w:r>
    </w:p>
    <w:p>
      <w:pPr>
        <w:spacing w:after="0" w:line="117" w:lineRule="exact"/>
        <w:rPr>
          <w:sz w:val="20"/>
          <w:szCs w:val="20"/>
          <w:color w:val="auto"/>
        </w:rPr>
      </w:pPr>
    </w:p>
    <w:p>
      <w:pPr>
        <w:ind w:right="60" w:firstLine="990"/>
        <w:spacing w:after="0" w:line="260"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w:t>
      </w:r>
    </w:p>
    <w:p>
      <w:pPr>
        <w:sectPr>
          <w:pgSz w:w="11900" w:h="16838" w:orient="portrait"/>
          <w:cols w:equalWidth="0" w:num="1">
            <w:col w:w="11000"/>
          </w:cols>
          <w:pgMar w:left="440" w:top="270" w:right="459" w:bottom="1440" w:gutter="0" w:footer="0" w:header="0"/>
        </w:sectPr>
      </w:pPr>
    </w:p>
    <w:bookmarkStart w:id="152" w:name="page153"/>
    <w:bookmarkEnd w:id="15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including the reasonable and documented costs and expenses of defending against any claim of liability arising therefrom, directly or indirectly, or of enforcing its rights under this Agreement, except as a result of the Warrant Agent’s fraud, gross negligence, willful misconduct or bad faith (in each case as determined by a final, non- appealable judgment of a court of competent jurisdiction). 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2.34 </w:t>
      </w:r>
      <w:r>
        <w:rPr>
          <w:rFonts w:ascii="Times New Roman" w:cs="Times New Roman" w:eastAsia="Times New Roman" w:hAnsi="Times New Roman"/>
          <w:sz w:val="18"/>
          <w:szCs w:val="18"/>
          <w:u w:val="single" w:color="auto"/>
          <w:color w:val="auto"/>
        </w:rPr>
        <w:t>Liability of the Warrant Agent</w:t>
      </w:r>
      <w:r>
        <w:rPr>
          <w:rFonts w:ascii="Times New Roman" w:cs="Times New Roman" w:eastAsia="Times New Roman" w:hAnsi="Times New Roman"/>
          <w:sz w:val="18"/>
          <w:szCs w:val="18"/>
          <w:color w:val="auto"/>
        </w:rPr>
        <w:t>. Section 8.4 of the Existing Warrant Agreement is amended to insert the following new subsections:</w:t>
      </w:r>
    </w:p>
    <w:p>
      <w:pPr>
        <w:spacing w:after="0" w:line="117" w:lineRule="exact"/>
        <w:rPr>
          <w:sz w:val="20"/>
          <w:szCs w:val="20"/>
          <w:color w:val="auto"/>
        </w:rPr>
      </w:pPr>
    </w:p>
    <w:p>
      <w:pPr>
        <w:jc w:val="both"/>
        <w:ind w:left="1000"/>
        <w:spacing w:after="0" w:line="265"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69" w:lineRule="exact"/>
        <w:rPr>
          <w:sz w:val="20"/>
          <w:szCs w:val="20"/>
          <w:color w:val="auto"/>
        </w:rPr>
      </w:pPr>
    </w:p>
    <w:p>
      <w:pPr>
        <w:ind w:left="1000" w:right="120"/>
        <w:spacing w:after="0" w:line="265"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69" w:lineRule="exact"/>
        <w:rPr>
          <w:sz w:val="20"/>
          <w:szCs w:val="20"/>
          <w:color w:val="auto"/>
        </w:rPr>
      </w:pPr>
    </w:p>
    <w:p>
      <w:pPr>
        <w:ind w:left="1000" w:right="100"/>
        <w:spacing w:after="0" w:line="256"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subject to applicable law,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w:t>
      </w:r>
    </w:p>
    <w:p>
      <w:pPr>
        <w:spacing w:after="0" w:line="78" w:lineRule="exact"/>
        <w:rPr>
          <w:sz w:val="20"/>
          <w:szCs w:val="20"/>
          <w:color w:val="auto"/>
        </w:rPr>
      </w:pPr>
    </w:p>
    <w:p>
      <w:pPr>
        <w:ind w:left="1000"/>
        <w:spacing w:after="0" w:line="288" w:lineRule="auto"/>
        <w:rPr>
          <w:sz w:val="20"/>
          <w:szCs w:val="20"/>
          <w:color w:val="auto"/>
        </w:rPr>
      </w:pPr>
      <w:r>
        <w:rPr>
          <w:rFonts w:ascii="Times New Roman" w:cs="Times New Roman" w:eastAsia="Times New Roman" w:hAnsi="Times New Roman"/>
          <w:sz w:val="17"/>
          <w:szCs w:val="17"/>
          <w:color w:val="auto"/>
        </w:rPr>
        <w:t xml:space="preserve">8.4.7. </w:t>
      </w:r>
      <w:r>
        <w:rPr>
          <w:rFonts w:ascii="Times New Roman" w:cs="Times New Roman" w:eastAsia="Times New Roman" w:hAnsi="Times New Roman"/>
          <w:sz w:val="17"/>
          <w:szCs w:val="17"/>
          <w:u w:val="single" w:color="auto"/>
          <w:color w:val="auto"/>
        </w:rPr>
        <w:t>No Risk of Own Funds</w:t>
      </w:r>
      <w:r>
        <w:rPr>
          <w:rFonts w:ascii="Times New Roman" w:cs="Times New Roman" w:eastAsia="Times New Roman" w:hAnsi="Times New Roman"/>
          <w:sz w:val="17"/>
          <w:szCs w:val="17"/>
          <w:color w:val="auto"/>
        </w:rPr>
        <w:t>. No provision of this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51" w:lineRule="exact"/>
        <w:rPr>
          <w:sz w:val="20"/>
          <w:szCs w:val="20"/>
          <w:color w:val="auto"/>
        </w:rPr>
      </w:pPr>
    </w:p>
    <w:p>
      <w:pPr>
        <w:ind w:left="1000" w:right="100"/>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74" w:lineRule="exact"/>
        <w:rPr>
          <w:sz w:val="20"/>
          <w:szCs w:val="20"/>
          <w:color w:val="auto"/>
        </w:rPr>
      </w:pPr>
    </w:p>
    <w:p>
      <w:pPr>
        <w:ind w:left="1000" w:right="20"/>
        <w:spacing w:after="0" w:line="256" w:lineRule="auto"/>
        <w:rPr>
          <w:sz w:val="20"/>
          <w:szCs w:val="20"/>
          <w:color w:val="auto"/>
        </w:rPr>
      </w:pPr>
      <w:r>
        <w:rPr>
          <w:rFonts w:ascii="Times New Roman" w:cs="Times New Roman" w:eastAsia="Times New Roman" w:hAnsi="Times New Roman"/>
          <w:sz w:val="18"/>
          <w:szCs w:val="18"/>
          <w:color w:val="auto"/>
        </w:rPr>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78" w:lineRule="exact"/>
        <w:rPr>
          <w:sz w:val="20"/>
          <w:szCs w:val="20"/>
          <w:color w:val="auto"/>
        </w:rPr>
      </w:pPr>
    </w:p>
    <w:p>
      <w:pPr>
        <w:ind w:left="1000" w:right="60"/>
        <w:spacing w:after="0" w:line="265"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ectPr>
          <w:pgSz w:w="11900" w:h="16838" w:orient="portrait"/>
          <w:cols w:equalWidth="0" w:num="1">
            <w:col w:w="11000"/>
          </w:cols>
          <w:pgMar w:left="440" w:top="270" w:right="459" w:bottom="1440" w:gutter="0" w:footer="0" w:header="0"/>
        </w:sectPr>
      </w:pPr>
    </w:p>
    <w:bookmarkStart w:id="153" w:name="page154"/>
    <w:bookmarkEnd w:id="153"/>
    <w:p>
      <w:pPr>
        <w:ind w:left="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74"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save to the extent arising from fraud, gross negligence, willful misconduct or bad faith (each as determined by a final, non-appealable judgment of a court of competent jurisdiction) in the selection and continued employment thereof.</w:t>
      </w:r>
    </w:p>
    <w:p>
      <w:pPr>
        <w:spacing w:after="0" w:line="74" w:lineRule="exact"/>
        <w:rPr>
          <w:sz w:val="20"/>
          <w:szCs w:val="20"/>
          <w:color w:val="auto"/>
        </w:rPr>
      </w:pPr>
    </w:p>
    <w:p>
      <w:pPr>
        <w:jc w:val="both"/>
        <w:ind w:left="440" w:right="80"/>
        <w:spacing w:after="0" w:line="260"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Section 8.5 of the Existing Warrant Agreement shall be deleted in its entirety and replaced with the following:</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subscription for Shares through the exercise of the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Section 8 of the Existing Warrant Agreement shall have a new subsection 8.6 inserted as follows:</w:t>
      </w:r>
    </w:p>
    <w:p>
      <w:pPr>
        <w:spacing w:after="0" w:line="117" w:lineRule="exact"/>
        <w:rPr>
          <w:sz w:val="20"/>
          <w:szCs w:val="20"/>
          <w:color w:val="auto"/>
        </w:rPr>
      </w:pPr>
    </w:p>
    <w:p>
      <w:pPr>
        <w:ind w:right="3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Section 9.2 of the Existing Warrant Agreement is hereby amended as follows:</w:t>
      </w:r>
    </w:p>
    <w:p>
      <w:pPr>
        <w:spacing w:after="0" w:line="130" w:lineRule="exact"/>
        <w:rPr>
          <w:sz w:val="20"/>
          <w:szCs w:val="20"/>
          <w:color w:val="auto"/>
        </w:rPr>
      </w:pPr>
    </w:p>
    <w:p>
      <w:pPr>
        <w:ind w:left="980" w:right="320" w:hanging="546"/>
        <w:spacing w:after="0" w:line="281" w:lineRule="auto"/>
        <w:tabs>
          <w:tab w:leader="none" w:pos="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notices to Armada and Continental set forth in Section 9.2 of the Existing Warrant Agreement are hereby amended and restated in its entirety as follows:</w:t>
      </w:r>
    </w:p>
    <w:p>
      <w:pPr>
        <w:spacing w:after="0" w:line="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London, United Kingdom, EC4A 3TW</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ectPr>
          <w:pgSz w:w="11900" w:h="16838" w:orient="portrait"/>
          <w:cols w:equalWidth="0" w:num="1">
            <w:col w:w="11000"/>
          </w:cols>
          <w:pgMar w:left="440" w:top="270" w:right="459" w:bottom="1440" w:gutter="0" w:footer="0" w:header="0"/>
        </w:sectPr>
      </w:pPr>
    </w:p>
    <w:bookmarkStart w:id="154" w:name="page155"/>
    <w:bookmarkEnd w:id="154"/>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Computershare Trust Company, N.A.</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33" w:lineRule="exact"/>
        <w:rPr>
          <w:sz w:val="20"/>
          <w:szCs w:val="20"/>
          <w:color w:val="auto"/>
        </w:rPr>
      </w:pPr>
    </w:p>
    <w:p>
      <w:pPr>
        <w:ind w:left="980" w:hanging="546"/>
        <w:spacing w:after="0"/>
        <w:tabs>
          <w:tab w:leader="none" w:pos="9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each instance of “within five days after” and replacing it with “upon”</w:t>
      </w:r>
    </w:p>
    <w:p>
      <w:pPr>
        <w:spacing w:after="0" w:line="225"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2.37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Section 9.4 of the Existing Warrant Agreement is hereby amended and restated in its entirety as follows:</w:t>
      </w:r>
    </w:p>
    <w:p>
      <w:pPr>
        <w:spacing w:after="0" w:line="5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82"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2.38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Section 9.5 of the Existing Warrant Agreement is hereby amended by deleting “, in the Borough of Manhattan, City and State of New York,”.</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2.39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Section 9.8 of the Existing Warrant Agreement is hereby amended and restated in its entirety as follows: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 No supplement or amendment to this Agreement shall be effective unless duly executed by the Warrant Agent.”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2.40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Section 9.9 of the Existing Warrant Agreement is hereby deleted and replaced with the following: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right="4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2.41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Section 9.10 of the Existing Warrant Agreement is hereby amended by deleting the first full sentence thereof in its entirety and replacing it with the following:</w:t>
      </w:r>
    </w:p>
    <w:p>
      <w:pPr>
        <w:spacing w:after="0" w:line="55" w:lineRule="exact"/>
        <w:rPr>
          <w:sz w:val="20"/>
          <w:szCs w:val="20"/>
          <w:color w:val="auto"/>
        </w:rPr>
      </w:pPr>
    </w:p>
    <w:p>
      <w:pPr>
        <w:ind w:right="280" w:firstLine="990"/>
        <w:spacing w:after="0" w:line="260" w:lineRule="auto"/>
        <w:rPr>
          <w:sz w:val="20"/>
          <w:szCs w:val="20"/>
          <w:color w:val="auto"/>
        </w:rPr>
      </w:pPr>
      <w:r>
        <w:rPr>
          <w:rFonts w:ascii="Times New Roman" w:cs="Times New Roman" w:eastAsia="Times New Roman" w:hAnsi="Times New Roman"/>
          <w:sz w:val="18"/>
          <w:szCs w:val="18"/>
          <w:color w:val="auto"/>
        </w:rPr>
        <w:t>“This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w:t>
      </w:r>
    </w:p>
    <w:p>
      <w:pPr>
        <w:sectPr>
          <w:pgSz w:w="11900" w:h="16838" w:orient="portrait"/>
          <w:cols w:equalWidth="0" w:num="1">
            <w:col w:w="11000"/>
          </w:cols>
          <w:pgMar w:left="440" w:top="270" w:right="459" w:bottom="1440" w:gutter="0" w:footer="0" w:header="0"/>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2.42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 new Section 9.8 is hereby inserted as follows:</w:t>
      </w:r>
    </w:p>
    <w:p>
      <w:pPr>
        <w:spacing w:after="0" w:line="117"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or Moody’s Investors Service, Inc.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respectively; (c) Government and Treasury backed AAA-rated Fixed NAV money market funds that comply with Rule 2a-7 of the Investment Company Act of 1940, as amended; or</w:t>
      </w:r>
    </w:p>
    <w:p>
      <w:pPr>
        <w:spacing w:after="0" w:line="4" w:lineRule="exact"/>
        <w:rPr>
          <w:sz w:val="20"/>
          <w:szCs w:val="20"/>
          <w:color w:val="auto"/>
        </w:rPr>
      </w:pPr>
    </w:p>
    <w:p>
      <w:pPr>
        <w:ind w:right="20" w:firstLine="2"/>
        <w:spacing w:after="0" w:line="251" w:lineRule="auto"/>
        <w:tabs>
          <w:tab w:leader="none" w:pos="2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 new Section 9.9 is hereby inserted as follows:</w:t>
      </w:r>
    </w:p>
    <w:p>
      <w:pPr>
        <w:spacing w:after="0" w:line="117" w:lineRule="exact"/>
        <w:rPr>
          <w:sz w:val="20"/>
          <w:szCs w:val="20"/>
          <w:color w:val="auto"/>
        </w:rPr>
      </w:pPr>
    </w:p>
    <w:p>
      <w:pPr>
        <w:ind w:right="100" w:firstLine="990"/>
        <w:spacing w:after="0" w:line="260"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new Section 9.10 is hereby inserted as follows:</w:t>
      </w:r>
    </w:p>
    <w:p>
      <w:pPr>
        <w:spacing w:after="0" w:line="117" w:lineRule="exact"/>
        <w:rPr>
          <w:sz w:val="20"/>
          <w:szCs w:val="20"/>
          <w:color w:val="auto"/>
        </w:rPr>
      </w:pPr>
    </w:p>
    <w:p>
      <w:pPr>
        <w:jc w:val="both"/>
        <w:ind w:right="60" w:firstLine="99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or applicable regulation, including, without limitation, pursuant to subpoenas from state or federal government authorities (e.g., in divorce and criminal actions).”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 new Section 9.11 is hereby inserted as follows:</w:t>
      </w:r>
    </w:p>
    <w:p>
      <w:pPr>
        <w:spacing w:after="0" w:line="117" w:lineRule="exact"/>
        <w:rPr>
          <w:sz w:val="20"/>
          <w:szCs w:val="20"/>
          <w:color w:val="auto"/>
        </w:rPr>
      </w:pPr>
    </w:p>
    <w:p>
      <w:pPr>
        <w:ind w:firstLine="990"/>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 The Company shall not amend any provisions of the Warrants without the prior consent of the Warrant Agent, not to be unreasonably withheld or delayed.”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6" w:lineRule="exact"/>
        <w:rPr>
          <w:sz w:val="20"/>
          <w:szCs w:val="20"/>
          <w:color w:val="auto"/>
        </w:rPr>
      </w:pPr>
    </w:p>
    <w:p>
      <w:pPr>
        <w:ind w:right="4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Each of the parties hereto acknowledges and agrees that the effectiveness of this Agreement shall be contingent upon the occurrence of the Closing.</w:t>
      </w:r>
    </w:p>
    <w:p>
      <w:pPr>
        <w:sectPr>
          <w:pgSz w:w="11900" w:h="16838" w:orient="portrait"/>
          <w:cols w:equalWidth="0" w:num="1">
            <w:col w:w="10980"/>
          </w:cols>
          <w:pgMar w:left="440" w:top="270" w:right="479" w:bottom="1440" w:gutter="0" w:footer="0" w:header="0"/>
        </w:sectPr>
      </w:pPr>
    </w:p>
    <w:bookmarkStart w:id="156" w:name="page157"/>
    <w:bookmarkEnd w:id="156"/>
    <w:p>
      <w:pPr>
        <w:ind w:right="20"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Examination of the Existing Warrant Agreement</w:t>
      </w:r>
      <w:r>
        <w:rPr>
          <w:rFonts w:ascii="Times New Roman" w:cs="Times New Roman" w:eastAsia="Times New Roman" w:hAnsi="Times New Roman"/>
          <w:sz w:val="18"/>
          <w:szCs w:val="18"/>
          <w:color w:val="auto"/>
        </w:rPr>
        <w:t>. A copy of this Agreement shall be available at all reasonable times at the office of Computershare in the United States of America, for inspection by the “registered holder” (as such term is defined in the Existing Warrant Agreement) of any Warrant. Computershare may require any such holder to submit such holder’s Warrant for inspection by Computershare.</w:t>
      </w:r>
    </w:p>
    <w:p>
      <w:pPr>
        <w:spacing w:after="0" w:line="177" w:lineRule="exact"/>
        <w:rPr>
          <w:sz w:val="20"/>
          <w:szCs w:val="20"/>
          <w:color w:val="auto"/>
        </w:rPr>
      </w:pPr>
    </w:p>
    <w:p>
      <w:pPr>
        <w:ind w:right="10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7"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shall be construed to confer upon, or give to, any person or entity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182"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980"/>
          </w:cols>
          <w:pgMar w:left="440" w:top="270" w:right="479" w:bottom="1440" w:gutter="0" w:footer="0" w:header="0"/>
        </w:sectPr>
      </w:pPr>
    </w:p>
    <w:bookmarkStart w:id="157" w:name="page158"/>
    <w:bookmarkEnd w:id="157"/>
    <w:p>
      <w:pPr>
        <w:ind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Rezolve, Armada, Continental and Computershare have duly executed this Agreement, all as of the date first written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ARMADA ACQUISITON CORP.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Ma” ice Wagne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Daniel Ma” ice Wagne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CEO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Stacy 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Stacy Aqui</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consenting to the amendments to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7.4, 9.4 and 9.8)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Jeff Peterson</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Investment Banking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COMPUTERSHARE TRUST COMPANY, N.A., </w:t>
      </w:r>
      <w:r>
        <w:rPr>
          <w:rFonts w:ascii="Times New Roman" w:cs="Times New Roman" w:eastAsia="Times New Roman" w:hAnsi="Times New Roman"/>
          <w:sz w:val="18"/>
          <w:szCs w:val="18"/>
          <w:color w:val="auto"/>
        </w:rPr>
        <w: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both parties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25946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Collin Ekeogu</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Manager, Corporate Actions</w:t>
      </w: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Assumption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INVESTOR RIGHTS AGREEMENT</w:t>
      </w:r>
    </w:p>
    <w:p>
      <w:pPr>
        <w:spacing w:after="0" w:line="2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This Investor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August 15, 2024 is made and entered into by and among Rezolve AI Limited, a private limited liability company registered under the laws of England and Wales with registration number 14573691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parties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Capitalized terms used but not defined herein have the meanings assigned to them in the Business Combination Agreement originally dated as of December 17, 2021 and amended on November 10, 2022 and further amended and restated as of 16 June 2023 and amended on 4 August 2023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by and among the Company, Rezolve Limited, a private limited liability company registered under the laws of England and Wales with registration number 09773823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Rezolve Merger Sub, Inc., a Delaware corporation (the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Armada Acquisition Corp. I,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WHEREAS, as a condition to Closing occurring under the Business Combination Agreement, the Original Company, the Company and certain of the shareholders in the Original Company (the “</w:t>
      </w:r>
      <w:r>
        <w:rPr>
          <w:rFonts w:ascii="Times New Roman" w:cs="Times New Roman" w:eastAsia="Times New Roman" w:hAnsi="Times New Roman"/>
          <w:sz w:val="18"/>
          <w:szCs w:val="18"/>
          <w:b w:val="1"/>
          <w:bCs w:val="1"/>
          <w:color w:val="auto"/>
        </w:rPr>
        <w:t>Original Company Shareholders</w:t>
      </w:r>
      <w:r>
        <w:rPr>
          <w:rFonts w:ascii="Times New Roman" w:cs="Times New Roman" w:eastAsia="Times New Roman" w:hAnsi="Times New Roman"/>
          <w:sz w:val="18"/>
          <w:szCs w:val="18"/>
          <w:color w:val="auto"/>
        </w:rPr>
        <w:t>”) entered into a demerger support agreement dated 2 July 2024 pursuant to which they effected a demerger pursuant to section 110 Insolvency Act 1986 under which the Original Company entered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in the capital of the Company for distribution amongst the Original Company Shareholders in proportion to their holdings of shares of each class in the Original Company the “</w:t>
      </w:r>
      <w:r>
        <w:rPr>
          <w:rFonts w:ascii="Times New Roman" w:cs="Times New Roman" w:eastAsia="Times New Roman" w:hAnsi="Times New Roman"/>
          <w:sz w:val="18"/>
          <w:szCs w:val="18"/>
          <w:b w:val="1"/>
          <w:bCs w:val="1"/>
          <w:color w:val="auto"/>
        </w:rPr>
        <w:t>Pre-Closing Demerger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WHEREAS, the Company, the Original Company, Armada and Rezolve Merger Sub are parties to the Business Combination Agreement, pursuant to which, among other things, after completion of the Pre-Closing Demerger, the Company reorganized its share capital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and thereafter, Armada merged with and into Merger Sub (a wholly-owned subsidiary of the Company), with Armada surviving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WHEREAS, Armada and Armada Sponsor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and each other Holder designated as an “Original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are parties to the Registration Rights Agreement dated as of August 12, 2021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8"/>
          <w:szCs w:val="18"/>
          <w:color w:val="auto"/>
        </w:rPr>
        <w:t>WHEREAS, the parties to the Prior Agreement desire to terminate the Prior Agreement and to provide for certain rights and obligations included herein and to include the New Holders; and</w:t>
      </w:r>
    </w:p>
    <w:p>
      <w:pPr>
        <w:spacing w:after="0" w:line="163"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8"/>
          <w:szCs w:val="18"/>
          <w:color w:val="auto"/>
        </w:rPr>
        <w:t>WHEREAS, the Company and the Shareholder Parties (as defined below) wish to establish certain board nomination, corporate governance and other investor rights in respect of the Company.</w:t>
      </w:r>
    </w:p>
    <w:p>
      <w:pPr>
        <w:spacing w:after="0" w:line="163" w:lineRule="exact"/>
        <w:rPr>
          <w:sz w:val="20"/>
          <w:szCs w:val="20"/>
          <w:color w:val="auto"/>
        </w:rPr>
      </w:pPr>
    </w:p>
    <w:p>
      <w:pPr>
        <w:ind w:right="300" w:firstLine="4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terms and variations thereof have the meanings set forth below:</w:t>
      </w:r>
    </w:p>
    <w:p>
      <w:pPr>
        <w:spacing w:after="0" w:line="117"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Advance Subscription</w:t>
      </w:r>
      <w:r>
        <w:rPr>
          <w:rFonts w:ascii="Times New Roman" w:cs="Times New Roman" w:eastAsia="Times New Roman" w:hAnsi="Times New Roman"/>
          <w:sz w:val="17"/>
          <w:szCs w:val="17"/>
          <w:color w:val="auto"/>
        </w:rPr>
        <w:t>” means the $500,000 advance subscription provided by Apeiron Investment Group Limited to the Original Company pursuant to an advance subscription agreement dated June 15, 2023 between the Original Company, the Company and Apeiron Investment Group Limited.</w:t>
      </w:r>
    </w:p>
    <w:p>
      <w:pPr>
        <w:sectPr>
          <w:pgSz w:w="11900" w:h="16838" w:orient="portrait"/>
          <w:cols w:equalWidth="0" w:num="1">
            <w:col w:w="11000"/>
          </w:cols>
          <w:pgMar w:left="440" w:top="117" w:right="459" w:bottom="1440" w:gutter="0" w:footer="0" w:header="0"/>
        </w:sectPr>
      </w:pPr>
    </w:p>
    <w:bookmarkStart w:id="159" w:name="page160"/>
    <w:bookmarkEnd w:id="15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would materially impede, delay or interfere with any significant financing, significant acquisition, significant corporate reorganization or other significant transaction then pending or proposed to be taken by the Company or any of its subsidiaries (or any negotiations, discussions or pending proposals with respect thereto), or would otherwise materially adversely affect the Company.</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which (i) directly, or indirectly through one or more intermediaries, controls, or is controlled by, or is under common control with, such Person, and (ii) as to any individual, in addition to any Person in clause (i), (a) any member of the immediate family of an individual Holder, including parents, siblings, spouse and children (including those by adoption), the parents, siblings, spouse, or children (including those by adoption) of such immediate family member, and, in any such case, any trust whose primary beneficiary is such individual Holder or one or more members of such immediate family and/or such Holder’s lineal descendants, and (b) the legal representative or guardian of such individual Holder or of any such immediate family member in the event such individual Holder or any such immediate family member becomes mentally incompetent;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or any of its subsidiaries be deemed an Affiliate of any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 Shares”</w:t>
      </w:r>
      <w:r>
        <w:rPr>
          <w:rFonts w:ascii="Times New Roman" w:cs="Times New Roman" w:eastAsia="Times New Roman" w:hAnsi="Times New Roman"/>
          <w:sz w:val="18"/>
          <w:szCs w:val="18"/>
          <w:color w:val="auto"/>
        </w:rPr>
        <w:t xml:space="preserve"> has the meaning attributed thereto in the BCA.</w:t>
      </w:r>
    </w:p>
    <w:p>
      <w:pPr>
        <w:spacing w:after="0" w:line="22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have the meaning assigned to such terms in Rule 13d-3 under the Exchange Act, and a Person’s beneficial ownership of securities shall be calculated in accordance with the provisions of such Rule (in each case, irrespective of whether or not such Rule is actually applicable in such circumstance). For the purposes of calculating any Holder’s Beneficial Ownership, rights and obligations under this Agreement shall not be taken into account.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Seat Period</w:t>
      </w:r>
      <w:r>
        <w:rPr>
          <w:rFonts w:ascii="Times New Roman" w:cs="Times New Roman" w:eastAsia="Times New Roman" w:hAnsi="Times New Roman"/>
          <w:sz w:val="18"/>
          <w:szCs w:val="18"/>
          <w:color w:val="auto"/>
        </w:rPr>
        <w:t xml:space="preserve">” shall mean, with respect to any Holder, the period during which such Holder is entitled to appoint designees to the Board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are authorized or required by law to remain closed.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Public Shares</w:t>
      </w:r>
      <w:r>
        <w:rPr>
          <w:rFonts w:ascii="Times New Roman" w:cs="Times New Roman" w:eastAsia="Times New Roman" w:hAnsi="Times New Roman"/>
          <w:sz w:val="17"/>
          <w:szCs w:val="17"/>
          <w:color w:val="auto"/>
        </w:rPr>
        <w:t>” means the Ordinary Shares issued upon conversion of each issued and outstanding Armada common stock (CUSIP: 04208V</w:t>
      </w:r>
    </w:p>
    <w:p>
      <w:pPr>
        <w:spacing w:after="0" w:line="43" w:lineRule="exact"/>
        <w:rPr>
          <w:sz w:val="20"/>
          <w:szCs w:val="20"/>
          <w:color w:val="auto"/>
        </w:rPr>
      </w:pPr>
    </w:p>
    <w:p>
      <w:pPr>
        <w:jc w:val="both"/>
        <w:ind w:right="220" w:firstLine="2"/>
        <w:spacing w:after="0" w:line="255" w:lineRule="auto"/>
        <w:tabs>
          <w:tab w:leader="none" w:pos="37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were included in the Units sold in Armada’s initial public offering. into Ordinary Shares (CUSIP: G75398 100) on a one-for-one basis (such conversion to be effected by the Company issuing new Ordinary Shares to Cede &amp; Co, for the ultimate benefit of the holders of the Armada common stock so “converted”).</w:t>
      </w:r>
    </w:p>
    <w:p>
      <w:pPr>
        <w:sectPr>
          <w:pgSz w:w="11900" w:h="16838" w:orient="portrait"/>
          <w:cols w:equalWidth="0" w:num="1">
            <w:col w:w="10980"/>
          </w:cols>
          <w:pgMar w:left="440" w:top="266"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Public Warrants</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all information (irrespective of the form of communication) received by or on behalf of a Holder or its Representatives from the Company, its Affiliates or their respective Representatives, through the Beneficial Ownership of Equity Securities or through the rights granted pursuant hereto, other than information which (i) was or becomes generally available to the public other than as a result of a breach of this Agreement by such Holder, its Affiliates or their respective Representatives, (ii) was or becomes available to such Holder, its Affiliates or their respective Representatives on a non-confidential basis from a source other than the Company, its Affiliates or their respective Representatives, or any other Holder or its Representatives, as the case may be, provided, that the source thereof is not known by such Holder or such of its Affiliates or their respective Representatives to be bound by an obligation of confidentiality to the Company or any of its Affiliates, or (iii) is independently developed by such Holder, its Affiliates or their respective Representatives without the use of any information that would otherwise be Confidential Information hereunder.</w:t>
      </w:r>
    </w:p>
    <w:p>
      <w:pPr>
        <w:spacing w:after="0" w:line="18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Notes</w:t>
      </w:r>
      <w:r>
        <w:rPr>
          <w:rFonts w:ascii="Times New Roman" w:cs="Times New Roman" w:eastAsia="Times New Roman" w:hAnsi="Times New Roman"/>
          <w:sz w:val="18"/>
          <w:szCs w:val="18"/>
          <w:color w:val="auto"/>
        </w:rPr>
        <w:t>” means the certain loan notes issued by the Company to certain of the Holders pursuant to that certain loan note instrument constituting up to $49,892,080 secured convertible Loan Notes, originally dated December 16, 2021 as amended and restated on November 21, 2022 and May 24, 2023 , as further amended on December 18, 2023 and December 29, 2023 and as further amended and restated on 26 January 2024, as the same may be amended and/or amended and restated from time to time and as novated to the Company by the Original Company in connection with the Pre-Closing Demerger.</w:t>
      </w:r>
    </w:p>
    <w:p>
      <w:pPr>
        <w:spacing w:after="0" w:line="17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Promissory Loan Notes</w:t>
      </w:r>
      <w:r>
        <w:rPr>
          <w:rFonts w:ascii="Times New Roman" w:cs="Times New Roman" w:eastAsia="Times New Roman" w:hAnsi="Times New Roman"/>
          <w:sz w:val="18"/>
          <w:szCs w:val="18"/>
          <w:color w:val="auto"/>
        </w:rPr>
        <w:t>” means those certain convertible promissory notes issued on or around February 2, 2024 by the Company to certain of the Holders pursuant to subscription agreements dated on or around February 2, 2024 between the Original Company, the Company and each such Holder, as the same may be amended and/or amended and restated from time to time and as novated to the Company by the Original Company in connection with the Pre-Closing Demerger.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EBC</w:t>
      </w:r>
      <w:r>
        <w:rPr>
          <w:rFonts w:ascii="Times New Roman" w:cs="Times New Roman" w:eastAsia="Times New Roman" w:hAnsi="Times New Roman"/>
          <w:sz w:val="18"/>
          <w:szCs w:val="18"/>
          <w:color w:val="auto"/>
        </w:rPr>
        <w:t>” means EarlyBird Capital, Inc.</w:t>
      </w:r>
    </w:p>
    <w:p>
      <w:pPr>
        <w:spacing w:after="0" w:line="22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means, with respect to the initial Registration Statement filed hereunder, the 45th calendar day following the initial filing thereof, provided, however, in the event the Company is notified by the Commission that the Registration Statement will not be reviewed or is no longer subject to further review and comments, the Effectiveness Deadline as to such Registration Statement shall be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the date on which the Company is so notified if such date precedes the date required above.</w:t>
      </w:r>
    </w:p>
    <w:p>
      <w:pPr>
        <w:spacing w:after="0" w:line="19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(i) all shares of capital stock of the Company, (ii) all securities convertible into or exchangeable for shares of capital stock of the Company, and (iii) all options, warrants or other rights to purchase or otherwise acquire from the Company shares of such capital stock, or securities convertible into or exchangeable for shares of such capital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means, with respect to the initial Registration Statement required hereunder, the 21st calendar day following the date of the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F-1</w:t>
      </w:r>
      <w:r>
        <w:rPr>
          <w:rFonts w:ascii="Times New Roman" w:cs="Times New Roman" w:eastAsia="Times New Roman" w:hAnsi="Times New Roman"/>
          <w:sz w:val="18"/>
          <w:szCs w:val="18"/>
          <w:color w:val="auto"/>
        </w:rPr>
        <w:t>” shall mean a Registration Statement on Form F-1 or any comparable successor form or forms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F-3</w:t>
      </w:r>
      <w:r>
        <w:rPr>
          <w:rFonts w:ascii="Times New Roman" w:cs="Times New Roman" w:eastAsia="Times New Roman" w:hAnsi="Times New Roman"/>
          <w:sz w:val="18"/>
          <w:szCs w:val="18"/>
          <w:color w:val="auto"/>
        </w:rPr>
        <w:t>” shall mean a Registration Statement on Form F-3 or any comparable successor form or forms thereto.</w:t>
      </w:r>
    </w:p>
    <w:p>
      <w:pPr>
        <w:sectPr>
          <w:pgSz w:w="11900" w:h="16838" w:orient="portrait"/>
          <w:cols w:equalWidth="0" w:num="1">
            <w:col w:w="10960"/>
          </w:cols>
          <w:pgMar w:left="440" w:top="266" w:right="499" w:bottom="1440" w:gutter="0" w:footer="0" w:header="0"/>
        </w:sectPr>
      </w:pPr>
    </w:p>
    <w:bookmarkStart w:id="161" w:name="page162"/>
    <w:bookmarkEnd w:id="161"/>
    <w:p>
      <w:pPr>
        <w:ind w:right="4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collectively (i) the 5,087,500 Armada Shares held by Armada’s sponsor, officers and directors, and (ii) 162,500 Armada Shares held by EBC (the “</w:t>
      </w:r>
      <w:r>
        <w:rPr>
          <w:rFonts w:ascii="Times New Roman" w:cs="Times New Roman" w:eastAsia="Times New Roman" w:hAnsi="Times New Roman"/>
          <w:sz w:val="18"/>
          <w:szCs w:val="18"/>
          <w:b w:val="1"/>
          <w:bCs w:val="1"/>
          <w:color w:val="auto"/>
        </w:rPr>
        <w:t>EBC Shares</w:t>
      </w:r>
      <w:r>
        <w:rPr>
          <w:rFonts w:ascii="Times New Roman" w:cs="Times New Roman" w:eastAsia="Times New Roman" w:hAnsi="Times New Roman"/>
          <w:sz w:val="18"/>
          <w:szCs w:val="18"/>
          <w:color w:val="auto"/>
        </w:rPr>
        <w:t>”) that were issued prior to consummation of Armada’s initial public offering.</w:t>
      </w:r>
    </w:p>
    <w:p>
      <w:pPr>
        <w:spacing w:after="0" w:line="15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5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shall have the meaning given in the Preamble (and any Person to whom rights under this Agreement is assigned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Insider Letter</w:t>
      </w:r>
      <w:r>
        <w:rPr>
          <w:rFonts w:ascii="Times New Roman" w:cs="Times New Roman" w:eastAsia="Times New Roman" w:hAnsi="Times New Roman"/>
          <w:sz w:val="17"/>
          <w:szCs w:val="17"/>
          <w:color w:val="auto"/>
        </w:rPr>
        <w:t>” shall mean that certain letter agreement, dated as of August 12, 2021, by and among Armada, the Sponsor and the other parties thereto.</w:t>
      </w:r>
    </w:p>
    <w:p>
      <w:pPr>
        <w:spacing w:after="0" w:line="23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statute, law, ordinance, rule, treaty, code, directive, regulation, governmental approval (whether granted or required) or order, in each case, of any Governmental Authority.</w:t>
      </w:r>
    </w:p>
    <w:p>
      <w:pPr>
        <w:spacing w:after="0" w:line="1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shall mean the registration under Section 12(b) of the Exchange Act and the listing on The Nasdaq National Market LLC, the New York Stock Exchange or other national market upon the closing of the Business Combination.</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xml:space="preserve">” shall mean (i) any outstanding Ordinary Shares, (ii) any other Equity Security (including the Ordinary Shares issued or issuable upon the exercise of any other Equity Security) of the Company, in the case of (i) or (ii) as held by a Holder as of the Closing Date, whether or not such holding is directly as registered holder, or indirectly where the legal title is held by GTU Ops Inc, Cede &amp; Co or another depositary (including the Ordinary Shares issued by the Company pursuant to the Pre-Closing Demerger, the Company Reorganization, the Merger or otherwise pursuant to the Business Combination Agreement) and (iii) any Warrants and any Ordinary Shares issued upon exercise of any Warrants whether or not such holding of Warrants and Ordinary Shares is directly as registered holder, or indirectly where the legal title is held by GTU Ops Inc, Cede &amp; Co or another depositary and (iv) any Ordinary Shares and any other Equity Security transferred by the Sponsor as of or after the date hereof to a Holder (whether such transfer is of legal title, or of beneficial title where the legal title is held by GTU Ops Inc, Cede &amp; Co or another depositary)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(A) the Polar Shares, (B) a total of 1,650,000 Ordinary Shares held by Apeiron Investment Group Ltd as of the Closing Date, (C) a total of 1,650,000 Ordinary Shares held by Brad Wickens as of the Closing Date and (D) a total of 8,000,000 Ordinary Shares held by Brooks Newmark as of the Closing Date, and (E) any Company Public Shares and Company Public Warrants held by a Holder immediately upon Listing, shall not be “Lockup Securities”. For clarity, Lockup Securities include any warrants, Ordinary Shares or other securities of the Company issued to the Original Holders with respect to or in exchange for or in replacement of such Founder Shares, Private Shares and Working Capital Shares (if any) pursuant to the Merger, or otherwise pursuant to the Business Combination Agreement.</w:t>
      </w:r>
    </w:p>
    <w:p>
      <w:pPr>
        <w:spacing w:after="0" w:line="1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shall mean the Initial Lockup Period (as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as may expire earlier with respect to such portion of the 10% Lockup Shares in accordance with the terms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Shareholder</w:t>
      </w:r>
      <w:r>
        <w:rPr>
          <w:rFonts w:ascii="Times New Roman" w:cs="Times New Roman" w:eastAsia="Times New Roman" w:hAnsi="Times New Roman"/>
          <w:sz w:val="18"/>
          <w:szCs w:val="18"/>
          <w:color w:val="auto"/>
        </w:rPr>
        <w:t>” means any individual or entity that Beneficially Owns, as of the Closing Date, after giving effect to the consummation of the transactions contemplated by the Business Combination Agreement, 10% or more of the issued and outstanding Ordinary Shares.</w:t>
      </w:r>
    </w:p>
    <w:p>
      <w:pPr>
        <w:spacing w:after="0" w:line="15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shall mean the Company’s Memorandum and Articles of Association, effective as of the Closing Date, as may be amended or amended and restated.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(and in the case of any Prospectus and any preliminary Prospectus, in the light of the circumstances under which they were made) not misleading.</w:t>
      </w:r>
    </w:p>
    <w:p>
      <w:pPr>
        <w:sectPr>
          <w:pgSz w:w="11900" w:h="16838" w:orient="portrait"/>
          <w:cols w:equalWidth="0" w:num="1">
            <w:col w:w="11000"/>
          </w:cols>
          <w:pgMar w:left="440" w:top="266"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xml:space="preserve">” shall mean each Holder designated as a “New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 in Kind</w:t>
      </w:r>
      <w:r>
        <w:rPr>
          <w:rFonts w:ascii="Times New Roman" w:cs="Times New Roman" w:eastAsia="Times New Roman" w:hAnsi="Times New Roman"/>
          <w:sz w:val="18"/>
          <w:szCs w:val="18"/>
          <w:color w:val="auto"/>
        </w:rPr>
        <w:t>” shall mean a distribution by a Holder of all or substantially all the Ordinary Shares or Company Public Warrants (as applicable) held by such Holder or its Permitted Transferees to the holders of capital stock of such Holder.</w:t>
      </w:r>
    </w:p>
    <w:p>
      <w:pPr>
        <w:spacing w:after="0" w:line="1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with respect to a Holder, (a) any of its Affiliates or any related or controlled fund or sub-fund, partnership or investment vehicle or any general partner, managing limited partner or management company who holds or manages any business of, or whose business is held or managed by, that Holder or any of its Affiliates or (b) any other person with the prior written consent of the Company (not to be unreasonably withheld, delayed or conditioned). With respect to the Sponsor,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any Person to whom the Sponsor is required or permitted to transfer its Lockup Securities prior to the expiration of the applicable Lockup Period and/or under any other applicable Agreement between the Sponsor and Armada. With respect to a Holder that is an individual,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(x) as to any member of such Holder’s immediate family, or to a trust for the benefit of Holder or any member of Holder’s immediate family, the sole trustees of which are such Holder or any member of such Holder’s immediate family or (y) by will, other testamentary document, under the laws of intestacy or by virtue of laws of descent and distribution upon the death of Holder. In all cases, a Permitted Transferee, shall concurrently with any assignment, transfer or conveyance of Lockup Securities execute a counterpart to this Agreement or a joinder agreeing to become a party to this Agreement.</w:t>
      </w:r>
    </w:p>
    <w:p>
      <w:pPr>
        <w:spacing w:after="0" w:line="17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trust, incorporated organization, association, corporation, institution, public benefit corporation, Governmental Authority or any other entity.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Shares</w:t>
      </w:r>
      <w:r>
        <w:rPr>
          <w:rFonts w:ascii="Times New Roman" w:cs="Times New Roman" w:eastAsia="Times New Roman" w:hAnsi="Times New Roman"/>
          <w:sz w:val="18"/>
          <w:szCs w:val="18"/>
          <w:color w:val="auto"/>
        </w:rPr>
        <w:t>” means the 459,500 Armada Shares the Sponsor privately purchased simultaneously with the consummation of Armada’s initial public offering pursuant to the Private Placement Shares Purchase Agreement dated August 12, 2021 by and between Armada and the Sponsor.</w:t>
      </w:r>
    </w:p>
    <w:p>
      <w:pPr>
        <w:spacing w:after="0" w:line="15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Polar Shares</w:t>
      </w:r>
      <w:r>
        <w:rPr>
          <w:rFonts w:ascii="Times New Roman" w:cs="Times New Roman" w:eastAsia="Times New Roman" w:hAnsi="Times New Roman"/>
          <w:sz w:val="18"/>
          <w:szCs w:val="18"/>
          <w:color w:val="auto"/>
        </w:rPr>
        <w:t>” means the 880,000 Ordinary Shares issued in exchange for the 880,000 Armada Shares issued upon the closing of the Business Combination to the Polar Multi-Strategy Master Fund (“</w:t>
      </w:r>
      <w:r>
        <w:rPr>
          <w:rFonts w:ascii="Times New Roman" w:cs="Times New Roman" w:eastAsia="Times New Roman" w:hAnsi="Times New Roman"/>
          <w:sz w:val="18"/>
          <w:szCs w:val="18"/>
          <w:b w:val="1"/>
          <w:bCs w:val="1"/>
          <w:color w:val="auto"/>
        </w:rPr>
        <w:t>Polar</w:t>
      </w:r>
      <w:r>
        <w:rPr>
          <w:rFonts w:ascii="Times New Roman" w:cs="Times New Roman" w:eastAsia="Times New Roman" w:hAnsi="Times New Roman"/>
          <w:sz w:val="18"/>
          <w:szCs w:val="18"/>
          <w:color w:val="auto"/>
        </w:rPr>
        <w:t>”), pursuant to the terms and conditions of the Polar Subscription Agreement, dated effective of as December 12, 2023, by and among Armada, the Sponsor and Polar.</w:t>
      </w:r>
    </w:p>
    <w:p>
      <w:pPr>
        <w:spacing w:after="0" w:line="1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(i) any outstanding Ordinary Shares, and (ii) any other Equity Security (including the Ordinary Shares issued or issuable upon the exercise of any other Equity Security) of the Company held by a Holder as of the Closing Date (including the Ordinary Shares issued by the Company pursuant to the Pre-Closing Demerger, the Company Reorganization, the Merger, the Business Combination Agreement and/or the conversion of either the Convertible Loan Notes or the Convertible Promissory Notes and/or the repayment of the Advance</w:t>
      </w:r>
    </w:p>
    <w:p>
      <w:pPr>
        <w:sectPr>
          <w:pgSz w:w="11900" w:h="16838" w:orient="portrait"/>
          <w:cols w:equalWidth="0" w:num="1">
            <w:col w:w="10960"/>
          </w:cols>
          <w:pgMar w:left="440" w:top="266" w:right="499" w:bottom="1440" w:gutter="0" w:footer="0" w:header="0"/>
        </w:sectPr>
      </w:pPr>
    </w:p>
    <w:bookmarkStart w:id="163" w:name="page164"/>
    <w:bookmarkEnd w:id="163"/>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Subscription Agreement and/or the exercise of the Warrants). For clarity, Registrable Securities include any warrants, Ordinary Shares or other securities of the Company issued to the Original Holders with respect to or in exchange for or in replacement of such Founder Shares, Private Shares and Working Capital Shares (if any) pursuant to the Merger, or otherwise pursuant to the Business Combination Agreement.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w:t>
      </w:r>
    </w:p>
    <w:p>
      <w:pPr>
        <w:spacing w:after="0" w:line="1" w:lineRule="exact"/>
        <w:rPr>
          <w:sz w:val="20"/>
          <w:szCs w:val="20"/>
          <w:color w:val="auto"/>
        </w:rPr>
      </w:pPr>
    </w:p>
    <w:p>
      <w:pPr>
        <w:ind w:right="140" w:firstLine="2"/>
        <w:spacing w:after="0" w:line="253" w:lineRule="auto"/>
        <w:tabs>
          <w:tab w:leader="none" w:pos="2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shall have ceased to be outstanding or shall have been sold without registration pursuant to Section 4(a)(1) of the Securities Act or Rule 144 (or any successor rule promulgated thereafter by the Commission), (d) the Registrable Securities are freely saleable under Rule 144 under the Securities Act without manner of sale or volume limitations, or (e) the Registrable Securities shall have been sold to, or through, a broker, dealer or underwriter in a public distribution or other public securities transaction.</w:t>
      </w:r>
    </w:p>
    <w:p>
      <w:pPr>
        <w:spacing w:after="0" w:line="18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(including any Underwritten Offering), including the following:</w:t>
      </w:r>
    </w:p>
    <w:p>
      <w:pPr>
        <w:spacing w:after="0" w:line="121" w:lineRule="exact"/>
        <w:rPr>
          <w:sz w:val="20"/>
          <w:szCs w:val="20"/>
          <w:color w:val="auto"/>
        </w:rPr>
      </w:pPr>
    </w:p>
    <w:p>
      <w:pPr>
        <w:ind w:right="100" w:firstLine="2"/>
        <w:spacing w:after="0" w:line="281" w:lineRule="auto"/>
        <w:tabs>
          <w:tab w:leader="none" w:pos="29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listing fees of any securities exchange on which any Ordinary Shares are then listed;</w:t>
      </w:r>
    </w:p>
    <w:p>
      <w:pPr>
        <w:spacing w:after="0" w:line="162" w:lineRule="exact"/>
        <w:rPr>
          <w:rFonts w:ascii="Times New Roman" w:cs="Times New Roman" w:eastAsia="Times New Roman" w:hAnsi="Times New Roman"/>
          <w:sz w:val="18"/>
          <w:szCs w:val="18"/>
          <w:color w:val="auto"/>
        </w:rPr>
      </w:pPr>
    </w:p>
    <w:p>
      <w:pPr>
        <w:ind w:right="880" w:firstLine="2"/>
        <w:spacing w:after="0" w:line="281" w:lineRule="auto"/>
        <w:tabs>
          <w:tab w:leader="none" w:pos="2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62" w:lineRule="exact"/>
        <w:rPr>
          <w:rFonts w:ascii="Times New Roman" w:cs="Times New Roman" w:eastAsia="Times New Roman" w:hAnsi="Times New Roman"/>
          <w:sz w:val="18"/>
          <w:szCs w:val="18"/>
          <w:color w:val="auto"/>
        </w:rPr>
      </w:pPr>
    </w:p>
    <w:p>
      <w:pPr>
        <w:ind w:left="280" w:hanging="278"/>
        <w:spacing w:after="0"/>
        <w:tabs>
          <w:tab w:leader="none" w:pos="2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4"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w:t>
      </w:r>
    </w:p>
    <w:p>
      <w:pPr>
        <w:spacing w:after="0" w:line="224" w:lineRule="exact"/>
        <w:rPr>
          <w:rFonts w:ascii="Times New Roman" w:cs="Times New Roman" w:eastAsia="Times New Roman" w:hAnsi="Times New Roman"/>
          <w:sz w:val="18"/>
          <w:szCs w:val="18"/>
          <w:color w:val="auto"/>
        </w:rPr>
      </w:pPr>
    </w:p>
    <w:p>
      <w:pPr>
        <w:ind w:right="180" w:firstLine="2"/>
        <w:spacing w:after="0" w:line="281" w:lineRule="auto"/>
        <w:tabs>
          <w:tab w:leader="none" w:pos="27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all independent registered public accountants of the Company incurred specifically in connection with such Registration or Underwritten Offering;</w:t>
      </w:r>
    </w:p>
    <w:p>
      <w:pPr>
        <w:spacing w:after="0" w:line="162" w:lineRule="exact"/>
        <w:rPr>
          <w:rFonts w:ascii="Times New Roman" w:cs="Times New Roman" w:eastAsia="Times New Roman" w:hAnsi="Times New Roman"/>
          <w:sz w:val="18"/>
          <w:szCs w:val="18"/>
          <w:color w:val="auto"/>
        </w:rPr>
      </w:pPr>
    </w:p>
    <w:p>
      <w:pPr>
        <w:ind w:left="260" w:hanging="258"/>
        <w:spacing w:after="0"/>
        <w:tabs>
          <w:tab w:leader="none" w:pos="2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expenses with respect to any roadshow related to the Registration or Underwritten Offering; and</w:t>
      </w:r>
    </w:p>
    <w:p>
      <w:pPr>
        <w:spacing w:after="0" w:line="224"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the Company’s transfer agent.</w:t>
      </w:r>
    </w:p>
    <w:p>
      <w:pPr>
        <w:spacing w:after="0" w:line="225"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Notwithstanding the foregoing, under no circumstances shall the Company be obligated to pay any fees, discounts and/or commissions to any Underwriter or broker with respect to the Registrable Securities.</w:t>
      </w:r>
    </w:p>
    <w:p>
      <w:pPr>
        <w:spacing w:after="0" w:line="15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ectPr>
          <w:pgSz w:w="11900" w:h="16838" w:orient="portrait"/>
          <w:cols w:equalWidth="0" w:num="1">
            <w:col w:w="11000"/>
          </w:cols>
          <w:pgMar w:left="440" w:top="270"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Purchase</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Designee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Parties</w:t>
      </w:r>
      <w:r>
        <w:rPr>
          <w:rFonts w:ascii="Times New Roman" w:cs="Times New Roman" w:eastAsia="Times New Roman" w:hAnsi="Times New Roman"/>
          <w:sz w:val="18"/>
          <w:szCs w:val="18"/>
          <w:color w:val="auto"/>
        </w:rPr>
        <w:t xml:space="preserve">” shall mean the individuals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w:t>
      </w:r>
      <w:r>
        <w:rPr>
          <w:rFonts w:ascii="Times New Roman" w:cs="Times New Roman" w:eastAsia="Times New Roman" w:hAnsi="Times New Roman"/>
          <w:sz w:val="18"/>
          <w:szCs w:val="18"/>
          <w:color w:val="auto"/>
        </w:rPr>
        <w:t>” shall mean the Sponsor, any of its Permitted Transferees or any other Holder that has received Registrable Securities from the Sponsor or any of its Permitted Transferees pursuant to the Merger or through a Permitted Distribution in Kind.</w:t>
      </w:r>
    </w:p>
    <w:p>
      <w:pPr>
        <w:spacing w:after="0" w:line="15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shall mean the trading price of the Ordinary Shares reported on The Nasdaq Stock Market LLC, the New York Stock Exchange or other national stock exchange (or if not then reported on a national exchange, the average bid and ask price as reported on an over-the-counter bulletin board, “pink sheets” or other quotation service).</w:t>
      </w:r>
    </w:p>
    <w:p>
      <w:pPr>
        <w:spacing w:after="0" w:line="1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unlisted warrants issued by the Company to certain of the Holders pursuant to warrant instruments dated on or about the date of this agreement, as the same may be amended and/or amended and restated from time to time.</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Shares</w:t>
      </w:r>
      <w:r>
        <w:rPr>
          <w:rFonts w:ascii="Times New Roman" w:cs="Times New Roman" w:eastAsia="Times New Roman" w:hAnsi="Times New Roman"/>
          <w:sz w:val="18"/>
          <w:szCs w:val="18"/>
          <w:color w:val="auto"/>
        </w:rPr>
        <w:t>” means any Armada Shares held by the Sponsor or any of Armada’s officer, director or their respective affiliates which may be issued in payment of working capital loans made to Armada prior to the effective time of the Merger.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Registration Obligations</w:t>
      </w:r>
      <w:r>
        <w:rPr>
          <w:rFonts w:ascii="Times New Roman" w:cs="Times New Roman" w:eastAsia="Times New Roman" w:hAnsi="Times New Roman"/>
          <w:sz w:val="18"/>
          <w:szCs w:val="18"/>
          <w:color w:val="auto"/>
        </w:rPr>
        <w:t>. The Company’s registration obligations set forth in this Article II, including its obligations to file Registration Statements, obtain effectiveness of Registration Statements, and maintain the continuous effectiveness of any Registration Statement that has been declared effective shall begin on the date hereof and continue until the date on which the Holder has sold all of the Registrable Securities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Subject to the terms and conditions of this Agreement, the Company shall (i) as soon as practicable, but in no case later than the Filing Deadline, prepare and file with the Commission an initial Registration Statement on Form F-3 (or, if the Company is not then eligible, on Form F-1) or any successor form thereto or analogous registration statement form under the Securities Act covering the resale by the Holder of the maximum number of Registrable Securities as shall be permitted to be included thereon in accordance with applicable Commission rules, regulations and interpretations so as to permit the resale of such Registrable Securities by the Holder under Rule 415 at then prevailing market prices (and not fixed prices). The Registration Statement shall contain “Selling Shareholders” and “Plan of Distribution” sections (or similar captioned sections). The Company shall use its commercially reasonable best efforts to have the Registration Statement declared effective by the Commission as soon as practicable, but in no event later than the Effectiveness Deadline. By 9:30 am on the business day following the date of effectiveness, the Company shall file with the Commission in accordance with Rule 424 under the 1933 Act the final Prospectus to be used in connection with sales pursuant to such Registration Statement. Prior to the filing of the Registration Statement with the Commission, the Company shall furnish a draft of the Registration Statement to the Holder for their review and comment. The Holder shall furnish comments on the Registration Statement to the Company within 24 hours of the receipt thereof from the Company.</w:t>
      </w:r>
    </w:p>
    <w:p>
      <w:pPr>
        <w:sectPr>
          <w:pgSz w:w="11900" w:h="16838" w:orient="portrait"/>
          <w:cols w:equalWidth="0" w:num="1">
            <w:col w:w="10980"/>
          </w:cols>
          <w:pgMar w:left="440" w:top="265" w:right="479" w:bottom="1440" w:gutter="0" w:footer="0" w:header="0"/>
        </w:sectPr>
      </w:pPr>
    </w:p>
    <w:bookmarkStart w:id="165" w:name="page166"/>
    <w:bookmarkEnd w:id="165"/>
    <w:p>
      <w:pPr>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 </w:t>
      </w:r>
      <w:r>
        <w:rPr>
          <w:rFonts w:ascii="Times New Roman" w:cs="Times New Roman" w:eastAsia="Times New Roman" w:hAnsi="Times New Roman"/>
          <w:sz w:val="17"/>
          <w:szCs w:val="17"/>
          <w:b w:val="1"/>
          <w:bCs w:val="1"/>
          <w:color w:val="auto"/>
        </w:rPr>
        <w:t>Sufficient Number of Shares Registered</w:t>
      </w:r>
      <w:r>
        <w:rPr>
          <w:rFonts w:ascii="Times New Roman" w:cs="Times New Roman" w:eastAsia="Times New Roman" w:hAnsi="Times New Roman"/>
          <w:sz w:val="17"/>
          <w:szCs w:val="17"/>
          <w:color w:val="auto"/>
        </w:rPr>
        <w:t>. If at any time all Registrable Securities are not covered by a Registration Statement filed pursuant to Section 2.1.2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with respect to the date on which the Staff will permit such additional Registration Statement(s) to be filed with the Commission and the rules and regulations of the Commission). The Company shall use its commercially reasonable efforts to cause each such new Registration Statement to become effective as soon as reasonably practicable following the filling thereof with the Commission.</w:t>
      </w:r>
    </w:p>
    <w:p>
      <w:pPr>
        <w:spacing w:after="0" w:line="1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color w:val="auto"/>
        </w:rPr>
        <w:t>Amendments to Registration Statement(s).</w:t>
      </w:r>
      <w:r>
        <w:rPr>
          <w:rFonts w:ascii="Times New Roman" w:cs="Times New Roman" w:eastAsia="Times New Roman" w:hAnsi="Times New Roman"/>
          <w:sz w:val="18"/>
          <w:szCs w:val="18"/>
          <w:color w:val="auto"/>
        </w:rPr>
        <w:t xml:space="preserve"> During the Registration Period, the Company shall (i) promptly prepare and file with the Commission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Commission additional Registration Statements in order to register for resale under the Securities Act all of the Registrable Securities; (iii) cause the related Prospectus to be amended or supplemented by any required Prospectus supplement (subject to the terms of this Agreement), and as so supplemented or amended to be filed pursuant to Rule 424; (iv) respond as promptly as reasonably possible to any comments received from the Commission with respect to a Registration Statement or any amendment thereto and as promptly as reasonably possible provide the Holder true and complete copies of all correspondence from and to the Commission relating to a Registration Statement (provided that the Company may excise any information contained therein which would constitute material non-public information as to any Holder which has not executed a confidentiality agreement with the Company);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2.1.4) by reason of the Company’s filing a report on Form 20-F or Form 6-K or any analogous report under the Exchange Act, the Company shall incorporate such report by reference into the Registration Statement, if applicable, or shall file such amendments or supplements with the Commission on the same day on which the Exchange Act report is filed which created the requirement for the Company to amend or supplement the Registration Statement.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color w:val="auto"/>
        </w:rPr>
        <w:t>Reduction of Registrable Securities Included in a Registration Statement</w:t>
      </w:r>
      <w:r>
        <w:rPr>
          <w:rFonts w:ascii="Times New Roman" w:cs="Times New Roman" w:eastAsia="Times New Roman" w:hAnsi="Times New Roman"/>
          <w:sz w:val="18"/>
          <w:szCs w:val="18"/>
          <w:color w:val="auto"/>
        </w:rPr>
        <w:t>. Notwithstanding anything contained herein, in the event that the Commission requires the Company to reduce the number of Registrable Securities to be included in a Registration Statement in order to allow the Company to rely on Rule 415 with respect to a Registration Statement, then the Company shall reduce the number of Registrable Securities to be included in such Registration Statement (after consultation with the Holder as to the specific Registrable Securities to be removed therefrom) to the maximum number of securities as is permitted to be registered by the Commission. In the event of any reduction in Registrable Securities pursuant to this paragraph, the Company shall use its commercially reasonable efforts to file one or more New Registration Statements with the Commission in accordance with Section 2.3 until such time as all Registrable Securities have been included in Registration Statements that have been declared effective and the Prospectuses contained therein are available for use by the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If at any time and from time to time the Company proposes to file a Registration Statement under the Securities Act with respect to an offering of Equity Securities for its own account or for the account of shareholders of the Company, other than a Registration Statement</w:t>
      </w:r>
    </w:p>
    <w:p>
      <w:pPr>
        <w:ind w:firstLine="2"/>
        <w:spacing w:after="0" w:line="264" w:lineRule="auto"/>
        <w:tabs>
          <w:tab w:leader="none" w:pos="2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in connection with any employee share option or other benefit plan, (ii) for an exchange offer or offering of securities solely to the Company’s existing shareholders, (iii) for an offering of debt that is convertible into shares of capital stock of the Company, (iv) for a dividend reinvestment plan, or</w:t>
      </w:r>
    </w:p>
    <w:p>
      <w:pPr>
        <w:spacing w:after="0" w:line="1" w:lineRule="exact"/>
        <w:rPr>
          <w:rFonts w:ascii="Times New Roman" w:cs="Times New Roman" w:eastAsia="Times New Roman" w:hAnsi="Times New Roman"/>
          <w:sz w:val="17"/>
          <w:szCs w:val="17"/>
          <w:color w:val="auto"/>
        </w:rPr>
      </w:pPr>
    </w:p>
    <w:p>
      <w:pPr>
        <w:ind w:left="260" w:hanging="258"/>
        <w:spacing w:after="0"/>
        <w:tabs>
          <w:tab w:leader="none" w:pos="2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F-4 or S-4 (or any successor form thereto) in connection with a business</w:t>
      </w:r>
    </w:p>
    <w:p>
      <w:pPr>
        <w:sectPr>
          <w:pgSz w:w="11900" w:h="16838" w:orient="portrait"/>
          <w:cols w:equalWidth="0" w:num="1">
            <w:col w:w="10980"/>
          </w:cols>
          <w:pgMar w:left="440" w:top="266" w:right="479" w:bottom="1440" w:gutter="0" w:footer="0" w:header="0"/>
        </w:sectPr>
      </w:pPr>
    </w:p>
    <w:bookmarkStart w:id="166" w:name="page167"/>
    <w:bookmarkEnd w:id="16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then the Company shall give written notice of such proposed registration to all of the Holders of Registrable Securities as soon as practicable but no later than ten (10) days prior to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The Company shall, in good faith, cause such Registrable Securities to be included in such Piggyback Registration and shall use its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Ordinary Shares that the Company desires to sell, taken together with (x) the Ordinary Shares, if any, as to which Registration has been demanded pursuant to separate written contractual arrangements with Persons other than the Holders of Registrable Securities hereunder, (y)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(z) the Ordinary Shares, if any, as to which Registration has been requested pursuant to separate written contractual piggyback registration rights of other shareholders of the Company, exceeds the Maximum Number of Securities, then:</w:t>
      </w:r>
    </w:p>
    <w:p>
      <w:pPr>
        <w:spacing w:after="0" w:line="79" w:lineRule="exact"/>
        <w:rPr>
          <w:sz w:val="20"/>
          <w:szCs w:val="20"/>
          <w:color w:val="auto"/>
        </w:rPr>
      </w:pPr>
    </w:p>
    <w:p>
      <w:pPr>
        <w:jc w:val="both"/>
        <w:ind w:left="440" w:right="380" w:firstLine="425"/>
        <w:spacing w:after="0" w:line="276" w:lineRule="auto"/>
        <w:tabs>
          <w:tab w:leader="none" w:pos="1077"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Ordinary Shares or other Equity Securities that the Company desires to sell, which can be sold without exceeding the Maximum Number of Securities;</w:t>
      </w:r>
    </w:p>
    <w:p>
      <w:pPr>
        <w:ind w:left="440" w:right="100" w:firstLine="2"/>
        <w:spacing w:after="0" w:line="251" w:lineRule="auto"/>
        <w:tabs>
          <w:tab w:leader="none" w:pos="72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be included in such Piggyback Registration and the aggregate number of Registrable Securities that Holders have requested be included in such Piggyback Registration, which can be sold without exceeding the Maximum Number of Securities; and (C) third, to the extent that the Maximum Number of Securities has not been reached under the foregoing clauses (A) and (B), Ordinary Shares, if any, as to which Registration has been requested pursuant to written contractual piggyback registration rights of other shareholders of the Company, which can be sold without exceeding the Maximum Number of Securities; and</w:t>
      </w:r>
    </w:p>
    <w:p>
      <w:pPr>
        <w:spacing w:after="0" w:line="84" w:lineRule="exact"/>
        <w:rPr>
          <w:rFonts w:ascii="Times New Roman" w:cs="Times New Roman" w:eastAsia="Times New Roman" w:hAnsi="Times New Roman"/>
          <w:sz w:val="18"/>
          <w:szCs w:val="18"/>
          <w:color w:val="auto"/>
        </w:rPr>
      </w:pPr>
    </w:p>
    <w:p>
      <w:pPr>
        <w:ind w:left="440" w:firstLine="425"/>
        <w:spacing w:after="0" w:line="253" w:lineRule="auto"/>
        <w:tabs>
          <w:tab w:leader="none" w:pos="112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other than the Holders of Registrable Securities, then the Company shall include in any such Registration (A) first, Ordinary Shares or other Equity Securities, if any, of such requesting Persons,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pro rata, based on the respective number of Registrable Securities that each Holder has requested be included in such Piggyback Registration and the aggregate number of Registrable Securities that the Holders have requested be included in such Piggyback Registration, which can be sold without exceeding the Maximum Number of Securities; (C) third, to the extent that the Maximum Number of Securities has not been reached under the foregoing clauses (A) and (B), Ordinary Shares or other Equity Securities that the Company desires to sell, which can be sold without exceeding the Maximum Number of Securities; and (D) fourth, to the extent that the Maximum Number of Securities has not been reached under the foregoing clauses (A), (B) and (C), Ordinary Shares or other Equity Securities for the account of other Persons that the Company is obligated to register pursuant to separate written contractual arrangements with such Persons, which can be sold without exceeding the Maximum Number of Securities.</w:t>
      </w:r>
    </w:p>
    <w:p>
      <w:pPr>
        <w:sectPr>
          <w:pgSz w:w="11900" w:h="16838" w:orient="portrait"/>
          <w:cols w:equalWidth="0" w:num="1">
            <w:col w:w="10980"/>
          </w:cols>
          <w:pgMar w:left="440" w:top="270" w:right="479" w:bottom="1440" w:gutter="0" w:footer="0" w:header="0"/>
        </w:sectPr>
      </w:pPr>
    </w:p>
    <w:bookmarkStart w:id="167" w:name="page168"/>
    <w:bookmarkEnd w:id="16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2.2.3 </w:t>
      </w:r>
      <w:r>
        <w:rPr>
          <w:rFonts w:ascii="Times New Roman" w:cs="Times New Roman" w:eastAsia="Times New Roman" w:hAnsi="Times New Roman"/>
          <w:sz w:val="18"/>
          <w:szCs w:val="18"/>
          <w:u w:val="single" w:color="auto"/>
          <w:color w:val="auto"/>
        </w:rPr>
        <w:t>Piggyback Registration Withdrawal; Registration Expenses</w:t>
      </w:r>
      <w:r>
        <w:rPr>
          <w:rFonts w:ascii="Times New Roman" w:cs="Times New Roman" w:eastAsia="Times New Roman" w:hAnsi="Times New Roman"/>
          <w:sz w:val="18"/>
          <w:szCs w:val="18"/>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at least two (2) Business Days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solely be responsible for its Registration Expenses incurred in a Piggyback Registration and each Holder including Registrable Securities in the Piggyback Registration shall be solely responsible for its respective Registration Expenses incurred in connection with the Piggyback Registration.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For purposes of clarity, there shall be no limit on the number of Piggyback Registrations.</w:t>
      </w:r>
    </w:p>
    <w:p>
      <w:pPr>
        <w:spacing w:after="0" w:line="2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SEC Cutback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Notwithstanding the registration obligations set forth in this Article II ,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reasonable best efforts to file amendments to the applicable Registration Statement as required by the Commission and/or (ii) withdraw the Registration Statement and file a new registration statement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on Form F-3, or if Form F-3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Form F-3 or files a New Registration Statement, as the case may be, under clauses (i) or (ii) above, the Company will use its reasonable best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Form F-3, as amended, or the New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General Procedures</w:t>
      </w:r>
      <w:r>
        <w:rPr>
          <w:rFonts w:ascii="Times New Roman" w:cs="Times New Roman" w:eastAsia="Times New Roman" w:hAnsi="Times New Roman"/>
          <w:sz w:val="18"/>
          <w:szCs w:val="18"/>
          <w:color w:val="auto"/>
        </w:rPr>
        <w:t>. The Company shall use its reasonable best efforts to effect such Registration of Registrable Securities pursuant to this Agreement to permit the sale of such Registrable Securities in accordance with the intended plan of distribution thereof, and pursuant thereto the Company shall, as expeditiously as possible:</w:t>
      </w:r>
    </w:p>
    <w:p>
      <w:pPr>
        <w:spacing w:after="0" w:line="6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ectPr>
          <w:pgSz w:w="11900" w:h="16838" w:orient="portrait"/>
          <w:cols w:equalWidth="0" w:num="1">
            <w:col w:w="10980"/>
          </w:cols>
          <w:pgMar w:left="440" w:top="270" w:right="479" w:bottom="1440" w:gutter="0" w:footer="0" w:header="0"/>
        </w:sectPr>
      </w:pPr>
    </w:p>
    <w:bookmarkStart w:id="168" w:name="page169"/>
    <w:bookmarkEnd w:id="168"/>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(which may be satisfied by the issuance of a press release by the Company);</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 xml:space="preserve">3.1.10 permit Representatives of the Holders and the Underwriter(s), if any, to participate, at each such Person’s own expense, in the preparation of the Registration Statement, and cause the Company’s officers, directors and employees to supply all information reasonably requested by any such Representative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participating Holder(s) shall inform their Representatives and the Underwriter(s) of the confidential nature of the process;</w:t>
      </w:r>
    </w:p>
    <w:p>
      <w:pPr>
        <w:sectPr>
          <w:pgSz w:w="11900" w:h="16838" w:orient="portrait"/>
          <w:cols w:equalWidth="0" w:num="1">
            <w:col w:w="10980"/>
          </w:cols>
          <w:pgMar w:left="440" w:top="270" w:right="479" w:bottom="1440" w:gutter="0" w:footer="0" w:header="0"/>
        </w:sectPr>
      </w:pPr>
    </w:p>
    <w:bookmarkStart w:id="169" w:name="page170"/>
    <w:bookmarkEnd w:id="169"/>
    <w:p>
      <w:pPr>
        <w:ind w:right="6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3.1.11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3.1.12 in connection with an Underwritten Offering, cause its senior management, officers, employees and independent public accountants (in the case of the independent public accountants, subject to any applicable accounting guidance regarding their participation in the offering or the due diligence process) to participate in, make themselves available, supply such information as may reasonably be requested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3.1.13 if a Registration relates to an Underwritten Offering with gross proceeds in excess of $25,000,000, use its reasonable efforts to make available senior executives of the Company to participate in customary “road show” presentations that may be reasonably requested by the Underwriter(s) in any Underwritten Offering; and</w:t>
      </w:r>
    </w:p>
    <w:p>
      <w:pPr>
        <w:spacing w:after="0" w:line="177"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3.1.14 otherwise, in good faith, cooperate reasonably with, and take such customary actions as may reasonably be requested by the Holders, in connection with such Registration.</w:t>
      </w:r>
    </w:p>
    <w:p>
      <w:pPr>
        <w:spacing w:after="0" w:line="15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Registration Expense</w:t>
      </w:r>
      <w:r>
        <w:rPr>
          <w:rFonts w:ascii="Times New Roman" w:cs="Times New Roman" w:eastAsia="Times New Roman" w:hAnsi="Times New Roman"/>
          <w:sz w:val="18"/>
          <w:szCs w:val="18"/>
          <w:color w:val="auto"/>
        </w:rPr>
        <w:t>s. All Registration Expenses shall be borne by the Company. It is acknowledged by the Holders that the Holders shall pay the Underwriters’ commissions and discounts and, other than as set forth in the definition of “Registration Expenses,” all reasonable fees and expenses of any legal counsel representing the Holders.</w:t>
      </w:r>
    </w:p>
    <w:p>
      <w:pPr>
        <w:spacing w:after="0" w:line="17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b w:val="1"/>
          <w:bCs w:val="1"/>
          <w:color w:val="auto"/>
        </w:rPr>
        <w:t>Requirements for Participation in Underwritten Offerings.</w:t>
      </w:r>
      <w:r>
        <w:rPr>
          <w:rFonts w:ascii="Times New Roman" w:cs="Times New Roman" w:eastAsia="Times New Roman" w:hAnsi="Times New Roman"/>
          <w:sz w:val="17"/>
          <w:szCs w:val="17"/>
          <w:color w:val="auto"/>
        </w:rPr>
        <w:t xml:space="preserve"> No Person may participate in any Underwritten Offering for Equity Securities of the Company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color w:val="auto"/>
        </w:rPr>
        <w:t>Suspension of Sales; Adverse Disclosure</w:t>
      </w:r>
      <w:r>
        <w:rPr>
          <w:rFonts w:ascii="Times New Roman" w:cs="Times New Roman" w:eastAsia="Times New Roman" w:hAnsi="Times New Roman"/>
          <w:sz w:val="18"/>
          <w:szCs w:val="18"/>
          <w:color w:val="auto"/>
        </w:rPr>
        <w:t>. The Company shall promptly notify each of the Holders in writing if a Registration Statement or Prospectus contains a Misstatement and, upon receipt of such written 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(i) would require the Company to make an Adverse Disclosure or (ii) would require the inclusion in such Registration Statement of financial statements that are unavailable to the Company for reasons beyond the Company’s control, the Company shall have the right to defer the filing, initial effectiveness or continued use of any Registration Statement pursuant to (i) or (ii) for a period of not more than sixty</w:t>
      </w:r>
    </w:p>
    <w:p>
      <w:pPr>
        <w:ind w:right="140" w:firstLine="2"/>
        <w:spacing w:after="0" w:line="255" w:lineRule="auto"/>
        <w:tabs>
          <w:tab w:leader="none" w:pos="3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calendar days and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more than three times or for more than a total of one hundred twenty (120) calendar days (in each case counting deferrals initiated pursuant to (i) or (ii) in the aggregate) in any twelve (12) month period.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(unless such filings are otherwise available on EDGAR).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ectPr>
          <w:pgSz w:w="11900" w:h="16838" w:orient="portrait"/>
          <w:cols w:equalWidth="0" w:num="1">
            <w:col w:w="10980"/>
          </w:cols>
          <w:pgMar w:left="440" w:top="270" w:right="479" w:bottom="1440" w:gutter="0" w:footer="0" w:header="0"/>
        </w:sectPr>
      </w:pPr>
    </w:p>
    <w:bookmarkStart w:id="170" w:name="page171"/>
    <w:bookmarkEnd w:id="170"/>
    <w:p>
      <w:pPr>
        <w:ind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b w:val="1"/>
          <w:bCs w:val="1"/>
          <w:color w:val="auto"/>
        </w:rPr>
        <w:t>Limitations on Registration Rights</w:t>
      </w:r>
      <w:r>
        <w:rPr>
          <w:rFonts w:ascii="Times New Roman" w:cs="Times New Roman" w:eastAsia="Times New Roman" w:hAnsi="Times New Roman"/>
          <w:sz w:val="18"/>
          <w:szCs w:val="18"/>
          <w:color w:val="auto"/>
        </w:rPr>
        <w: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 Notwithstanding anything herein to the contrary, EBC may not exercise its rights under Section 2.2 hereunder after seven (7) years after the effective date of the registration statement relating to the Company’s initial public offering.</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4.1.1 The Company agrees to indemnify and hold harmless each Holder of Registrable Securities, its officers and directors and agents and each Person who controls such Holder (within the meaning of Section 15 of the Securities Act or Section 20 of the Exchange Act) against all expense, loss, judgment, claim, damage, liability or action (including attorneys’ fees)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to the extent such Loss is attributable to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for any legal and any other expenses reasonably incurred by such Holder entitled to indemnification hereunder in connection with investigating and defending any such expense, loss, judgment, claim, damage, liability or action whether or not any such person is a party to any such claim or action and including reasonable legal and other expenses incurred in giving testimony or furnishing documents in response to a subpoena or otherwise, except, in each case,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9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and any of its subsidiaries , and their respective directors, officers, employees, consultant, agents and professional advisers and each Person who controls (within the meaning of the Securities Act) the Company against any losses, claims, damages, liabilities and expenses (including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aggregate liability of each such Holder of Registrable Securities shall be in proportion to and limited to the net proceeds received by such Holder from the sale of Registrable Securities pursuant to the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w:t>
      </w:r>
    </w:p>
    <w:p>
      <w:pPr>
        <w:sectPr>
          <w:pgSz w:w="11900" w:h="16838" w:orient="portrait"/>
          <w:cols w:equalWidth="0" w:num="1">
            <w:col w:w="11000"/>
          </w:cols>
          <w:pgMar w:left="440" w:top="266" w:right="459" w:bottom="1440" w:gutter="0" w:footer="0" w:header="0"/>
        </w:sectPr>
      </w:pPr>
    </w:p>
    <w:bookmarkStart w:id="171" w:name="page172"/>
    <w:bookmarkEnd w:id="171"/>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to such party in the event the Company’s or such Holder’s indemnification is unavailable for any reason.</w:t>
      </w:r>
    </w:p>
    <w:p>
      <w:pPr>
        <w:spacing w:after="0" w:line="18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For the one hundred eighty (180) calendar day period after the Closing Date (the “</w:t>
      </w:r>
      <w:r>
        <w:rPr>
          <w:rFonts w:ascii="Times New Roman" w:cs="Times New Roman" w:eastAsia="Times New Roman" w:hAnsi="Times New Roman"/>
          <w:sz w:val="18"/>
          <w:szCs w:val="18"/>
          <w:b w:val="1"/>
          <w:bCs w:val="1"/>
          <w:color w:val="auto"/>
        </w:rPr>
        <w:t>Initial Lockup Period</w:t>
      </w:r>
      <w:r>
        <w:rPr>
          <w:rFonts w:ascii="Times New Roman" w:cs="Times New Roman" w:eastAsia="Times New Roman" w:hAnsi="Times New Roman"/>
          <w:sz w:val="18"/>
          <w:szCs w:val="18"/>
          <w:color w:val="auto"/>
        </w:rPr>
        <w:t>”), none of the Holders will:</w:t>
      </w:r>
    </w:p>
    <w:p>
      <w:pPr>
        <w:spacing w:after="0" w:line="5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5.1.1 sell, offer to sell, contract or agree to sell, hypothecate, pledge (except as collateral to any financing source in the ordinary course), grant any option to purchase or otherwise dispose of or agree to dispose of, directly or indirectly, or establish or increase a put equivalent position or liquidate or decrease a call equivalent position within the meaning of Section 16 of the Exchange Act, with respect to any Lockup Securities,</w:t>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5.1.2 enter into any swap or other arrangement that transfers to another, in whole or in part, any of the economic consequences of ownership of any of the Lockup Securities, in cash or otherwise, 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5.1.3 publicly announce any intention to effect any transaction specified in clause 5.1.1 or 5.1.2;</w:t>
      </w:r>
    </w:p>
    <w:p>
      <w:pPr>
        <w:sectPr>
          <w:pgSz w:w="11900" w:h="16838" w:orient="portrait"/>
          <w:cols w:equalWidth="0" w:num="1">
            <w:col w:w="11000"/>
          </w:cols>
          <w:pgMar w:left="440" w:top="270" w:right="459" w:bottom="1440" w:gutter="0" w:footer="0" w:header="0"/>
        </w:sectPr>
      </w:pPr>
    </w:p>
    <w:bookmarkStart w:id="172" w:name="page173"/>
    <w:bookmarkEnd w:id="17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the foregoing shall not prohibit the transfer of Lockup Securities to a Permitted Transferee, but only if such Permitted Transferee shall concurrently execute this Agreement or a joinder agreeing to become a party to this Agreement and except, that, with respect to ten percent (10%) of the Lockup Securities (the “</w:t>
      </w:r>
      <w:r>
        <w:rPr>
          <w:rFonts w:ascii="Times New Roman" w:cs="Times New Roman" w:eastAsia="Times New Roman" w:hAnsi="Times New Roman"/>
          <w:sz w:val="18"/>
          <w:szCs w:val="18"/>
          <w:b w:val="1"/>
          <w:bCs w:val="1"/>
          <w:color w:val="auto"/>
        </w:rPr>
        <w:t>10% Lockup Shares</w:t>
      </w:r>
      <w:r>
        <w:rPr>
          <w:rFonts w:ascii="Times New Roman" w:cs="Times New Roman" w:eastAsia="Times New Roman" w:hAnsi="Times New Roman"/>
          <w:sz w:val="18"/>
          <w:szCs w:val="18"/>
          <w:color w:val="auto"/>
        </w:rPr>
        <w:t>”),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9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Notwithstanding the foregoing, (i) the provisions of this Section 5.1 shall not apply to any Ordinary Shares issued pursuant to the conversion of the Convertible Loan Notes, the Convertible Promissory Loan Notes or pursuant to the Advance Subscription; and (ii) the Company (at its sole discretion) may consent to any Holder selling, transferring or disposing of any number of Lockup Securities from time to time during the Initial Lockup Period.</w:t>
      </w:r>
    </w:p>
    <w:p>
      <w:pPr>
        <w:spacing w:after="0" w:line="15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Notwithstanding anything to the contrary in this Section 5.1, the Initial Lockup Period for the Ordinary Shares (i) issued in exchange for the Private Shares shall be only for the 90 day period after the Closing Date (and not for the 180 day period after the Closing Date) or (ii) issued in exchange for the EBC Shares shall be only for the 30 day period after the Closing Date (and not for the 180 day period after the Closing Date).</w:t>
      </w:r>
    </w:p>
    <w:p>
      <w:pPr>
        <w:spacing w:after="0" w:line="17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contained herein to the contrary, each Holder shall, upon prior written notice to the Company, be permitted to pledge or hypothecate any or all of its Equity Securities, including, without limitation, all economic rights and privileges, all control rights, authority, and powers, and all status rights as a Holder, to any lender to the Holder or any Affiliate of the Holder, or to any agent acting on such lender’s behalf, and any transfer of such Equity Securities pursuant to any such lender’s (or agent’s) exercise of remedies in connection with any such pledge or hypothecation shall be permitted under this Agreement with no further action or approval required hereunder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prior to any transfer of Lockup Securities by the Holder, the lender (and any of its designee, nominee or agent that may be the transferee of such Lockup Securities) must make an election pursuant to this clause to become a Holder under this Agreement and any subsequent transferee of the lender (or its designee, nominee agent) shall also make such an election. Subject to the terms of the financing giving rise to any pledge or hypothecation of Equity Securities, the lender (or agent) shall have the right, to the extent set forth in the applicable pledge or hypothecation agreement, and without further approval of any Holder and without becoming a Holder (unless such lender (or agent) expressly elects in writing to become a Holder), to exercise the membership voting rights of the Holder granting such pledge or hypothecation. Notwithstanding anything contained herein to the contrary but without prejudice to the obligations of the lender (or its designee, nominee agent) or any of their subsequent transferees to make an election to become a Holder, and without complying with any other procedures set forth in this Agreement, upon the exercise of remedies in connection with a pledge or hypothecation, to the extent set forth in the applicable pledge or hypothecation agreement, (a) the lender (or agent) or transferee of such lender (or agent), as the case may be, shall, if it so elects, become a Holder under this Agreement and shall succeed to all of the rights and powers, including the right to participate in the management of the business and affairs of the Company (to the extent this Agreement provides such rights and powers), and shall be bound by all of the obligations (including for the avoidance of doubt, with respect to any Lockup Securities), of a Holder under this Agreement without taking any further action on the part of such lender (or agent) or transferee, as the case may be, and (b) following such exercise of remedies, the pledging Holder shall cease to be a Holder and shall have no further rights or powers under this Agreement. The lender (or agent) or transferee of such lender (or agent), as the case may be, shall from time to time provide the Company with such information, and execute such certificates as the Company shall reasonably request in order to render any notices, letters, certifications or opinion to the transfer agent and/or depositary of the Company, as applicable, in connection with the exercise of any remedies in connection with a pledge or hypothecation, to the extent set forth in the terms of the financing giving rise to any pledge or hypothecation of Equity Securities. The execution and delivery of this Agreement by a Holder shall constitute any necessary approval of such Holder under applicable law to the foregoing provisions of this Section 5.1.</w:t>
      </w:r>
    </w:p>
    <w:p>
      <w:pPr>
        <w:sectPr>
          <w:pgSz w:w="11900" w:h="16838" w:orient="portrait"/>
          <w:cols w:equalWidth="0" w:num="1">
            <w:col w:w="11000"/>
          </w:cols>
          <w:pgMar w:left="440" w:top="270" w:right="459" w:bottom="1440" w:gutter="0" w:footer="0" w:header="0"/>
        </w:sectPr>
      </w:pPr>
    </w:p>
    <w:bookmarkStart w:id="173" w:name="page174"/>
    <w:bookmarkEnd w:id="17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pledge or hypothecation of any Equity Securities is in effect, the Company shall not elect that its Equity Securities become governed by Article 8 of the Uniform Commercial Code as in effect in any relevant jurisdiction without the prior written consent of all pledgees of such Equity Securities or the delivery of any applicable control agreement necessary to perfect each such pledgee’s interests in the applicable Equity Securities. For clarification, the Company shall not be in breach or violation of foregoing provision by, and the foregoing provisions shall not limit or restrict the Company from, causing or agreeing to cause any legend in respect of UCC Article 8 requested to be imposed on any physical certificate evidencing depositary receipts issued in respect of Equity Securities.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Provided the relevant Holder provides prior written notice to the Company providing the identity and contact details of the pledgee and confirming the pledgee has a pledge over that Holder’s Equity Securities (“</w:t>
      </w:r>
      <w:r>
        <w:rPr>
          <w:rFonts w:ascii="Times New Roman" w:cs="Times New Roman" w:eastAsia="Times New Roman" w:hAnsi="Times New Roman"/>
          <w:sz w:val="18"/>
          <w:szCs w:val="18"/>
          <w:b w:val="1"/>
          <w:bCs w:val="1"/>
          <w:color w:val="auto"/>
        </w:rPr>
        <w:t>Notice of Pledge</w:t>
      </w:r>
      <w:r>
        <w:rPr>
          <w:rFonts w:ascii="Times New Roman" w:cs="Times New Roman" w:eastAsia="Times New Roman" w:hAnsi="Times New Roman"/>
          <w:sz w:val="18"/>
          <w:szCs w:val="18"/>
          <w:color w:val="auto"/>
        </w:rPr>
        <w:t>”), this Section 5.1 may not be amended or modified so long as any of the Equity Securities is subject to a pledge or hypothecation (as set out in the Notice of Pledge) without the pledgee’s (or the transferee of such pledgee’s) prior written consent. Each recipient of a pledge or hypothecation of the Equity Securities shall be a third party beneficiary of the provisions of this Section 5.1.</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color w:val="auto"/>
        </w:rPr>
        <w:t>Board Composition</w:t>
      </w:r>
      <w:r>
        <w:rPr>
          <w:rFonts w:ascii="Times New Roman" w:cs="Times New Roman" w:eastAsia="Times New Roman" w:hAnsi="Times New Roman"/>
          <w:sz w:val="18"/>
          <w:szCs w:val="18"/>
          <w:color w:val="auto"/>
        </w:rPr>
        <w:t>. The business and affairs of the Company shall be managed by or under the direction of its Board. The Shareholder Parties shall take all necessary and desirable actions within their control such that (i) the size of the Board shall initially be set at ten (10) members but shall be reduced to nine (9) in the event that the Aggregate Transaction Proceeds (as defined in the Business Combination Agreement) are equal to or in excess of $150m, and thereafter may be changed from time to time by resolution of the Board in accordance with the Memorandum and Articles of Association and (ii) while the size of the Board is nine (9) or ten (10) members, at least five (5) of those members shall satisfy the independence criteria of the applicable national exchange on which the Ordinary Shares are then listed.</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b w:val="1"/>
          <w:bCs w:val="1"/>
          <w:color w:val="auto"/>
        </w:rPr>
        <w:t>Staggered Board</w:t>
      </w:r>
      <w:r>
        <w:rPr>
          <w:rFonts w:ascii="Times New Roman" w:cs="Times New Roman" w:eastAsia="Times New Roman" w:hAnsi="Times New Roman"/>
          <w:sz w:val="18"/>
          <w:szCs w:val="18"/>
          <w:color w:val="auto"/>
        </w:rPr>
        <w:t>. The Memorandum and Articles of Association of the Company shall provide that the Company shall have a classified Board, with three classes of directors. While the size of the Board is ten (10) members, three Directors shall be in Class I, three Directors in Class II and four Directors in Class III (or if the Board size reduces to nine (9) then there shall be three Directors in Class III). One Class of Directors will be elected each year. The term of office of the Class I Directors will expire at the Company’s first annual meeting of shareholders following the Closing Date. The term of office of the Class II Directors will expire at the Company’s second annual meeting of shareholders following the Closing Date. The term of office of the Class III Directors will expire at the Company’s third annual meeting of shareholders following the Closing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NOMINATION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color w:val="auto"/>
        </w:rPr>
        <w:t>Right to Nominate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7.1.1 After the date hereof, the Company and the Shareholder Parties shall take all necessary and desirable actions within their control to cause the nominating committee of the Board (the “</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to nominate and recommend to the Board, including self-nominations, the following individuals for election to the Board as directors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240" w:hanging="238"/>
        <w:spacing w:after="0"/>
        <w:tabs>
          <w:tab w:leader="none" w:pos="2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Dan Wagner together with his Affiliates, Beneficially Owns any of the issued and outstanding Ordinary Shares of the Company, seven</w:t>
      </w:r>
    </w:p>
    <w:p>
      <w:pPr>
        <w:spacing w:after="0" w:line="27" w:lineRule="exact"/>
        <w:rPr>
          <w:rFonts w:ascii="Times New Roman" w:cs="Times New Roman" w:eastAsia="Times New Roman" w:hAnsi="Times New Roman"/>
          <w:sz w:val="18"/>
          <w:szCs w:val="18"/>
          <w:color w:val="auto"/>
        </w:rPr>
      </w:pPr>
    </w:p>
    <w:p>
      <w:pPr>
        <w:ind w:right="1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 individuals nominated by Dan Wagner who will initially be: Dan Wagner, Anthony Sharp, Sir David Wright, Dr. Steve Perry, John Wagner, Derek Smith and one other director to be nominated by Dan Wagner at his discretion from time to time. In the event that the size of the Board reduces to nine</w:t>
      </w:r>
    </w:p>
    <w:p>
      <w:pPr>
        <w:spacing w:after="0" w:line="1" w:lineRule="exact"/>
        <w:rPr>
          <w:rFonts w:ascii="Times New Roman" w:cs="Times New Roman" w:eastAsia="Times New Roman" w:hAnsi="Times New Roman"/>
          <w:sz w:val="18"/>
          <w:szCs w:val="18"/>
          <w:color w:val="auto"/>
        </w:rPr>
      </w:pPr>
    </w:p>
    <w:p>
      <w:pPr>
        <w:ind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members in accordance with section 6.1 then the number of nominated individuals under this section 7.1.1(a) shall be six (6) individuals and John Wagner shall no longer be a nominated individual;</w:t>
      </w:r>
    </w:p>
    <w:p>
      <w:pPr>
        <w:spacing w:after="0" w:line="180" w:lineRule="exact"/>
        <w:rPr>
          <w:rFonts w:ascii="Times New Roman" w:cs="Times New Roman" w:eastAsia="Times New Roman" w:hAnsi="Times New Roman"/>
          <w:sz w:val="18"/>
          <w:szCs w:val="18"/>
          <w:color w:val="auto"/>
        </w:rPr>
      </w:pPr>
    </w:p>
    <w:p>
      <w:pPr>
        <w:ind w:firstLine="2"/>
        <w:spacing w:after="0" w:line="265" w:lineRule="auto"/>
        <w:tabs>
          <w:tab w:leader="none" w:pos="2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date hereof and for so long as Sponsor Group Beneficially Owns any of the issued and outstanding Ordinary Shares of the Company, two (2) individuals designated in writing by the Sponsor (or the Sponsor’s designated representative), at least one of whom shall satisfy the independence criteria of the applicable national exchange on which the Ordinary Shares are then listed; and</w:t>
      </w:r>
    </w:p>
    <w:p>
      <w:pPr>
        <w:sectPr>
          <w:pgSz w:w="11900" w:h="16838" w:orient="portrait"/>
          <w:cols w:equalWidth="0" w:num="1">
            <w:col w:w="11000"/>
          </w:cols>
          <w:pgMar w:left="440" w:top="270" w:right="459" w:bottom="1440" w:gutter="0" w:footer="0" w:header="0"/>
        </w:sectPr>
      </w:pPr>
    </w:p>
    <w:bookmarkStart w:id="174" w:name="page175"/>
    <w:bookmarkEnd w:id="174"/>
    <w:p>
      <w:pPr>
        <w:ind w:right="40" w:firstLine="2"/>
        <w:spacing w:after="0" w:line="265" w:lineRule="auto"/>
        <w:tabs>
          <w:tab w:leader="none" w:pos="2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so long as the Sponsor Group has nomination rights pursuant to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one director to be mutually determined by the Nominating Committee and the Sponsor (or the Sponsor’s designated representative), who shall satisfy the independence criteria of the applicable national exchange on which the Ordinary Shares are then listed.</w:t>
      </w:r>
    </w:p>
    <w:p>
      <w:pPr>
        <w:spacing w:after="0" w:line="17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7.1.2 The Memorandum and Articles of Association shall (to the extent permitted by applicable Law) provide that Directors may designate alternate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 Directors are subject to removal pursuant to the applicable provisions of the Memorandum and Articles of Association.</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7.1.4 During the Sponsor’s Board Seat Period, in the event that (i) a vacancy is created at any time by the death, retirement, disability, removal or resignation of any of the members nominated by the Sponsor (the “</w:t>
      </w:r>
      <w:r>
        <w:rPr>
          <w:rFonts w:ascii="Times New Roman" w:cs="Times New Roman" w:eastAsia="Times New Roman" w:hAnsi="Times New Roman"/>
          <w:sz w:val="18"/>
          <w:szCs w:val="18"/>
          <w:b w:val="1"/>
          <w:bCs w:val="1"/>
          <w:color w:val="auto"/>
        </w:rPr>
        <w:t>Shareholder Designees</w:t>
      </w:r>
      <w:r>
        <w:rPr>
          <w:rFonts w:ascii="Times New Roman" w:cs="Times New Roman" w:eastAsia="Times New Roman" w:hAnsi="Times New Roman"/>
          <w:sz w:val="18"/>
          <w:szCs w:val="18"/>
          <w:color w:val="auto"/>
        </w:rPr>
        <w:t xml:space="preserve">”) or (ii) a Shareholder Designee fails to be elected to the Board at any annual or special meeting of the shareholders of the Company at which such Shareholder Designee stood for election but was nevertheless not elected, the remaining directors and the Company shall cause such open seat to be filled by a new member designated in writing by the Shareholder Party that designated such Shareholder Designee, as soon as possible, and the Company and the Shareholder Parties hereby agree to take all necessary and desirable actions within their control to accomplish the same. The Sponsor shall have the right to propose to remove their respective Shareholder Designee and designate another Shareholder Designee in his or her place, provided that the Board shall be notified in advance with regard to the identity of the replacement Shareholder Designee. If the Sponsor (or the Sponsor’s designated representative), during its Board Seat Period, wishes to remove its Shareholder Designee and designate another Shareholder Designee in his or her place pursuant to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 xml:space="preserve">, the Company and the Shareholder Parties shall take all necessary and desirable actions within their control, upon written notice from the Sponsor, as applicable, to the Company, to fill the vacancy resulting from such removal with such replacement Shareholder Designee in accordance with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7.1.5 The Company agrees to include, in the slate of nominees recommended by the Board for election at any meeting of shareholders called for the purpose of electing directors, the Persons nominated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the extent that directors of such nominee’s class are to be elected at such meeting, for so long as the Board is classified) and to nominate and recommend each such individual to be elected as a director as provided herein, and to solicit proxies or consents in favor thereof and to cause the applicable proxies to vote in accordance with the foregoing. The Company shall use its commercially reasonable efforts to support the election of the Shareholder Designees and, in any event, not less than the efforts used by the Company to obtain the election of any other nominee nominated by it to serve on the Board. The Company and the Shareholder Parties shall take all necessary and desirable actions within their control to enable the Shareholder Parties to nominate their respective Shareholder Designees.</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7.1.6 Each member of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Directors and provide them with director and officer insurance to the same extent it indemnifies, exculpates, reimburses and provides insurance for the other members of the Board pursuant to the Memorandum and Articles of Association of the Company, Law or otherwise. The Company acknowledges and agrees that it (i) is the indemnitor of first resort (i.e., its and its insurers’ obligations to advance expenses and to indemnify any Shareholder Designee are primary and any obligation of any Shareholder Party, their Affiliates or their insurers to advance fees and expenses or to provide indemnification for the same fees and expenses or liabilities incurred by any Shareholder Designee is secondary and excess), and (ii) shall be required to advance the amount of fees and expenses incurred by any Shareholder Designee and shall be liable for the amount of all fees, expenses and liabilities incurred by any such Shareholder Designee, in each case (a) to the same extent as it advances fees and expenses to other members of the Board pursuant to the Memorandum and Articles of Association, Law or otherwise, and (b) without regard to any rights such a Shareholder Designee may have against his or her designating Shareholder Party or any of its Affiliates; provided that such Shareholder Designee shall have delivered to the Company an undertaking, by or on behalf of such Shareholder Designee, to repay all amounts so advanced if it shall ultimately be determined by final judicial decision of a court of competent jurisdiction from which there is no further right to appeal that such Shareholder Designee is not entitled to be indemnified for such expenses.</w:t>
      </w:r>
    </w:p>
    <w:p>
      <w:pPr>
        <w:sectPr>
          <w:pgSz w:w="11900" w:h="16838" w:orient="portrait"/>
          <w:cols w:equalWidth="0" w:num="1">
            <w:col w:w="10980"/>
          </w:cols>
          <w:pgMar w:left="440" w:top="270"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Times New Roman" w:cs="Times New Roman" w:eastAsia="Times New Roman" w:hAnsi="Times New Roman"/>
          <w:sz w:val="18"/>
          <w:szCs w:val="18"/>
          <w:b w:val="1"/>
          <w:bCs w:val="1"/>
          <w:color w:val="auto"/>
        </w:rPr>
        <w:t>Outside Activities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7.2.1 To the fullest extent permitted by applicable Law, (i) no Holder, in such capacity, or any Affiliates of such Holder in such capacity (collectively, the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shall have any fiduciary duty to refrain from engaging directly or indirectly in other business ventures of every type and description, including those engaged in the same or similar business activities or lines of business as the Company or its subsidiaries or deemed to be competing with the Company or any of its subsidiaries, on its own account, or in partnership with, or as an employee, officer, director or shareholder of any other person, with no obligation to offer to the Company or any of its subsidiaries the right to participate therein and (ii) any Relevant Person may invest in, or provide services to, any Person that directly or indirectly competes with the Company or any of its subsidiaries. To the fullest extent permitted by Law, the Company renounces any interest or expectancy of the Company in, or in being offered an opportunity to participate in, any potential transaction or matter which may be a corporate opportunity for any Relevant Person, on the one hand, and the Company or any of its subsidiaries, on the other. To the fullest extent permitted by Law, the Relevant Persons shall have no fiduciary duty to communicate or offer any such corporate opportunity to the Company or any of its subsidiaries and shall not be liable to the Company or any of its subsidiaries or shareholders for breach of any fiduciary duty as a shareholder, Director, officer or shareholder, as applicable, solely by reason of the fact that such Relevant Person, directly or indirectly, pursues or acquires such corporate opportunity for itself, himself or herself, directs such corporate opportunity to another person, or does not communicate information regarding such corporate opportunity to the Company or any of its subsidiaries.</w:t>
      </w:r>
    </w:p>
    <w:p>
      <w:pPr>
        <w:spacing w:after="0" w:line="19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7.2.2 The Company hereby renounces any interest or expectancy of the Company or any of its subsidiaries in, or in being offered an opportunity to participate in, any potential transaction or matter which may be a corporate opportunity of any Relevant Person.</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7.2.3 To the extent a court might hold that the conduct of any activity related to a corporate opportunity that is renounced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a breach of fiduciary duty to the Company (including any of its subsidiaries) or its shareholders, the Company, on behalf of itself and each of its subsidiaries, hereby waives, to the fullest extent permitted by Law, any and all claims and causes of action that the Company or any of its subsidiaries may have for such activities. To the fullest extent permitted by Law,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apply equally to activities conducted in the future and that have been conducted in the past.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AND ANNOUNCEMENTS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Each Holder hereby agrees that all Confidential Information with respect to the Company shall be kept confidential by it and shall not be disclosed by it in any manner whatsoever, except as permitted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other confidentiality obligations to which any Holder may be subject,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apply to any Holder who is an employee or officer of the Company. Notwithstanding anything contained in this Agreement or any additional confidentiality obligations to the Company or its or any Holder or Shareholder Designee may be bound, Confidential Information received by each Holder or Shareholder Designee may be disclosed:</w:t>
      </w:r>
    </w:p>
    <w:p>
      <w:pPr>
        <w:spacing w:after="0" w:line="74" w:lineRule="exact"/>
        <w:rPr>
          <w:sz w:val="20"/>
          <w:szCs w:val="20"/>
          <w:color w:val="auto"/>
        </w:rPr>
      </w:pPr>
    </w:p>
    <w:p>
      <w:pPr>
        <w:ind w:left="240" w:hanging="238"/>
        <w:spacing w:after="0"/>
        <w:tabs>
          <w:tab w:leader="none" w:pos="2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Shareholder Designee, to such Shareholder Designee’s designating Shareholder Party and its Representatives;</w:t>
      </w:r>
    </w:p>
    <w:p>
      <w:pPr>
        <w:spacing w:after="0" w:line="224" w:lineRule="exact"/>
        <w:rPr>
          <w:rFonts w:ascii="Times New Roman" w:cs="Times New Roman" w:eastAsia="Times New Roman" w:hAnsi="Times New Roman"/>
          <w:sz w:val="18"/>
          <w:szCs w:val="18"/>
          <w:color w:val="auto"/>
        </w:rPr>
      </w:pPr>
    </w:p>
    <w:p>
      <w:pPr>
        <w:ind w:firstLine="2"/>
        <w:spacing w:after="0" w:line="260" w:lineRule="auto"/>
        <w:tabs>
          <w:tab w:leader="none" w:pos="2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to its Affiliates or its or their respective directors, officers, employees and authorized representatives (including attorneys, accountants, consultants, bankers and financial advisors) (such Persons, collectively, with respect to any Person, such Person’s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provided such Representatives owe a contractual or other duty of confidentiality to such Shareholder Party or any of its Affiliates with respect to any Confidential Information so disclosed;</w:t>
      </w:r>
    </w:p>
    <w:p>
      <w:pPr>
        <w:sectPr>
          <w:pgSz w:w="11900" w:h="16838" w:orient="portrait"/>
          <w:cols w:equalWidth="0" w:num="1">
            <w:col w:w="11000"/>
          </w:cols>
          <w:pgMar w:left="440" w:top="266" w:right="459" w:bottom="1440" w:gutter="0" w:footer="0" w:header="0"/>
        </w:sectPr>
      </w:pPr>
    </w:p>
    <w:bookmarkStart w:id="176" w:name="page177"/>
    <w:bookmarkEnd w:id="176"/>
    <w:p>
      <w:pPr>
        <w:ind w:left="240" w:hanging="238"/>
        <w:spacing w:after="0"/>
        <w:tabs>
          <w:tab w:leader="none" w:pos="2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each Shareholder Designee, Holder and each of its Representatives, to the extent the Company consents in writing; and</w:t>
      </w:r>
    </w:p>
    <w:p>
      <w:pPr>
        <w:spacing w:after="0" w:line="224" w:lineRule="exact"/>
        <w:rPr>
          <w:rFonts w:ascii="Times New Roman" w:cs="Times New Roman" w:eastAsia="Times New Roman" w:hAnsi="Times New Roman"/>
          <w:sz w:val="18"/>
          <w:szCs w:val="18"/>
          <w:color w:val="auto"/>
        </w:rPr>
      </w:pPr>
    </w:p>
    <w:p>
      <w:pPr>
        <w:ind w:firstLine="2"/>
        <w:spacing w:after="0" w:line="265" w:lineRule="auto"/>
        <w:tabs>
          <w:tab w:leader="none" w:pos="2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Law or the rules of any stock exchange upon which such Holder’s or any of its Affiliates’ securities are listed or traded or as requested or required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a disclosure, such Person has, to the extent practicable and permitted by Law, consulted with the Company regarding the scope, timing and contents of such disclosure.</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Prior to making any public announcement of information which the Company reasonably believes, prior to its public disclosure, may constitute material non-public information or inside information with respect to any Holder that has securities listed or traded on any stock exchange, the Company shall use commercially reasonable efforts to consult with such Holder regarding the scope, timing and contents of such announcement and, if reasonably requested by such Holder in writing, to the extent permitted by Law, cooperate with such Holder in the reasonable coordination of such announcement, in each case so as to permit such Holder to comply with its obligations under applicable securities Laws and rules of such stock exchange with respect to dissemination of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with respect to a Holder upon the date on which (i) neither such Holder nor any of its permitted assignees (or any member of the Sponsor Group, with respect to the Sponsor) hold any Registrable Securities and (ii) such Holder holds no director nomination rights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survive any such termination with respect to any Holder.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 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Taylor Wessing LLP - 5 New Street Square, London EC4A 3TW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ectPr>
          <w:pgSz w:w="11900" w:h="16838" w:orient="portrait"/>
          <w:cols w:equalWidth="0" w:num="1">
            <w:col w:w="10980"/>
          </w:cols>
          <w:pgMar w:left="440" w:top="270" w:right="479" w:bottom="1440" w:gutter="0" w:footer="0" w:header="0"/>
        </w:sectPr>
      </w:pPr>
    </w:p>
    <w:bookmarkStart w:id="177" w:name="page178"/>
    <w:bookmarkEnd w:id="177"/>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If the Company shall have filed a registration statement pursuant to the requirements of Section 12 of the Exchange Act or a registration statement pursuant to the requirements of the Securities Act in respect of the Ordinary Shares,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under the Securities Act, as such Rule may be amended (“Rule 144”)) or, if the Company is not required to file such reports, it will, upon the request of any Holder, make publicly available other information so long as necessary to permit sales by such Holder under Rule 144 or any similar rules or regulations hereafter adopted by the Commission,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or (B) any similar rule or regulation hereafter adopted by the Commission. Upon the request of any Holder of Registrable Securities, the Company will deliver to such Holder a written statement as to whether it has complied with such requirements.</w:t>
      </w:r>
    </w:p>
    <w:p>
      <w:pPr>
        <w:spacing w:after="0" w:line="183"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b w:val="1"/>
          <w:bCs w:val="1"/>
          <w:color w:val="auto"/>
        </w:rPr>
        <w:t>Assignment; No Third-Party Beneficiary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10.5.1 This Agreement and the rights, duties and obligations of the Company hereunder may not be assigned or delegated by the Company in whole or in part.</w:t>
      </w:r>
    </w:p>
    <w:p>
      <w:pPr>
        <w:spacing w:after="0" w:line="16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10.5.2 Prior to the expiration of the Lockup Period, no Holder may assign or delegate such Holder’s rights, duties or obligations under this Agreement, in whole or in part, except in connection with a transfer of Registrable Securities by such Holder to a Permitted Transferee (subject to </w:t>
      </w:r>
      <w:r>
        <w:rPr>
          <w:rFonts w:ascii="Times New Roman" w:cs="Times New Roman" w:eastAsia="Times New Roman" w:hAnsi="Times New Roman"/>
          <w:sz w:val="17"/>
          <w:szCs w:val="17"/>
          <w:u w:val="single" w:color="auto"/>
          <w:color w:val="auto"/>
        </w:rPr>
        <w:t>subsection 10.5.4</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both"/>
        <w:ind w:right="340"/>
        <w:spacing w:after="0" w:line="281" w:lineRule="auto"/>
        <w:rPr>
          <w:sz w:val="20"/>
          <w:szCs w:val="20"/>
          <w:color w:val="auto"/>
        </w:rPr>
      </w:pPr>
      <w:r>
        <w:rPr>
          <w:rFonts w:ascii="Times New Roman" w:cs="Times New Roman" w:eastAsia="Times New Roman" w:hAnsi="Times New Roman"/>
          <w:sz w:val="18"/>
          <w:szCs w:val="18"/>
          <w:color w:val="auto"/>
        </w:rPr>
        <w:t xml:space="preserve">10.5.3 This Agreement and the provisions hereof shall be binding upon and shall inure to the benefit of each of the parties and its successors and the permitted assigns of the Holders, which shall include Permitted Transferees, except as provided in </w:t>
      </w:r>
      <w:r>
        <w:rPr>
          <w:rFonts w:ascii="Times New Roman" w:cs="Times New Roman" w:eastAsia="Times New Roman" w:hAnsi="Times New Roman"/>
          <w:sz w:val="18"/>
          <w:szCs w:val="18"/>
          <w:u w:val="single" w:color="auto"/>
          <w:color w:val="auto"/>
        </w:rPr>
        <w:t>subsection 10.5.4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10.5.4 Notwithstanding the foregoing, no Holder may assign its rights under Article VII and Article X (except that the Sponsor may assign its rights under such Articles to its members in connection with the transfer of substantially all the Ordinary Shares held by the Sponsor to such member or in connection with a Permitted Distribution in Kind of substantially all the Ordinary Shares held by the Sponsor).</w:t>
      </w:r>
    </w:p>
    <w:p>
      <w:pPr>
        <w:spacing w:after="0" w:line="177"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 xml:space="preserve">10.5.5 This Agreement shall not confer any rights or benefits on any Persons that are not parties hereto, other than as expressly set forth in this Agreement and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 xml:space="preserve">10.5.6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null and void.</w:t>
      </w:r>
    </w:p>
    <w:p>
      <w:pPr>
        <w:sectPr>
          <w:pgSz w:w="11900" w:h="16838" w:orient="portrait"/>
          <w:cols w:equalWidth="0" w:num="1">
            <w:col w:w="11000"/>
          </w:cols>
          <w:pgMar w:left="440" w:top="266" w:right="459" w:bottom="1440" w:gutter="0" w:footer="0" w:header="0"/>
        </w:sectPr>
      </w:pPr>
    </w:p>
    <w:bookmarkStart w:id="178" w:name="page179"/>
    <w:bookmarkEnd w:id="178"/>
    <w:p>
      <w:pPr>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contained in this Agreement, each Shareholder Designee shall be an express third-party beneficiary of </w:t>
      </w:r>
      <w:r>
        <w:rPr>
          <w:rFonts w:ascii="Times New Roman" w:cs="Times New Roman" w:eastAsia="Times New Roman" w:hAnsi="Times New Roman"/>
          <w:sz w:val="18"/>
          <w:szCs w:val="18"/>
          <w:u w:val="single" w:color="auto"/>
          <w:color w:val="auto"/>
        </w:rPr>
        <w:t>subsection 7.1.6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applicable to contracts executed in and to be performed in that State (and, in respect of the fiduciary duties of the members of the board of directors of the Company, the Companies Law (2020 Revision) of the Cayman Islands). 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(i) irrevocably submit to the exclusive jurisdiction of the aforesaid courts for themselves and with respect to their respective properties for the purpose of any action arising out of or relating to this Agreement brought by any party hereto, and (ii)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(1) the action in any such court is brought in an inconvenient forum, (ii) the venue of such action is improper or (2) this Agreement, or the subject matter hereof, may not be enforced in or by such courts.</w:t>
      </w:r>
    </w:p>
    <w:p>
      <w:pPr>
        <w:spacing w:after="0" w:line="19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b w:val="1"/>
          <w:bCs w:val="1"/>
          <w:color w:val="auto"/>
        </w:rPr>
        <w:t>Waiver of Jury Trial.</w:t>
      </w:r>
      <w:r>
        <w:rPr>
          <w:rFonts w:ascii="Times New Roman" w:cs="Times New Roman" w:eastAsia="Times New Roman" w:hAnsi="Times New Roman"/>
          <w:sz w:val="17"/>
          <w:szCs w:val="17"/>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w:t>
      </w:r>
    </w:p>
    <w:p>
      <w:pPr>
        <w:spacing w:after="0" w:line="2" w:lineRule="exact"/>
        <w:rPr>
          <w:sz w:val="20"/>
          <w:szCs w:val="20"/>
          <w:color w:val="auto"/>
        </w:rPr>
      </w:pPr>
    </w:p>
    <w:p>
      <w:pPr>
        <w:ind w:right="240" w:firstLine="2"/>
        <w:spacing w:after="0" w:line="255" w:lineRule="auto"/>
        <w:tabs>
          <w:tab w:leader="none" w:pos="27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ectPr>
          <w:pgSz w:w="11900" w:h="16838" w:orient="portrait"/>
          <w:cols w:equalWidth="0" w:num="1">
            <w:col w:w="11000"/>
          </w:cols>
          <w:pgMar w:left="440" w:top="266" w:right="459" w:bottom="1440" w:gutter="0" w:footer="0" w:header="0"/>
        </w:sectPr>
      </w:pPr>
    </w:p>
    <w:bookmarkStart w:id="179" w:name="page180"/>
    <w:bookmarkEnd w:id="179"/>
    <w:p>
      <w:pPr>
        <w:ind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0"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7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This Agreement may not be amended except by an instrument in writing signed by (i) the Company, (ii) the Sponsor (provided (x) the Sponsor or its Permitted Transferee(s) holds Registrable Securities at the time of such amendment, or (y) the Sponsor retains a Board nomination right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 xml:space="preserve"> at the time of such amendment), and (iii) Dan Wagner (provided (x) Dan Wagner or his Permitted Transferee(s) holds Registrable Securities at the time of such amendment, or (y) Dan Wagner retains a Board nomination right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at the time of such amendment). Notwithstanding the foregoing, the consent of a Holder to an amendment will not be required to the extent that such amendment does not adversely impact the rights and obligations of such Holder under this Agreement.</w:t>
      </w:r>
    </w:p>
    <w:p>
      <w:pPr>
        <w:spacing w:after="0" w:line="18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xml:space="preserve"> At any time, the Company may (i) extend the time for the performance of any obligation or other act of any Holder, (ii) waive any inaccuracy in the representations and warranties of any Holder contained herein or in any document delivered by such Holder pursuant hereto, and</w:t>
      </w:r>
    </w:p>
    <w:p>
      <w:pPr>
        <w:spacing w:after="0" w:line="1" w:lineRule="exact"/>
        <w:rPr>
          <w:sz w:val="20"/>
          <w:szCs w:val="20"/>
          <w:color w:val="auto"/>
        </w:rPr>
      </w:pPr>
    </w:p>
    <w:p>
      <w:pPr>
        <w:ind w:firstLine="2"/>
        <w:spacing w:after="0" w:line="252" w:lineRule="auto"/>
        <w:tabs>
          <w:tab w:leader="none" w:pos="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such Holder or any condition to its own obligations contained herein. At any time, any Holder may, in respect of itself and not other Holders, (i) extend the time for the performance of any obligation or other act of the Company, (ii) waive any inaccuracy in the representations and warranties of the Company contained herein or in any document delivered by the Company pursuant hereto, and (iii)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b w:val="1"/>
          <w:bCs w:val="1"/>
          <w:color w:val="auto"/>
        </w:rPr>
        <w:t>No Strict Construction.</w:t>
      </w:r>
      <w:r>
        <w:rPr>
          <w:rFonts w:ascii="Times New Roman" w:cs="Times New Roman" w:eastAsia="Times New Roman" w:hAnsi="Times New Roman"/>
          <w:sz w:val="18"/>
          <w:szCs w:val="18"/>
          <w:color w:val="auto"/>
        </w:rPr>
        <w:t xml:space="preserve"> The language used in this Agreement shall be deemed to be the language chosen by the parties to express their mutual intent and no rule of strict construction shall be applied against any party.</w:t>
      </w:r>
    </w:p>
    <w:p>
      <w:pPr>
        <w:spacing w:after="0" w:line="1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Nothing in this agreement will require the Company to take any action which is not in accordance with applicable law including English law.</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(Next Page is Signature Page)</w:t>
      </w:r>
    </w:p>
    <w:p>
      <w:pPr>
        <w:sectPr>
          <w:pgSz w:w="11900" w:h="16838" w:orient="portrait"/>
          <w:cols w:equalWidth="0" w:num="1">
            <w:col w:w="10940"/>
          </w:cols>
          <w:pgMar w:left="440" w:top="266"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REZOLVE AI LIMITED</w:t>
      </w:r>
    </w:p>
    <w:p>
      <w:pPr>
        <w:spacing w:after="0" w:line="21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17145</wp:posOffset>
            </wp:positionV>
            <wp:extent cx="2654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CEO</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9579"/>
          </w:cols>
          <w:pgMar w:left="880" w:top="270"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ACM ALAMEDA SPECIAL PURPOSE INVESTMENT</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FUND II 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Ivan Zinn</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Ivan Zinn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One Rockefeller Plaza, 32nd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operations@atalayacap.com;</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spac@atalayacap.com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8"/>
          <w:szCs w:val="18"/>
          <w:color w:val="auto"/>
        </w:rPr>
        <w:t>ACM ALAMOSA (CAYMAN) HOLDCO LP</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Ivan Zinn</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Ivan Zinn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One Rockefeller Plaza, 32nd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operations@atalayacap.com;</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spac@atalayacap.com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ACM ASOF VII (CAYMAN) HOLDCO LP</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Ivan Zinn</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Ivan Zinn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7"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Address:  One Rockefeller Plaza, 32nd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operations@atalayacap.com;</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spac@atalayacap.com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ANTARA CAPITAL TOTAL RETURN SPAC</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OocuSignod by:</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Himanshu Gulati</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Himanshu Gulati</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55 Hudson Yards</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NY NY, 10001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hgulati@antaracapital.com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APEIRON INVESTMENT GROUP LTD</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Jefim Gewiet</w:t>
            </w:r>
          </w:p>
        </w:tc>
      </w:tr>
      <w:tr>
        <w:trPr>
          <w:trHeight w:val="204"/>
        </w:trPr>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Jefim Gewiet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Julien Hoefer</w:t>
            </w:r>
          </w:p>
        </w:tc>
      </w:tr>
      <w:tr>
        <w:trPr>
          <w:trHeight w:val="204"/>
        </w:trPr>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Julien Hoefer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17145</wp:posOffset>
            </wp:positionV>
            <wp:extent cx="26200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16"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9579"/>
          </w:cols>
          <w:pgMar w:left="880" w:top="270"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AUGUST 2024</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AQR ABSOLUTE RETURN MASTER ACCOUNT, L.P.</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 AQR Capital Management, LLC, its investment adviser</w:t>
      </w:r>
    </w:p>
    <w:p>
      <w:pPr>
        <w:spacing w:after="0" w:line="225"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DonVito</w:t>
            </w:r>
          </w:p>
        </w:tc>
      </w:tr>
      <w:tr>
        <w:trPr>
          <w:trHeight w:val="204"/>
        </w:trPr>
        <w:tc>
          <w:tcPr>
            <w:tcW w:w="3860" w:type="dxa"/>
            <w:vAlign w:val="bottom"/>
          </w:tcPr>
          <w:p>
            <w:pPr>
              <w:ind w:left="2780"/>
              <w:spacing w:after="0" w:line="204" w:lineRule="exact"/>
              <w:rPr>
                <w:sz w:val="20"/>
                <w:szCs w:val="20"/>
                <w:color w:val="auto"/>
              </w:rPr>
            </w:pPr>
            <w:r>
              <w:rPr>
                <w:rFonts w:ascii="Times New Roman" w:cs="Times New Roman" w:eastAsia="Times New Roman" w:hAnsi="Times New Roman"/>
                <w:sz w:val="18"/>
                <w:szCs w:val="18"/>
                <w:color w:val="auto"/>
              </w:rPr>
              <w:t>Print Name:</w:t>
            </w:r>
          </w:p>
        </w:tc>
        <w:tc>
          <w:tcPr>
            <w:tcW w:w="33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Nicole DonVito</w:t>
            </w:r>
          </w:p>
        </w:tc>
      </w:tr>
      <w:tr>
        <w:trPr>
          <w:trHeight w:val="234"/>
        </w:trPr>
        <w:tc>
          <w:tcPr>
            <w:tcW w:w="38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3"/>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 AQR Capital Management, LLC</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One Greenwich Plz, Suite 130</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Greenwich, CT 06830</w:t>
            </w:r>
          </w:p>
        </w:tc>
      </w:t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 PM@aqr.com</w:t>
            </w:r>
          </w:p>
        </w:tc>
      </w:tr>
      <w:tr>
        <w:trPr>
          <w:trHeight w:val="43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3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AUGUST 2024</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AQR FUNDS, AQR DIVERSIFIED ARBITRAGE FUND</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 AQR Capital Management, LLC, its investment adviser</w:t>
      </w:r>
    </w:p>
    <w:p>
      <w:pPr>
        <w:spacing w:after="0" w:line="225"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DonVito</w:t>
            </w:r>
          </w:p>
        </w:tc>
      </w:tr>
      <w:tr>
        <w:trPr>
          <w:trHeight w:val="204"/>
        </w:trPr>
        <w:tc>
          <w:tcPr>
            <w:tcW w:w="3860" w:type="dxa"/>
            <w:vAlign w:val="bottom"/>
          </w:tcPr>
          <w:p>
            <w:pPr>
              <w:ind w:left="2780"/>
              <w:spacing w:after="0" w:line="204" w:lineRule="exact"/>
              <w:rPr>
                <w:sz w:val="20"/>
                <w:szCs w:val="20"/>
                <w:color w:val="auto"/>
              </w:rPr>
            </w:pPr>
            <w:r>
              <w:rPr>
                <w:rFonts w:ascii="Times New Roman" w:cs="Times New Roman" w:eastAsia="Times New Roman" w:hAnsi="Times New Roman"/>
                <w:sz w:val="18"/>
                <w:szCs w:val="18"/>
                <w:color w:val="auto"/>
              </w:rPr>
              <w:t>Print Name:</w:t>
            </w:r>
          </w:p>
        </w:tc>
        <w:tc>
          <w:tcPr>
            <w:tcW w:w="33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Nicole DonVito</w:t>
            </w:r>
          </w:p>
        </w:tc>
      </w:tr>
      <w:tr>
        <w:trPr>
          <w:trHeight w:val="234"/>
        </w:trPr>
        <w:tc>
          <w:tcPr>
            <w:tcW w:w="38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3"/>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 AQR Capital Management, LLC</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One Greenwich Plz, Suite 130</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Greenwich, CT 06830</w:t>
            </w:r>
          </w:p>
        </w:tc>
      </w:t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 PM@aqr.com</w:t>
            </w:r>
          </w:p>
        </w:tc>
      </w:tr>
      <w:tr>
        <w:trPr>
          <w:trHeight w:val="43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3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AUGUST 2024</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AQR GLOBAL ALTERNATIVE INVESTMENT</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OFFSHORE FUND, L.P.</w:t>
      </w:r>
    </w:p>
    <w:p>
      <w:pPr>
        <w:spacing w:after="0" w:line="20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 AQR Capital Management, LLC, its investment adviser</w:t>
      </w:r>
    </w:p>
    <w:p>
      <w:pPr>
        <w:spacing w:after="0" w:line="225"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DonVito</w:t>
            </w:r>
          </w:p>
        </w:tc>
      </w:tr>
      <w:tr>
        <w:trPr>
          <w:trHeight w:val="204"/>
        </w:trPr>
        <w:tc>
          <w:tcPr>
            <w:tcW w:w="3860" w:type="dxa"/>
            <w:vAlign w:val="bottom"/>
          </w:tcPr>
          <w:p>
            <w:pPr>
              <w:ind w:left="2780"/>
              <w:spacing w:after="0" w:line="204" w:lineRule="exact"/>
              <w:rPr>
                <w:sz w:val="20"/>
                <w:szCs w:val="20"/>
                <w:color w:val="auto"/>
              </w:rPr>
            </w:pPr>
            <w:r>
              <w:rPr>
                <w:rFonts w:ascii="Times New Roman" w:cs="Times New Roman" w:eastAsia="Times New Roman" w:hAnsi="Times New Roman"/>
                <w:sz w:val="18"/>
                <w:szCs w:val="18"/>
                <w:color w:val="auto"/>
              </w:rPr>
              <w:t>Print Name:</w:t>
            </w:r>
          </w:p>
        </w:tc>
        <w:tc>
          <w:tcPr>
            <w:tcW w:w="33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Nicole DonVito</w:t>
            </w:r>
          </w:p>
        </w:tc>
      </w:tr>
      <w:tr>
        <w:trPr>
          <w:trHeight w:val="234"/>
        </w:trPr>
        <w:tc>
          <w:tcPr>
            <w:tcW w:w="38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3"/>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 AQR Capital Management, LLC</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One Greenwich Plz, Suite 130</w:t>
            </w:r>
          </w:p>
        </w:tc>
      </w:tr>
      <w:tr>
        <w:trPr>
          <w:trHeight w:val="216"/>
        </w:trPr>
        <w:tc>
          <w:tcPr>
            <w:tcW w:w="38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Greenwich, CT 06830</w:t>
            </w:r>
          </w:p>
        </w:tc>
      </w:tr>
      <w:tr>
        <w:trPr>
          <w:trHeight w:val="234"/>
        </w:trPr>
        <w:tc>
          <w:tcPr>
            <w:tcW w:w="38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 PM@aqr.com</w:t>
            </w:r>
          </w:p>
        </w:tc>
      </w:tr>
      <w:tr>
        <w:trPr>
          <w:trHeight w:val="43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3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ASJC Global, LLC – Series 14</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Cohen &amp; Company Financial</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Management, LLC, its investment manager</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Davilman</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Andrew Davilman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3 Columbus Circle-24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69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both"/>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ASJCGlobal@cohenandcompany.com</w:t>
      </w:r>
    </w:p>
    <w:p>
      <w:pPr>
        <w:sectPr>
          <w:pgSz w:w="11900" w:h="16838" w:orient="portrait"/>
          <w:cols w:equalWidth="0" w:num="1">
            <w:col w:w="10580"/>
          </w:cols>
          <w:pgMar w:left="880" w:top="270"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ATALAYA SPECIAL PURPOSE INVESTMENT FUND II</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Ivan Zinn</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Ivan Zinn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One Rockefeller Plaza, 32nd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operations@atalayacap.com;</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spac@atalayacap.com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BOSTON PATRIOT MERRIMACK ST. LLC</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Hilliard</w:t>
            </w:r>
          </w:p>
        </w:tc>
      </w:tr>
      <w:tr>
        <w:trPr>
          <w:trHeight w:val="204"/>
        </w:trPr>
        <w:tc>
          <w:tcPr>
            <w:tcW w:w="7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Nicholas Hilliard</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500 Fifth Ave 9th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operations@firtree.com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Cohen Sponsor LLC – A14 RS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By: Cohen &amp; Company, LLC, its manager</w:t>
      </w:r>
    </w:p>
    <w:p>
      <w:pPr>
        <w:spacing w:after="0" w:line="218" w:lineRule="exact"/>
        <w:rPr>
          <w:sz w:val="20"/>
          <w:szCs w:val="20"/>
          <w:color w:val="auto"/>
        </w:rPr>
      </w:pPr>
    </w:p>
    <w:p>
      <w:pPr>
        <w:ind w:left="6160"/>
        <w:spacing w:after="0"/>
        <w:tabs>
          <w:tab w:leader="none" w:pos="6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Manish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17145</wp:posOffset>
            </wp:positionV>
            <wp:extent cx="2423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Manish Patel</w:t>
      </w:r>
    </w:p>
    <w:p>
      <w:pPr>
        <w:spacing w:after="0" w:line="27" w:lineRule="exact"/>
        <w:rPr>
          <w:sz w:val="20"/>
          <w:szCs w:val="20"/>
          <w:color w:val="auto"/>
        </w:rPr>
      </w:pPr>
    </w:p>
    <w:p>
      <w:pPr>
        <w:ind w:left="616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tab/>
        <w:t>Controller</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2929 Arch Street – Suite 1703</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Philadelphia, PA 19104-2870</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Email: mpatel@cohenandcompany.com</w:t>
      </w:r>
    </w:p>
    <w:p>
      <w:pPr>
        <w:sectPr>
          <w:pgSz w:w="11900" w:h="16838" w:orient="portrait"/>
          <w:cols w:equalWidth="0" w:num="1">
            <w:col w:w="9579"/>
          </w:cols>
          <w:pgMar w:left="880" w:top="270"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oftbe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 TEXTPARTNERSMASTERFUND LP</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E. Carnegie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E. Carnegie</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Context Capital Management LLC</w:t>
            </w:r>
          </w:p>
        </w:tc>
      </w:tr>
      <w:tr>
        <w:trPr>
          <w:trHeight w:val="216"/>
        </w:trPr>
        <w:tc>
          <w:tcPr>
            <w:tcW w:w="720" w:type="dxa"/>
            <w:vAlign w:val="bottom"/>
          </w:tcPr>
          <w:p>
            <w:pPr>
              <w:spacing w:after="0"/>
              <w:rPr>
                <w:sz w:val="18"/>
                <w:szCs w:val="18"/>
                <w:color w:val="auto"/>
              </w:rPr>
            </w:pPr>
          </w:p>
        </w:tc>
        <w:tc>
          <w:tcPr>
            <w:tcW w:w="3700" w:type="dxa"/>
            <w:vAlign w:val="bottom"/>
          </w:tcPr>
          <w:p>
            <w:pPr>
              <w:ind w:left="40"/>
              <w:spacing w:after="0" w:line="216" w:lineRule="exact"/>
              <w:rPr>
                <w:sz w:val="20"/>
                <w:szCs w:val="20"/>
                <w:color w:val="auto"/>
              </w:rPr>
            </w:pPr>
            <w:r>
              <w:rPr>
                <w:rFonts w:ascii="Times New Roman" w:cs="Times New Roman" w:eastAsia="Times New Roman" w:hAnsi="Times New Roman"/>
                <w:sz w:val="17"/>
                <w:szCs w:val="17"/>
                <w:color w:val="auto"/>
              </w:rPr>
              <w:t>7724 Girard Ave.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w:t>
            </w:r>
          </w:p>
        </w:tc>
      </w:tr>
      <w:tr>
        <w:trPr>
          <w:trHeight w:val="229"/>
        </w:trPr>
        <w:tc>
          <w:tcPr>
            <w:tcW w:w="720" w:type="dxa"/>
            <w:vAlign w:val="bottom"/>
          </w:tcPr>
          <w:p>
            <w:pPr>
              <w:spacing w:after="0"/>
              <w:rPr>
                <w:sz w:val="19"/>
                <w:szCs w:val="19"/>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Jolla, CA 92037</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operations@contextcapital.com</w:t>
            </w:r>
          </w:p>
        </w:tc>
      </w:tr>
      <w:tr>
        <w:trPr>
          <w:trHeight w:val="234"/>
        </w:trPr>
        <w:tc>
          <w:tcPr>
            <w:tcW w:w="72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Advisor</w:t>
            </w:r>
          </w:p>
        </w:tc>
      </w:tr>
    </w:tbl>
    <w:p>
      <w:pPr>
        <w:spacing w:after="0" w:line="1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CORBIN ERISA OPPORTUNITY FUND, LTD.</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Corbin Capital Partners, L.P. as its Investment</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Manager</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Daniel Friedman</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Friedman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575 Madison Ave, 21st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fof-ops@corbincapital.com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196" w:name="page197"/>
    <w:bookmarkEnd w:id="196"/>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DBLP Sea Cow Limited</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17145</wp:posOffset>
            </wp:positionV>
            <wp:extent cx="25946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Vistra Corporate Services Centre,</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Suite 23, 1st Floor, Eden Plaza, Mahe, Seychelles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Seychelles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17145</wp:posOffset>
            </wp:positionV>
            <wp:extent cx="22091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20916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-127635</wp:posOffset>
            </wp:positionV>
            <wp:extent cx="27914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tabs>
          <w:tab w:leader="none" w:pos="6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danwagner@brightstation.com</w:t>
      </w:r>
    </w:p>
    <w:p>
      <w:pPr>
        <w:spacing w:after="0" w:line="1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[Signature page to the Investor Rights Agreement]</w:t>
      </w:r>
    </w:p>
    <w:p>
      <w:pPr>
        <w:sectPr>
          <w:pgSz w:w="11900" w:h="16838" w:orient="portrait"/>
          <w:cols w:equalWidth="0" w:num="1">
            <w:col w:w="9180"/>
          </w:cols>
          <w:pgMar w:left="1440" w:top="266" w:right="12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DECKER</w:t>
      </w:r>
    </w:p>
    <w:p>
      <w:pPr>
        <w:spacing w:after="0" w:line="225"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Thomas Decke</w:t>
            </w:r>
          </w:p>
        </w:tc>
      </w:tr>
      <w:tr>
        <w:trPr>
          <w:trHeight w:val="191"/>
        </w:trPr>
        <w:tc>
          <w:tcPr>
            <w:tcW w:w="350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Thomas Decke</w:t>
            </w:r>
          </w:p>
        </w:tc>
      </w:tr>
      <w:tr>
        <w:trPr>
          <w:trHeight w:val="216"/>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517 Old Church Road</w:t>
            </w:r>
          </w:p>
        </w:tc>
      </w:tr>
      <w:tr>
        <w:trPr>
          <w:trHeight w:val="229"/>
        </w:trPr>
        <w:tc>
          <w:tcPr>
            <w:tcW w:w="3500" w:type="dxa"/>
            <w:vAlign w:val="bottom"/>
          </w:tcPr>
          <w:p>
            <w:pPr>
              <w:spacing w:after="0"/>
              <w:rPr>
                <w:sz w:val="19"/>
                <w:szCs w:val="19"/>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Bryn Mawr PA 19010</w:t>
            </w:r>
          </w:p>
        </w:tc>
      </w:tr>
      <w:tr>
        <w:trPr>
          <w:trHeight w:val="23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tdecker@cozen.com</w:t>
            </w:r>
          </w:p>
        </w:tc>
      </w:tr>
      <w:tr>
        <w:trPr>
          <w:trHeight w:val="36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fnvestor Rights Agreement]</w:t>
            </w:r>
          </w:p>
        </w:tc>
        <w:tc>
          <w:tcPr>
            <w:tcW w:w="3700" w:type="dxa"/>
            <w:vAlign w:val="bottom"/>
          </w:tcPr>
          <w:p>
            <w:pPr>
              <w:spacing w:after="0"/>
              <w:rPr>
                <w:sz w:val="24"/>
                <w:szCs w:val="24"/>
                <w:color w:val="auto"/>
              </w:rPr>
            </w:pPr>
          </w:p>
        </w:tc>
      </w:tr>
    </w:tbl>
    <w:p>
      <w:pPr>
        <w:sectPr>
          <w:pgSz w:w="11900" w:h="16838" w:orient="portrait"/>
          <w:cols w:equalWidth="0" w:num="1">
            <w:col w:w="10580"/>
          </w:cols>
          <w:pgMar w:left="880" w:top="270"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 AUGUST 2024</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Early Bird Capita, lnc.</w:t>
      </w:r>
    </w:p>
    <w:p>
      <w:pPr>
        <w:spacing w:after="0" w:line="229" w:lineRule="exact"/>
        <w:rPr>
          <w:sz w:val="20"/>
          <w:szCs w:val="20"/>
          <w:color w:val="auto"/>
        </w:rPr>
      </w:pPr>
    </w:p>
    <w:tbl>
      <w:tblPr>
        <w:tblLayout w:type="fixed"/>
        <w:tblInd w:w="3820" w:type="dxa"/>
        <w:tblCellMar>
          <w:top w:w="0" w:type="dxa"/>
          <w:left w:w="0" w:type="dxa"/>
          <w:bottom w:w="0" w:type="dxa"/>
          <w:right w:w="0" w:type="dxa"/>
        </w:tblCellMar>
      </w:tblPr>
      <w:tr>
        <w:trPr>
          <w:trHeight w:val="234"/>
        </w:trPr>
        <w:tc>
          <w:tcPr>
            <w:tcW w:w="3800" w:type="dxa"/>
            <w:vAlign w:val="bottom"/>
            <w:vMerge w:val="restart"/>
          </w:tcPr>
          <w:p>
            <w:pPr>
              <w:ind w:left="2780"/>
              <w:spacing w:after="0"/>
              <w:rPr>
                <w:sz w:val="20"/>
                <w:szCs w:val="20"/>
                <w:color w:val="auto"/>
              </w:rPr>
            </w:pPr>
            <w:r>
              <w:rPr>
                <w:rFonts w:ascii="Times New Roman" w:cs="Times New Roman" w:eastAsia="Times New Roman" w:hAnsi="Times New Roman"/>
                <w:sz w:val="18"/>
                <w:szCs w:val="18"/>
                <w:color w:val="auto"/>
              </w:rPr>
              <w:t>Print Name:</w:t>
            </w: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 Michael Powell</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34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 Michael Powell</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 Managing Director</w:t>
            </w:r>
          </w:p>
        </w:tc>
        <w:tc>
          <w:tcPr>
            <w:tcW w:w="0" w:type="dxa"/>
            <w:vAlign w:val="bottom"/>
          </w:tcPr>
          <w:p>
            <w:pPr>
              <w:spacing w:after="0"/>
              <w:rPr>
                <w:sz w:val="1"/>
                <w:szCs w:val="1"/>
                <w:color w:val="auto"/>
              </w:rPr>
            </w:pPr>
          </w:p>
        </w:tc>
      </w:tr>
      <w:tr>
        <w:trPr>
          <w:trHeight w:val="413"/>
        </w:trPr>
        <w:tc>
          <w:tcPr>
            <w:tcW w:w="38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366 Madison Ave,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 NY 10017</w:t>
            </w:r>
          </w:p>
        </w:tc>
        <w:tc>
          <w:tcPr>
            <w:tcW w:w="0" w:type="dxa"/>
            <w:vAlign w:val="bottom"/>
          </w:tcPr>
          <w:p>
            <w:pPr>
              <w:spacing w:after="0"/>
              <w:rPr>
                <w:sz w:val="1"/>
                <w:szCs w:val="1"/>
                <w:color w:val="auto"/>
              </w:rPr>
            </w:pPr>
          </w:p>
        </w:tc>
      </w:tr>
      <w:tr>
        <w:trPr>
          <w:trHeight w:val="234"/>
        </w:trPr>
        <w:tc>
          <w:tcPr>
            <w:tcW w:w="38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mpowell@ebcap.com</w:t>
            </w:r>
          </w:p>
        </w:tc>
        <w:tc>
          <w:tcPr>
            <w:tcW w:w="0" w:type="dxa"/>
            <w:vAlign w:val="bottom"/>
          </w:tcPr>
          <w:p>
            <w:pPr>
              <w:spacing w:after="0"/>
              <w:rPr>
                <w:sz w:val="1"/>
                <w:szCs w:val="1"/>
                <w:color w:val="auto"/>
              </w:rPr>
            </w:pPr>
          </w:p>
        </w:tc>
      </w:tr>
      <w:tr>
        <w:trPr>
          <w:trHeight w:val="36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FIR TREE CAPITAL OPPORTUNITY MASTER FUND</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Nicholas Hilliard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Nicholas Hilliard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500 Fifth Ave 9th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operations@firtree.com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FIR TREE CAPITAL OPPORTUNITY MASTER FUND</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III, 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Nicholas Hilliard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Nicholas Hilliard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500 Fifth Ave, 9th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operations@firtree.com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FIR TREE VALUE MASTER FUND, LP</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Nicholas Hilliard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Nicholas Hilliard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500 Fifth Ave, 9th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operations@firtree.com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FT SOF XIII (SPAC) HOLDINGS, LLC</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Nicholas Hilliard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Nicholas Hilliard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500 Fifth Ave, 9th floor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operations@firtree.com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tbl>
      <w:tblPr>
        <w:tblLayout w:type="fixed"/>
        <w:tblInd w:w="3380" w:type="dxa"/>
        <w:tblCellMar>
          <w:top w:w="0" w:type="dxa"/>
          <w:left w:w="0" w:type="dxa"/>
          <w:bottom w:w="0" w:type="dxa"/>
          <w:right w:w="0" w:type="dxa"/>
        </w:tblCellMar>
      </w:tblPr>
      <w:tr>
        <w:trPr>
          <w:trHeight w:val="238"/>
        </w:trPr>
        <w:tc>
          <w:tcPr>
            <w:tcW w:w="38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800" w:type="dxa"/>
            <w:vAlign w:val="bottom"/>
            <w:vMerge w:val="restart"/>
          </w:tcPr>
          <w:p>
            <w:pPr>
              <w:ind w:left="2780"/>
              <w:spacing w:after="0"/>
              <w:rPr>
                <w:sz w:val="20"/>
                <w:szCs w:val="20"/>
                <w:color w:val="auto"/>
              </w:rPr>
            </w:pPr>
            <w:r>
              <w:rPr>
                <w:rFonts w:ascii="Times New Roman" w:cs="Times New Roman" w:eastAsia="Times New Roman" w:hAnsi="Times New Roman"/>
                <w:sz w:val="18"/>
                <w:szCs w:val="18"/>
                <w:color w:val="auto"/>
              </w:rPr>
              <w:t>Print Name:</w:t>
            </w:r>
          </w:p>
        </w:tc>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34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Herbert</w:t>
            </w:r>
          </w:p>
        </w:tc>
        <w:tc>
          <w:tcPr>
            <w:tcW w:w="0" w:type="dxa"/>
            <w:vAlign w:val="bottom"/>
          </w:tcPr>
          <w:p>
            <w:pPr>
              <w:spacing w:after="0"/>
              <w:rPr>
                <w:sz w:val="1"/>
                <w:szCs w:val="1"/>
                <w:color w:val="auto"/>
              </w:rPr>
            </w:pPr>
          </w:p>
        </w:tc>
      </w:tr>
      <w:tr>
        <w:trPr>
          <w:trHeight w:val="216"/>
        </w:trPr>
        <w:tc>
          <w:tcPr>
            <w:tcW w:w="38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 Box 2339 Breckenridge CO</w:t>
            </w:r>
          </w:p>
        </w:tc>
        <w:tc>
          <w:tcPr>
            <w:tcW w:w="0" w:type="dxa"/>
            <w:vAlign w:val="bottom"/>
          </w:tcPr>
          <w:p>
            <w:pPr>
              <w:spacing w:after="0"/>
              <w:rPr>
                <w:sz w:val="1"/>
                <w:szCs w:val="1"/>
                <w:color w:val="auto"/>
              </w:rPr>
            </w:pPr>
          </w:p>
        </w:tc>
      </w:tr>
      <w:tr>
        <w:trPr>
          <w:trHeight w:val="234"/>
        </w:trPr>
        <w:tc>
          <w:tcPr>
            <w:tcW w:w="38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sherbert@suncvllc.com</w:t>
            </w:r>
          </w:p>
        </w:tc>
        <w:tc>
          <w:tcPr>
            <w:tcW w:w="0" w:type="dxa"/>
            <w:vAlign w:val="bottom"/>
          </w:tcPr>
          <w:p>
            <w:pPr>
              <w:spacing w:after="0"/>
              <w:rPr>
                <w:sz w:val="1"/>
                <w:szCs w:val="1"/>
                <w:color w:val="auto"/>
              </w:rPr>
            </w:pPr>
          </w:p>
        </w:tc>
      </w:tr>
      <w:tr>
        <w:trPr>
          <w:trHeight w:val="36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880" w:top="270"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HIGHBRIDGE TACTICAL CREDIT</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INSTITUTIONAL FUND LTD.</w:t>
      </w:r>
    </w:p>
    <w:p>
      <w:pPr>
        <w:spacing w:after="0" w:line="220" w:lineRule="exact"/>
        <w:rPr>
          <w:sz w:val="20"/>
          <w:szCs w:val="20"/>
          <w:color w:val="auto"/>
        </w:rPr>
      </w:pPr>
    </w:p>
    <w:tbl>
      <w:tblPr>
        <w:tblLayout w:type="fixed"/>
        <w:tblInd w:w="49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Highbridge Capital Management, LLC as</w:t>
            </w:r>
          </w:p>
        </w:tc>
      </w:tr>
      <w:tr>
        <w:trPr>
          <w:trHeight w:val="229"/>
        </w:trPr>
        <w:tc>
          <w:tcPr>
            <w:tcW w:w="78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Manager and not in its individual capacity</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Steve Ardovini</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Steve Ardovini Managing Director</w:t>
            </w:r>
          </w:p>
        </w:tc>
      </w:tr>
      <w:tr>
        <w:trPr>
          <w:trHeight w:val="216"/>
        </w:trPr>
        <w:tc>
          <w:tcPr>
            <w:tcW w:w="78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Operation</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HIGHBRIDGE CAPITAL MANAGEMENT, LLC</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840" w:type="dxa"/>
            <w:vAlign w:val="bottom"/>
            <w:tcBorders>
              <w:bottom w:val="single" w:sz="8" w:color="auto"/>
            </w:tcBorders>
          </w:tcPr>
          <w:p>
            <w:pPr>
              <w:spacing w:after="0"/>
              <w:rPr>
                <w:sz w:val="20"/>
                <w:szCs w:val="20"/>
                <w:color w:val="auto"/>
              </w:rPr>
            </w:pPr>
          </w:p>
        </w:tc>
      </w:tr>
    </w:tbl>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0651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06514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-127635</wp:posOffset>
            </wp:positionV>
            <wp:extent cx="30651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1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HIGHBRIDGE TACTICAL CREDIT MASTER FUND,</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Highbridge Capital Management, LLC as Trading</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Manager and not in its individual capacity</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 Ardovini</w:t>
            </w:r>
          </w:p>
        </w:tc>
        <w:tc>
          <w:tcPr>
            <w:tcW w:w="0" w:type="dxa"/>
            <w:vAlign w:val="bottom"/>
          </w:tcPr>
          <w:p>
            <w:pPr>
              <w:spacing w:after="0"/>
              <w:rPr>
                <w:sz w:val="1"/>
                <w:szCs w:val="1"/>
                <w:color w:val="auto"/>
              </w:rPr>
            </w:pPr>
          </w:p>
        </w:tc>
      </w:tr>
      <w:tr>
        <w:trPr>
          <w:trHeight w:val="191"/>
        </w:trPr>
        <w:tc>
          <w:tcPr>
            <w:tcW w:w="350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Steve Ardovini</w:t>
            </w:r>
          </w:p>
        </w:tc>
        <w:tc>
          <w:tcPr>
            <w:tcW w:w="0" w:type="dxa"/>
            <w:vAlign w:val="bottom"/>
          </w:tcPr>
          <w:p>
            <w:pPr>
              <w:spacing w:after="0"/>
              <w:rPr>
                <w:sz w:val="1"/>
                <w:szCs w:val="1"/>
                <w:color w:val="auto"/>
              </w:rPr>
            </w:pPr>
          </w:p>
        </w:tc>
      </w:tr>
      <w:tr>
        <w:trPr>
          <w:trHeight w:val="216"/>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of Operations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HIGHBRIDGE CAPITAL MANAGEMENT,</w:t>
            </w:r>
          </w:p>
        </w:tc>
        <w:tc>
          <w:tcPr>
            <w:tcW w:w="0" w:type="dxa"/>
            <w:vAlign w:val="bottom"/>
          </w:tcPr>
          <w:p>
            <w:pPr>
              <w:spacing w:after="0"/>
              <w:rPr>
                <w:sz w:val="1"/>
                <w:szCs w:val="1"/>
                <w:color w:val="auto"/>
              </w:rPr>
            </w:pPr>
          </w:p>
        </w:tc>
      </w:tr>
      <w:tr>
        <w:trPr>
          <w:trHeight w:val="234"/>
        </w:trPr>
        <w:tc>
          <w:tcPr>
            <w:tcW w:w="3500" w:type="dxa"/>
            <w:vAlign w:val="bottom"/>
            <w:vMerge w:val="restart"/>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880" w:top="269"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K2 PRINCIPAL FUND L.P.</w:t>
      </w:r>
    </w:p>
    <w:p>
      <w:pPr>
        <w:spacing w:after="0" w:line="225"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Todd Sikorski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Todd Sikorski</w:t>
            </w:r>
          </w:p>
        </w:tc>
      </w:tr>
      <w:tr>
        <w:trPr>
          <w:trHeight w:val="216"/>
        </w:trPr>
        <w:tc>
          <w:tcPr>
            <w:tcW w:w="66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K2 &amp; Associates Investment</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Management Inc.,Manager of The K2 Principal Fund L.P.</w:t>
            </w:r>
          </w:p>
        </w:tc>
      </w:tr>
      <w:tr>
        <w:trPr>
          <w:trHeight w:val="234"/>
        </w:trPr>
        <w:tc>
          <w:tcPr>
            <w:tcW w:w="660" w:type="dxa"/>
            <w:vAlign w:val="bottom"/>
          </w:tcPr>
          <w:p>
            <w:pPr>
              <w:spacing w:after="0"/>
              <w:rPr>
                <w:sz w:val="20"/>
                <w:szCs w:val="20"/>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 Bloor Street West, Suite 801</w:t>
            </w:r>
          </w:p>
        </w:tc>
      </w:tr>
      <w:tr>
        <w:trPr>
          <w:trHeight w:val="431"/>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Toronto, ON M4W 3E2</w:t>
            </w:r>
          </w:p>
        </w:tc>
      </w:tr>
      <w:tr>
        <w:trPr>
          <w:trHeight w:val="216"/>
        </w:trPr>
        <w:tc>
          <w:tcPr>
            <w:tcW w:w="66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30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allocations@k2.ca</w:t>
            </w:r>
          </w:p>
        </w:tc>
      </w:tr>
    </w:tbl>
    <w:p>
      <w:pPr>
        <w:spacing w:after="0" w:line="1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KEPOS ALPHA MASTER FUND L.P.</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Kepos Capital LP, its Investment Manager</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Raykher</w:t>
            </w:r>
          </w:p>
        </w:tc>
      </w:tr>
      <w:tr>
        <w:trPr>
          <w:trHeight w:val="191"/>
        </w:trPr>
        <w:tc>
          <w:tcPr>
            <w:tcW w:w="350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Simon Raykher</w:t>
            </w:r>
          </w:p>
        </w:tc>
      </w:tr>
      <w:tr>
        <w:trPr>
          <w:trHeight w:val="216"/>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Simon Raykher, General Counsel</w:t>
            </w:r>
          </w:p>
        </w:tc>
      </w:tr>
      <w:tr>
        <w:trPr>
          <w:trHeight w:val="23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 Times Square, 35th Flr, NY NY 10036</w:t>
            </w:r>
          </w:p>
        </w:tc>
      </w:tr>
      <w:tr>
        <w:trPr>
          <w:trHeight w:val="216"/>
        </w:trPr>
        <w:tc>
          <w:tcPr>
            <w:tcW w:w="350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304"/>
        </w:trPr>
        <w:tc>
          <w:tcPr>
            <w:tcW w:w="35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pipes@keposcapital.com</w:t>
            </w:r>
          </w:p>
        </w:tc>
      </w:tr>
      <w:tr>
        <w:trPr>
          <w:trHeight w:val="36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700" w:type="dxa"/>
            <w:vAlign w:val="bottom"/>
          </w:tcPr>
          <w:p>
            <w:pPr>
              <w:spacing w:after="0"/>
              <w:rPr>
                <w:sz w:val="24"/>
                <w:szCs w:val="24"/>
                <w:color w:val="auto"/>
              </w:rPr>
            </w:pPr>
          </w:p>
        </w:tc>
      </w:tr>
    </w:tbl>
    <w:p>
      <w:pPr>
        <w:sectPr>
          <w:pgSz w:w="11900" w:h="16838" w:orient="portrait"/>
          <w:cols w:equalWidth="0" w:num="1">
            <w:col w:w="10580"/>
          </w:cols>
          <w:pgMar w:left="880" w:top="270"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KEPOS SPECIAL OPPORTUNITIES MASTER FUND</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Kepos Capital LP, its Investment Manager</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Raykher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Simon Raykher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Simon Raykher, General Counsel</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11 Times Square, 35th Flr, NY NY 10036</w:t>
      </w:r>
    </w:p>
    <w:p>
      <w:pPr>
        <w:spacing w:after="0" w:line="27"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pipes@keposcapital.com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MOHAMMAD KHAN</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Mohammad Khan</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Mohammad Khan</w:t>
            </w:r>
          </w:p>
        </w:tc>
      </w:tr>
    </w:tbl>
    <w:p>
      <w:pPr>
        <w:spacing w:after="0" w:line="17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2238 Bentley Ridge Dr,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San Jose, CA 95138</w:t>
      </w:r>
    </w:p>
    <w:p>
      <w:pPr>
        <w:spacing w:after="0" w:line="9" w:lineRule="exact"/>
        <w:rPr>
          <w:sz w:val="20"/>
          <w:szCs w:val="20"/>
          <w:color w:val="auto"/>
        </w:rPr>
      </w:pPr>
    </w:p>
    <w:p>
      <w:pPr>
        <w:jc w:val="both"/>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Khanmx99@gmail.com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DOUGLAS M LURIO</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Douglas M. Lurio</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Douglas M. Lurio</w:t>
            </w:r>
          </w:p>
        </w:tc>
      </w:tr>
    </w:tbl>
    <w:p>
      <w:pPr>
        <w:spacing w:after="0" w:line="179"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color w:val="auto"/>
        </w:rPr>
        <w:t>Address:  Eligible</w:t>
      </w:r>
    </w:p>
    <w:p>
      <w:pPr>
        <w:spacing w:after="0" w:line="27"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color w:val="auto"/>
        </w:rPr>
        <w:t>Eligible</w:t>
      </w:r>
    </w:p>
    <w:p>
      <w:pPr>
        <w:spacing w:after="0" w:line="9" w:lineRule="exact"/>
        <w:rPr>
          <w:sz w:val="20"/>
          <w:szCs w:val="20"/>
          <w:color w:val="auto"/>
        </w:rPr>
      </w:pPr>
    </w:p>
    <w:p>
      <w:pPr>
        <w:jc w:val="both"/>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Eligible</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1" w:name="page212"/>
    <w:bookmarkEnd w:id="211"/>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Signed by Igor Lychagov by their attorney Daniel Wagner</w:t>
      </w:r>
    </w:p>
    <w:p>
      <w:pPr>
        <w:spacing w:after="0" w:line="3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under a power of attorney dated 14 June 2024</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Bärhalten 3, Horw 6048, Switzerland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Email: i@snighd.com</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the Investor Rights Agreement]</w:t>
      </w:r>
    </w:p>
    <w:p>
      <w:pPr>
        <w:sectPr>
          <w:pgSz w:w="11900" w:h="16838" w:orient="portrait"/>
          <w:cols w:equalWidth="0" w:num="1">
            <w:col w:w="9780"/>
          </w:cols>
          <w:pgMar w:left="1440" w:top="266" w:right="6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CAPITAL MASTER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CONSTELLATION FUND II,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CONSTELLATION MASTER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DISCOVERY MASTER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LAKE CREDIT FUND LLC</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SC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its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STRUCTURED CREDIT FUND, LP</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the general partner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 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MAGNETAR XING HE MASTER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the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METEORA CAPITAL PARTNERS, 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Joseph Levy</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Joseph Levy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1200 N Federal Hwy ste 200</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ops@meteoracapital.com</w:t>
      </w:r>
    </w:p>
    <w:p>
      <w:pPr>
        <w:spacing w:after="0" w:line="9" w:lineRule="exact"/>
        <w:rPr>
          <w:sz w:val="20"/>
          <w:szCs w:val="20"/>
          <w:color w:val="auto"/>
        </w:rPr>
      </w:pPr>
    </w:p>
    <w:p>
      <w:pPr>
        <w:ind w:left="6160"/>
        <w:spacing w:after="0"/>
        <w:tabs>
          <w:tab w:leader="none" w:pos="6860" w:val="left"/>
        </w:tabs>
        <w:rPr>
          <w:sz w:val="20"/>
          <w:szCs w:val="20"/>
          <w:color w:val="auto"/>
        </w:rPr>
      </w:pPr>
      <w:r>
        <w:rPr>
          <w:rFonts w:ascii="Times New Roman" w:cs="Times New Roman" w:eastAsia="Times New Roman" w:hAnsi="Times New Roman"/>
          <w:sz w:val="18"/>
          <w:szCs w:val="18"/>
          <w:color w:val="auto"/>
        </w:rPr>
        <w:t>Email:</w:t>
        <w:tab/>
        <w:t>jlevy@meteoracapital.co</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NAUTILUS MASTER FUND, L.P., by its investment</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advisor, Periscope Capital Inc.</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Lisa Shostack</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Lisa Shostack</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c/o 333 Bay Street Suite 1240</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Toronto, ON M5H 2R2</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ops@periscopecap.com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2" w:name="page223"/>
    <w:bookmarkEnd w:id="222"/>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Signed by Brooks Newmark by their attorney</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Daniel Wagner under a power of attorney dated 25 May</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2024</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91 Eaton Terrace, London,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SW1W 8TW, United Kingdom</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brooks@newmark.org.uk</w:t>
      </w:r>
    </w:p>
    <w:p>
      <w:pPr>
        <w:spacing w:after="0" w:line="1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the Investor Rights Agreement]</w:t>
      </w:r>
    </w:p>
    <w:p>
      <w:pPr>
        <w:sectPr>
          <w:pgSz w:w="11900" w:h="16838" w:orient="portrait"/>
          <w:cols w:equalWidth="0" w:num="1">
            <w:col w:w="9620"/>
          </w:cols>
          <w:pgMar w:left="1440" w:top="266" w:right="8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POLAR MULTI-STRATEGY MASTER FUND</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Polar Asset Management Partners Inc.</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Ma / Aatifa Ibrahim</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Andrew Ma / Aatifa Ibrahim</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CCO / Legal Counsel</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c/o Polar Asset Management Partners Inc.</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16 York Street, Suite 2900</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Toronto, Ontario M5J 0E6 Canada</w:t>
      </w:r>
    </w:p>
    <w:p>
      <w:pPr>
        <w:spacing w:after="0" w:line="9" w:lineRule="exact"/>
        <w:rPr>
          <w:sz w:val="20"/>
          <w:szCs w:val="20"/>
          <w:color w:val="auto"/>
        </w:rPr>
      </w:pPr>
    </w:p>
    <w:p>
      <w:pPr>
        <w:ind w:left="6160"/>
        <w:spacing w:after="0"/>
        <w:tabs>
          <w:tab w:leader="none" w:pos="68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rbhat@polaramp.com;</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gbarsheshet@polaramp.com;</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legal@polaramp.com</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PURPOSE ALTERNATIVE CREDIT FUND-T LLC</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the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FISecurityNotices@magnetar.com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PURPOSE ALTERNATIVE CREDIT FUND LTD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Magnetar Financial LLC, the investment manager</w:t>
      </w:r>
    </w:p>
    <w:p>
      <w:pPr>
        <w:spacing w:after="0" w:line="225"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Karl Wachter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Address:  1603 Orrington Ave., 13th Fl., Evanston, IL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60201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FISecurityNotices@magnetar.com</w:t>
      </w:r>
    </w:p>
    <w:p>
      <w:pPr>
        <w:spacing w:after="0" w:line="38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 </w:t>
      </w:r>
      <w:r>
        <w:rPr>
          <w:rFonts w:ascii="Times New Roman" w:cs="Times New Roman" w:eastAsia="Times New Roman" w:hAnsi="Times New Roman"/>
          <w:sz w:val="18"/>
          <w:szCs w:val="18"/>
          <w:b w:val="1"/>
          <w:bCs w:val="1"/>
          <w:color w:val="auto"/>
        </w:rPr>
        <w:t>AUGUST 2024</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RADCLIFFE SPAC MASTER FUND, L.P.</w:t>
      </w:r>
    </w:p>
    <w:p>
      <w:pPr>
        <w:spacing w:after="0" w:line="206" w:lineRule="exact"/>
        <w:rPr>
          <w:sz w:val="20"/>
          <w:szCs w:val="20"/>
          <w:color w:val="auto"/>
        </w:rPr>
      </w:pPr>
    </w:p>
    <w:tbl>
      <w:tblPr>
        <w:tblLayout w:type="fixed"/>
        <w:tblInd w:w="6600" w:type="dxa"/>
        <w:tblCellMar>
          <w:top w:w="0" w:type="dxa"/>
          <w:left w:w="0" w:type="dxa"/>
          <w:bottom w:w="0" w:type="dxa"/>
          <w:right w:w="0" w:type="dxa"/>
        </w:tblCellMar>
      </w:tblPr>
      <w:tr>
        <w:trPr>
          <w:trHeight w:val="234"/>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Christopher Hinkel</w:t>
            </w: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370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Radcliffe --C-apital Man·agement,-L.P., Its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RGC Management Company, LLC, its general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paitner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Christopher Hinkel, Managing Member of the GP</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its Investment Manager, Radcliffe Capital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Management, L.P.</w:t>
            </w:r>
          </w:p>
        </w:tc>
        <w:tc>
          <w:tcPr>
            <w:tcW w:w="0" w:type="dxa"/>
            <w:vAlign w:val="bottom"/>
          </w:tcPr>
          <w:p>
            <w:pPr>
              <w:spacing w:after="0"/>
              <w:rPr>
                <w:sz w:val="1"/>
                <w:szCs w:val="1"/>
                <w:color w:val="auto"/>
              </w:rPr>
            </w:pPr>
          </w:p>
        </w:tc>
      </w:tr>
      <w:tr>
        <w:trPr>
          <w:trHeight w:val="216"/>
        </w:trPr>
        <w:tc>
          <w:tcPr>
            <w:tcW w:w="4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  c/o Radcliffe Capital Management, L.P.</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50 Monument Road, Suite 300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 Cynwyd, PA 19004</w:t>
            </w:r>
          </w:p>
        </w:tc>
        <w:tc>
          <w:tcPr>
            <w:tcW w:w="0" w:type="dxa"/>
            <w:vAlign w:val="bottom"/>
          </w:tcPr>
          <w:p>
            <w:pPr>
              <w:spacing w:after="0"/>
              <w:rPr>
                <w:sz w:val="1"/>
                <w:szCs w:val="1"/>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370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JMootz@radcliffefunds.com;</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p>
        </w:tc>
        <w:tc>
          <w:tcPr>
            <w:tcW w:w="3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Ops@radcliffefunds.com</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1020"/>
          </w:cols>
          <w:pgMar w:left="440" w:top="266"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RIVERNORTH CAPITAL PARTNERS, LP</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37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Marcus Collins</w:t>
            </w:r>
          </w:p>
        </w:tc>
      </w:tr>
      <w:tr>
        <w:trPr>
          <w:trHeight w:val="191"/>
        </w:trPr>
        <w:tc>
          <w:tcPr>
            <w:tcW w:w="372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Marcus Collins</w:t>
            </w:r>
          </w:p>
        </w:tc>
      </w:tr>
      <w:tr>
        <w:trPr>
          <w:trHeight w:val="234"/>
        </w:trPr>
        <w:tc>
          <w:tcPr>
            <w:tcW w:w="37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of the General Partner</w:t>
            </w:r>
          </w:p>
        </w:tc>
      </w:tr>
      <w:tr>
        <w:trPr>
          <w:trHeight w:val="413"/>
        </w:trPr>
        <w:tc>
          <w:tcPr>
            <w:tcW w:w="37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Address:</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360 S. Rosemary Ave, Suite 1420</w:t>
            </w:r>
          </w:p>
        </w:tc>
      </w:tr>
      <w:tr>
        <w:trPr>
          <w:trHeight w:val="216"/>
        </w:trPr>
        <w:tc>
          <w:tcPr>
            <w:tcW w:w="372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 Palm Beach, FL 33401</w:t>
            </w:r>
          </w:p>
        </w:tc>
      </w:tr>
      <w:tr>
        <w:trPr>
          <w:trHeight w:val="234"/>
        </w:trPr>
        <w:tc>
          <w:tcPr>
            <w:tcW w:w="37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Email:</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mcollins@rivernorth.com</w:t>
            </w:r>
          </w:p>
        </w:tc>
      </w:tr>
      <w:tr>
        <w:trPr>
          <w:trHeight w:val="3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Investor Rights Agreement]</w:t>
            </w:r>
          </w:p>
        </w:tc>
        <w:tc>
          <w:tcPr>
            <w:tcW w:w="3480" w:type="dxa"/>
            <w:vAlign w:val="bottom"/>
          </w:tcPr>
          <w:p>
            <w:pPr>
              <w:spacing w:after="0"/>
              <w:rPr>
                <w:sz w:val="24"/>
                <w:szCs w:val="24"/>
                <w:color w:val="auto"/>
              </w:rPr>
            </w:pPr>
          </w:p>
        </w:tc>
      </w:tr>
    </w:tbl>
    <w:p>
      <w:pPr>
        <w:sectPr>
          <w:pgSz w:w="11900" w:h="16838" w:orient="portrait"/>
          <w:cols w:equalWidth="0" w:num="1">
            <w:col w:w="10580"/>
          </w:cols>
          <w:pgMar w:left="880" w:top="270"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RIVERNORTH INSTITUTIONAL PARTNERS, 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Marcus Collins</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Marcus Collins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of the General Partner</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360 S. Rosemary Ave, Suite 1420</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West Palm Beach, FL 33401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mcollins@rivernorth.com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RIVERNORTH SPAC ARBITRAGE FUND, LP</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Marcus Collins</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Marcus Collins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of the Managing Member of the</w:t>
            </w:r>
          </w:p>
        </w:tc>
      </w:tr>
      <w:tr>
        <w:trPr>
          <w:trHeight w:val="234"/>
        </w:trPr>
        <w:tc>
          <w:tcPr>
            <w:tcW w:w="72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360 S. Rosemary Ave, Suite 1420</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West Palm Beach, FL 33401</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mcollins@rivernorth.com</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30" w:name="page231"/>
    <w:bookmarkEnd w:id="2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Sandia Investment Management LP Acting on Behalf of</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Investors Listed In Exhibit A in the Non-Redemption</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Agreement*</w:t>
      </w:r>
    </w:p>
    <w:p>
      <w:pPr>
        <w:spacing w:after="0" w:line="206" w:lineRule="exact"/>
        <w:rPr>
          <w:sz w:val="20"/>
          <w:szCs w:val="20"/>
          <w:color w:val="auto"/>
        </w:rPr>
      </w:pPr>
    </w:p>
    <w:tbl>
      <w:tblPr>
        <w:tblLayout w:type="fixed"/>
        <w:tblInd w:w="66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Thomas J. Cagna</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Thomas J. Cagna</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 CFO &amp; CCO</w:t>
            </w:r>
          </w:p>
        </w:tc>
      </w:tr>
    </w:tbl>
    <w:p>
      <w:pPr>
        <w:spacing w:after="0" w:line="19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Address: 201 Washington Street</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Boston, MA 0210</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Email: tom@sandiamgmt.com</w:t>
      </w:r>
    </w:p>
    <w:p>
      <w:pPr>
        <w:spacing w:after="0" w:line="233" w:lineRule="exact"/>
        <w:rPr>
          <w:sz w:val="20"/>
          <w:szCs w:val="20"/>
          <w:color w:val="auto"/>
        </w:rPr>
      </w:pPr>
    </w:p>
    <w:p>
      <w:pPr>
        <w:ind w:left="220" w:right="340" w:hanging="218"/>
        <w:spacing w:after="0" w:line="281" w:lineRule="auto"/>
        <w:tabs>
          <w:tab w:leader="none" w:pos="2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investors are: Boothbay Absolute Return Strategies, LP; Boothby Diversified Alpha Master Fund LP; Sandia Crest LP; WWJr. Enterprises Inc.; Crestline Summit Master, SPC – Peak SP; and Crestline Summit Master, SPC – Crestline Summit APEX SP.</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1020"/>
          </w:cols>
          <w:pgMar w:left="440" w:top="270" w:right="439" w:bottom="1440" w:gutter="0" w:footer="0" w:header="0"/>
        </w:sectPr>
      </w:pPr>
    </w:p>
    <w:bookmarkStart w:id="231" w:name="page232"/>
    <w:bookmarkEnd w:id="231"/>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Signed by Anthony Sharp by their attorney</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Daniel Wagner under a power of attorney dated 4 June 2024</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42 Emerald Hill Road, 229318,</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Email: ant@antsharp.com</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the Investor Rights Agreement]</w:t>
      </w:r>
    </w:p>
    <w:p>
      <w:pPr>
        <w:sectPr>
          <w:pgSz w:w="11900" w:h="16838" w:orient="portrait"/>
          <w:cols w:equalWidth="0" w:num="1">
            <w:col w:w="9940"/>
          </w:cols>
          <w:pgMar w:left="1440" w:top="266" w:right="5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Vellar Opportunities Fund Master, Ltd</w:t>
      </w:r>
    </w:p>
    <w:p>
      <w:pPr>
        <w:spacing w:after="0" w:line="229"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Joseph W. Pooler, Jr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Joseph W. Pooler, Jr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&amp; CFO</w:t>
            </w:r>
          </w:p>
        </w:tc>
      </w:tr>
    </w:tbl>
    <w:p>
      <w:pPr>
        <w:spacing w:after="0" w:line="134"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8"/>
          <w:szCs w:val="18"/>
          <w:color w:val="auto"/>
        </w:rPr>
        <w:t>Address: 3 Columbus Circle-24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jc w:val="center"/>
        <w:ind w:left="4980"/>
        <w:spacing w:after="0"/>
        <w:rPr>
          <w:sz w:val="20"/>
          <w:szCs w:val="20"/>
          <w:color w:val="auto"/>
        </w:rPr>
      </w:pPr>
      <w:r>
        <w:rPr>
          <w:rFonts w:ascii="Times New Roman" w:cs="Times New Roman" w:eastAsia="Times New Roman" w:hAnsi="Times New Roman"/>
          <w:sz w:val="18"/>
          <w:szCs w:val="18"/>
          <w:color w:val="auto"/>
        </w:rPr>
        <w:t>   New York, NY 10019</w:t>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Email: jpooler@cohenandcompany.com</w:t>
      </w:r>
    </w:p>
    <w:p>
      <w:pPr>
        <w:sectPr>
          <w:pgSz w:w="11900" w:h="16838" w:orient="portrait"/>
          <w:cols w:equalWidth="0" w:num="1">
            <w:col w:w="10580"/>
          </w:cols>
          <w:pgMar w:left="880" w:top="270" w:right="439" w:bottom="1440" w:gutter="0" w:footer="0" w:header="0"/>
        </w:sectPr>
      </w:pPr>
    </w:p>
    <w:bookmarkStart w:id="233" w:name="page234"/>
    <w:bookmarkEnd w:id="233"/>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Daniel Wagner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Address: Flat 1, 15 Wedderburn Road,</w:t>
      </w:r>
    </w:p>
    <w:p>
      <w:pPr>
        <w:spacing w:after="0" w:line="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London NW3 5QS</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Email:</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the Investor Rights Agreement]</w:t>
      </w:r>
    </w:p>
    <w:p>
      <w:pPr>
        <w:sectPr>
          <w:pgSz w:w="11900" w:h="16838" w:orient="portrait"/>
          <w:cols w:equalWidth="0" w:num="1">
            <w:col w:w="9019"/>
          </w:cols>
          <w:pgMar w:left="1440" w:top="266" w:right="1440" w:bottom="1440" w:gutter="0" w:footer="0" w:header="0"/>
        </w:sectPr>
      </w:pPr>
    </w:p>
    <w:bookmarkStart w:id="234" w:name="page235"/>
    <w:bookmarkEnd w:id="234"/>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Signed by John Wagner by their attorney</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Daniel Wagner under a power of attorney dated 5 June 2024</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53.316 Laddawan Village, Moo 1,</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Rangsit-Pathum, Thani Road, Ban Klang</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Amphur, Mueang, Patham Thani 12000,</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Email: johnwagner@brightstation.com</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the Investor Rights Agreement]</w:t>
      </w:r>
    </w:p>
    <w:p>
      <w:pPr>
        <w:sectPr>
          <w:pgSz w:w="11900" w:h="16838" w:orient="portrait"/>
          <w:cols w:equalWidth="0" w:num="1">
            <w:col w:w="9940"/>
          </w:cols>
          <w:pgMar w:left="1440" w:top="266"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31"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WALLEYE INVESTMENTS FUND LLC</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William England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William England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 of the Manager</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2800 Niagara Lane North</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Plymouth, MN 55447</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legal@walleyecapital.com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WALLEYE OPPORTUNITIES MASTER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FUND LTD</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William England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William England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 of the Manager</w:t>
            </w:r>
          </w:p>
        </w:tc>
      </w:tr>
    </w:tbl>
    <w:p>
      <w:pPr>
        <w:spacing w:after="0" w:line="19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2800 Niagara Lane North</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Plymouth, MN 55447</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legal@walleyecapital.com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CELSO WHITE</w:t>
      </w:r>
    </w:p>
    <w:p>
      <w:pPr>
        <w:spacing w:after="0" w:line="206"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Celso White</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Celso White</w:t>
            </w:r>
          </w:p>
        </w:tc>
      </w:tr>
    </w:tbl>
    <w:p>
      <w:pPr>
        <w:spacing w:after="0" w:line="17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34 N Calibogue Cay road</w:t>
      </w:r>
    </w:p>
    <w:p>
      <w:pPr>
        <w:spacing w:after="0" w:line="27"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auto"/>
        </w:rPr>
        <w:t>Hilton Head Island, SC 29928</w:t>
      </w:r>
    </w:p>
    <w:p>
      <w:pPr>
        <w:spacing w:after="0" w:line="9" w:lineRule="exact"/>
        <w:rPr>
          <w:sz w:val="20"/>
          <w:szCs w:val="20"/>
          <w:color w:val="auto"/>
        </w:rPr>
      </w:pPr>
    </w:p>
    <w:p>
      <w:pPr>
        <w:ind w:left="6160"/>
        <w:spacing w:after="0"/>
        <w:tabs>
          <w:tab w:leader="none" w:pos="6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celsowhite61@gmail.com</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ectPr>
          <w:pgSz w:w="11900" w:h="16838" w:orient="portrait"/>
          <w:cols w:equalWidth="0" w:num="1">
            <w:col w:w="10580"/>
          </w:cols>
          <w:pgMar w:left="880" w:top="270" w:right="439" w:bottom="1440" w:gutter="0" w:footer="0" w:header="0"/>
        </w:sectPr>
      </w:pPr>
    </w:p>
    <w:bookmarkStart w:id="238" w:name="page239"/>
    <w:bookmarkEnd w:id="238"/>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Signed by Bradley James Wickens by their attorney Daniel</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Wagner under a power of attorney dated 3 June 2024</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Pudlicote House, Pudlicote Lane,</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Chipping Norton, Oxfordshire, OX7 3HX,</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bw@broadreachllp.com</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the Investor Rights Agreement]</w:t>
      </w:r>
    </w:p>
    <w:p>
      <w:pPr>
        <w:sectPr>
          <w:pgSz w:w="11900" w:h="16838" w:orient="portrait"/>
          <w:cols w:equalWidth="0" w:num="1">
            <w:col w:w="9860"/>
          </w:cols>
          <w:pgMar w:left="1440" w:top="266" w:right="599" w:bottom="1440" w:gutter="0" w:footer="0" w:header="0"/>
        </w:sectPr>
      </w:pPr>
    </w:p>
    <w:bookmarkStart w:id="239" w:name="page240"/>
    <w:bookmarkEnd w:id="239"/>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17145</wp:posOffset>
            </wp:positionV>
            <wp:extent cx="27914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Signed by Sir David Wright by their attorney</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Daniel Wagner under a power of attorney 27</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May 2024</w:t>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 107 North End, Meldreth,</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Cambridgeshire, SG8 6NX, United Kingdom</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dwrightsir@gmail.com</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the Investor Rights Agreement]</w:t>
      </w:r>
    </w:p>
    <w:p>
      <w:pPr>
        <w:sectPr>
          <w:pgSz w:w="11900" w:h="16838" w:orient="portrait"/>
          <w:cols w:equalWidth="0" w:num="1">
            <w:col w:w="9019"/>
          </w:cols>
          <w:pgMar w:left="1440" w:top="266" w:right="1440" w:bottom="1440" w:gutter="0" w:footer="0" w:header="0"/>
        </w:sectPr>
      </w:pPr>
    </w:p>
    <w:bookmarkStart w:id="240" w:name="page241"/>
    <w:bookmarkEnd w:id="240"/>
    <w:p>
      <w:pPr>
        <w:ind w:left="5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7"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t>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Original Holders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Herbert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Lurio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Herbert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A. Decker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 Market Street, Suite 2800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Mohammad A. Khan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2238 Bentley Ridge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95138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Celso L. White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Cherry Hills Farm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 80113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07" w:lineRule="auto"/>
        <w:rPr>
          <w:sz w:val="20"/>
          <w:szCs w:val="20"/>
          <w:color w:val="auto"/>
        </w:rPr>
      </w:pPr>
      <w:r>
        <w:rPr>
          <w:rFonts w:ascii="Times New Roman" w:cs="Times New Roman" w:eastAsia="Times New Roman" w:hAnsi="Times New Roman"/>
          <w:sz w:val="18"/>
          <w:szCs w:val="18"/>
          <w:color w:val="auto"/>
        </w:rPr>
        <w:t>366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Apeiron Investment Group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&amp; 67, Beatrice Amery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Sliema, SLM1707, Malta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DBLP Sea Cow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Wagner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Wagner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Igor Lychagov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 David Wright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 Newmark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Sharp</w:t>
      </w:r>
    </w:p>
    <w:p>
      <w:pPr>
        <w:sectPr>
          <w:pgSz w:w="11900" w:h="16838" w:orient="portrait"/>
          <w:cols w:equalWidth="0" w:num="1">
            <w:col w:w="10019"/>
          </w:cols>
          <w:pgMar w:left="440" w:top="270"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Brad Wickens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Alameda Special Purpose Investment Fund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Alamosa (Cayman) Holdco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ASOF VII (Cayman) Holdco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Antara Capital Total Return SPAC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AQR Absolute Return Master Account,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AQR Funds - AQR Diversified Arbitrage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AQR Global Alternative Investment Offshore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ASJC Global LLC - Series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Atalaya Special Purpose Investment Fund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BoothBay Asolute Return Strategies,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BoothBay Diversified Alpha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Patriot Merrimack ST.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Sponsor LLC - A14 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Partners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Corbin ERISA Opportunity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Crestline Summit Master, SPC- Crestline Summit APEX SP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Crestline Summit Master, SPC- Peak SP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Capital Opportunity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Opportunity Master Fund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 Tree Value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 SOF XIII (SPAC)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Highbridge Tactical Credit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Highbridge Tactical Credit Institutional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Kepos Alpha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Kepos Special Opportunities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Capital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Constellation Fund II, Ltd.</w:t>
      </w:r>
    </w:p>
    <w:p>
      <w:pPr>
        <w:sectPr>
          <w:pgSz w:w="11900" w:h="16838" w:orient="portrait"/>
          <w:cols w:equalWidth="0" w:num="1">
            <w:col w:w="10019"/>
          </w:cols>
          <w:pgMar w:left="440" w:top="270"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Magnetar Constellation Master Fund, Ltd.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Disclovery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Lake Credit Fund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SC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Structured Credit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Magnetar Xing He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Meteora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Nautilus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 Multi-Strategy Master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Alternative Credit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Alternative Credit Fund 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Radcliffe SPAC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Rivernorth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RiverNorth Institutional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RiverNorth SPAC Arbitrage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Sandia Crest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K2 Principal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Vellar Opportunities Fund Master,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Investments Fund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Walleye Opportunities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WWJr. Enterprises Inc.</w:t>
      </w:r>
    </w:p>
    <w:p>
      <w:pPr>
        <w:sectPr>
          <w:pgSz w:w="11900" w:h="16838" w:orient="portrait"/>
          <w:cols w:equalWidth="0" w:num="1">
            <w:col w:w="10019"/>
          </w:cols>
          <w:pgMar w:left="440" w:top="270" w:right="1440" w:bottom="1440" w:gutter="0" w:footer="0" w:header="0"/>
        </w:sectPr>
      </w:pPr>
    </w:p>
    <w:bookmarkStart w:id="243" w:name="page244"/>
    <w:bookmarkEnd w:id="243"/>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u w:val="single" w:color="auto"/>
          <w:color w:val="auto"/>
        </w:rPr>
        <w:t>SHAREHOLDERS PARTIES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Herbert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Lurio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 David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DBLP Sea Cow Limited</w:t>
      </w:r>
    </w:p>
    <w:p>
      <w:pPr>
        <w:sectPr>
          <w:pgSz w:w="11900" w:h="16838" w:orient="portrait"/>
          <w:cols w:equalWidth="0" w:num="1">
            <w:col w:w="10019"/>
          </w:cols>
          <w:pgMar w:left="440" w:top="270"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LOCK-IN AGREEMENT</w:t>
      </w:r>
    </w:p>
    <w:p>
      <w:pPr>
        <w:spacing w:after="0" w:line="2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Lock-In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15 August, 2024 is made and entered into by and among Rezolve AI Limited, a private limited liability company registered under the laws of England and Wales with registration number 14573691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Capitalized terms used but not defined herein have the meanings assigned to them in the Business Combination Agreement originally dated as of December 17, 2021 and amended on November 10, 2022 and further amended and restated as of June 16, 2023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by and among the Company, Rezolve Limited, a private limited liability company registered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with registration number 09773823 (the “</w:t>
      </w:r>
      <w:r>
        <w:rPr>
          <w:rFonts w:ascii="Times New Roman" w:cs="Times New Roman" w:eastAsia="Times New Roman" w:hAnsi="Times New Roman"/>
          <w:sz w:val="18"/>
          <w:szCs w:val="18"/>
          <w:b w:val="1"/>
          <w:bCs w:val="1"/>
          <w:color w:val="auto"/>
        </w:rPr>
        <w:t>Original Company</w:t>
      </w:r>
      <w:r>
        <w:rPr>
          <w:rFonts w:ascii="Times New Roman" w:cs="Times New Roman" w:eastAsia="Times New Roman" w:hAnsi="Times New Roman"/>
          <w:sz w:val="18"/>
          <w:szCs w:val="18"/>
          <w:color w:val="auto"/>
        </w:rPr>
        <w:t>”), Rezolve Merger Sub, Inc., a Delaware corporation (the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Armada Acquisition Corp. I, a Delaware corporation (“</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WHEREAS, as a condition to Closing occurring under the Business Combination Agreement, the Original Company, the Company and certain of the shareholders in the Original Company (the “</w:t>
      </w:r>
      <w:r>
        <w:rPr>
          <w:rFonts w:ascii="Times New Roman" w:cs="Times New Roman" w:eastAsia="Times New Roman" w:hAnsi="Times New Roman"/>
          <w:sz w:val="18"/>
          <w:szCs w:val="18"/>
          <w:b w:val="1"/>
          <w:bCs w:val="1"/>
          <w:color w:val="auto"/>
        </w:rPr>
        <w:t>Original Company Shareholders</w:t>
      </w:r>
      <w:r>
        <w:rPr>
          <w:rFonts w:ascii="Times New Roman" w:cs="Times New Roman" w:eastAsia="Times New Roman" w:hAnsi="Times New Roman"/>
          <w:sz w:val="18"/>
          <w:szCs w:val="18"/>
          <w:color w:val="auto"/>
        </w:rPr>
        <w:t>”) entered into a demerger support agreement dated 2024 pursuant to which they effected a demerger pursuant to section 110 Insolvency Act 1986 under which the Original Company entered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in the capital of the Company for distribution amongst the Original Company Shareholders in proportion to their holdings of shares of each class in the Original Company (the “</w:t>
      </w:r>
      <w:r>
        <w:rPr>
          <w:rFonts w:ascii="Times New Roman" w:cs="Times New Roman" w:eastAsia="Times New Roman" w:hAnsi="Times New Roman"/>
          <w:sz w:val="18"/>
          <w:szCs w:val="18"/>
          <w:b w:val="1"/>
          <w:bCs w:val="1"/>
          <w:color w:val="auto"/>
        </w:rPr>
        <w:t>Pre-Closing Demerger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20" w:firstLine="440"/>
        <w:spacing w:after="0" w:line="260" w:lineRule="auto"/>
        <w:rPr>
          <w:sz w:val="20"/>
          <w:szCs w:val="20"/>
          <w:color w:val="auto"/>
        </w:rPr>
      </w:pPr>
      <w:r>
        <w:rPr>
          <w:rFonts w:ascii="Times New Roman" w:cs="Times New Roman" w:eastAsia="Times New Roman" w:hAnsi="Times New Roman"/>
          <w:sz w:val="18"/>
          <w:szCs w:val="18"/>
          <w:color w:val="auto"/>
        </w:rPr>
        <w:t>WHEREAS, the Company, the Original Company, Armada and Merger Sub are parties to the Business Combination Agreement, pursuant to which, among other things, after completion of the Pre-Closing Demerger, the Company is to reorganize its share capital (the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and thereafter, Armada merged with and into Merger Sub (a wholly-owned subsidiary of the Company), with Armada surviving as a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80" w:firstLine="440"/>
        <w:spacing w:after="0" w:line="265" w:lineRule="auto"/>
        <w:rPr>
          <w:sz w:val="20"/>
          <w:szCs w:val="20"/>
          <w:color w:val="auto"/>
        </w:rPr>
      </w:pPr>
      <w:r>
        <w:rPr>
          <w:rFonts w:ascii="Times New Roman" w:cs="Times New Roman" w:eastAsia="Times New Roman" w:hAnsi="Times New Roman"/>
          <w:sz w:val="18"/>
          <w:szCs w:val="18"/>
          <w:color w:val="auto"/>
        </w:rPr>
        <w:t>WHEREAS, in order to stabilize and facilitate an orderly market in the shares in the capital of the Company upon being admitted to The Nasdaq Stock Market, it is envisaged that all the shareholders of the Company (who have not entered into an investor rights agreement) shall agree not to dispose of their shares in the capital of the Company for a period of 180 days after the Closing Date (as defined below); and</w:t>
      </w:r>
    </w:p>
    <w:p>
      <w:pPr>
        <w:spacing w:after="0" w:line="177" w:lineRule="exact"/>
        <w:rPr>
          <w:sz w:val="20"/>
          <w:szCs w:val="20"/>
          <w:color w:val="auto"/>
        </w:rPr>
      </w:pPr>
    </w:p>
    <w:p>
      <w:pPr>
        <w:ind w:right="300" w:firstLine="4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For purposes of this Agreement, the following terms and variations thereof have the meanings set forth below:</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which (i) directly, or indirectly through one or more intermediaries, controls, or is controlled by, or is under common control with, such Person, and (ii) as to any individual, in addition to any Person in clause (i), (a) any member of the immediate family of an individual Holder, including parents, siblings, spouse and children (including those by adoption), the parents, siblings, spouse, or children (including those by adoption) of such immediate family member, and, in any such case, any trust whose primary beneficiary is such individual Holder or one or more members of such immediate family and/or such Holder’s lineal descendants, and (b) the legal representative or guardian of such individual Holder or of any such immediate family member in the event such individual Holder or any such immediate family member becomes mentally incompetent;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or any of its subsidiaries be deemed an Affiliate of any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ectPr>
          <w:pgSz w:w="11900" w:h="16838" w:orient="portrait"/>
          <w:cols w:equalWidth="0" w:num="1">
            <w:col w:w="11000"/>
          </w:cols>
          <w:pgMar w:left="440" w:top="117"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 “</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have the meaning assigned to such terms in Rule 13d-3 under the Exchange Act, and a Person’s beneficial ownership of securities shall be calculated in accordance with the provisions of such Rule (in each case, irrespective of whether or not such Rule is actually applicable in such circumstance). For the purposes of calculating any Holder’s Beneficial Ownership, rights and obligations under this Agreement shall not be taken into account.</w:t>
      </w:r>
    </w:p>
    <w:p>
      <w:pPr>
        <w:spacing w:after="0" w:line="1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shall have the meaning given in the Preamble.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given in the BCA.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all information (irrespective of the form of communication) received by or on behalf of a Holder or its Representatives from the Company, its Affiliates or their respective Representatives, through the Beneficial Ownership of Equity Securities or through the rights granted pursuant hereto, other than information which (i) was or becomes generally available to the public other than as a result of a breach of this Agreement by such Holder, its Affiliates or their respective Representatives, (ii) was or becomes available to such Holder, its Affiliates or their respective Representatives on a non-confidential basis from a source other than the Company, its Affiliates or their respective Representatives, or any other Holder or its Representatives, as the case may be, provided, that the source thereof is not known by such Holder or such of its Affiliates or their respective Representatives to be bound by an obligation of confidentiality to the Company or any of its Affiliates, or (iii) is independently developed by such Holder, its Affiliates or their respective Representatives without the use of any information that would otherwise be Confidential Information 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Notes</w:t>
      </w:r>
      <w:r>
        <w:rPr>
          <w:rFonts w:ascii="Times New Roman" w:cs="Times New Roman" w:eastAsia="Times New Roman" w:hAnsi="Times New Roman"/>
          <w:sz w:val="18"/>
          <w:szCs w:val="18"/>
          <w:color w:val="auto"/>
        </w:rPr>
        <w:t>” means the certain loan notes issued by the Company pursuant to that certain loan note instrument constituting up to</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$49,892,080 secured convertible Loan Notes, originally dated December 16, 2021 as amended and restated on November 21, 2022 and May 24, 2023 , as further amended on December 18, 2023 and December 29, 2023 and as further amended and restated on 26 January 2024, as the same may be amended and/or amended and restated from time to time and as novated to the Company by the Original Company in connection with the Pre-Closing Demerger.</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Promissory Loan Notes</w:t>
      </w:r>
      <w:r>
        <w:rPr>
          <w:rFonts w:ascii="Times New Roman" w:cs="Times New Roman" w:eastAsia="Times New Roman" w:hAnsi="Times New Roman"/>
          <w:sz w:val="18"/>
          <w:szCs w:val="18"/>
          <w:color w:val="auto"/>
        </w:rPr>
        <w:t>” means those certain convertible promissory notes issued on or around February 2, 2024 by the Company pursuant to subscription agreements originally dated on or around February 2, 2024 between the Original Company, the Company and each such Holder, as the same may be amended and/or amended and restated from time to time.</w:t>
      </w:r>
    </w:p>
    <w:p>
      <w:pPr>
        <w:spacing w:after="0" w:line="17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(i) all shares of capital stock of the Company, (ii) all securities convertible into or exchangeable for shares of capital stock of the Company, and (iii) all options, warrants or other rights to purchase or otherwise acquire from the Company shares of such capital stock, or securities convertible into or exchangeable for shares of such capital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5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shall have the meaning given in the Preamble (and any Person to whom rights under this Agreement is assigned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246" w:name="page247"/>
    <w:bookmarkEnd w:id="246"/>
    <w:p>
      <w:pPr>
        <w:ind w:right="1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statute, law, ordinance, rule, treaty, code, directive, regulation, governmental approval (whether granted or required) or order, in each case, of any Governmental Authority.</w:t>
      </w:r>
    </w:p>
    <w:p>
      <w:pPr>
        <w:spacing w:after="0" w:line="1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shall mean the Initial Lockup Period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as may expire earlier with respect to such portion of the 10% Lockup Shares in accordance with the terms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shall mean the Company’s Memorandum and Articles of Association, effective as of the Closing Date, as may be amended or amended and restated.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in the capital of the Company.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with respect to a Holder, (a) any of its Affiliates or any related or controlled fund or sub-fund, partnership or investment vehicle or any general partner, managing limited partner or management company who holds or manages any business of, or whose business is held or managed by, that Holder or any of its Affiliates or (b) any other person with the prior written consent of the Company (not to be unreasonably withheld, delayed or conditioned). With respect to a Holder that is an individual,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shall also include (x) as to any member of such Holder’s immediate family, or to a trust for the benefit of Holder or any member of Holder’s immediate family, the sole trustees of which are such Holder or any member of such Holder’s immediate family or (y) by will, other testamentary document, under the laws of intestacy or by virtue of laws of descent and distribution upon the death of Holder. In all cases, a Permitted Transferee, shall concurrently with any assignment, transfer or conveyance of Locked-In Securities execute a counterpart to this Agreement or a joinder agreeing to become a party to this Agreement.</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trust, incorporated organization, association, corporation, institution, public benefit corporation, Governmental Authority or any other entity.</w:t>
      </w:r>
    </w:p>
    <w:p>
      <w:pPr>
        <w:spacing w:after="0" w:line="1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Locked-In Security</w:t>
      </w:r>
      <w:r>
        <w:rPr>
          <w:rFonts w:ascii="Times New Roman" w:cs="Times New Roman" w:eastAsia="Times New Roman" w:hAnsi="Times New Roman"/>
          <w:sz w:val="18"/>
          <w:szCs w:val="18"/>
          <w:color w:val="auto"/>
        </w:rPr>
        <w:t>” shall mean (i) any outstanding Ordinary Shares, and (ii) any other Equity Security (including the Ordinary Shares issued or issuable upon the exercise of any other Equity Security) of the Company held by a Holder as of the Closing Date (including the Ordinary Shares issued by the Company pursuant to the Pre-Closing Demerger, the Reorganization, the Business Combination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shall mean the trading price of the Ordinary Shares reported on The Nasdaq Stock Market LLC, the New York Stock Exchange or other national stock exchange (or if not then reported on a national exchange, the average bid and ask price as reported on an over-the-counter bulletin board, “pink sheets” or other quotation service).</w:t>
      </w:r>
    </w:p>
    <w:p>
      <w:pPr>
        <w:spacing w:after="0" w:line="17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warrants issued by the Company to certain persons who advanced Convertible Promissory Loan Notes pursuant to a warrant instrument dated 15 August 2024, as the same may be amended and/or amended and restated from time to time.</w:t>
      </w:r>
    </w:p>
    <w:p>
      <w:pPr>
        <w:sectPr>
          <w:pgSz w:w="11900" w:h="16838" w:orient="portrait"/>
          <w:cols w:equalWidth="0" w:num="1">
            <w:col w:w="10980"/>
          </w:cols>
          <w:pgMar w:left="440" w:top="266" w:right="47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For the 180 day period after the Closing Date (the “</w:t>
      </w:r>
      <w:r>
        <w:rPr>
          <w:rFonts w:ascii="Times New Roman" w:cs="Times New Roman" w:eastAsia="Times New Roman" w:hAnsi="Times New Roman"/>
          <w:sz w:val="18"/>
          <w:szCs w:val="18"/>
          <w:b w:val="1"/>
          <w:bCs w:val="1"/>
          <w:color w:val="auto"/>
        </w:rPr>
        <w:t>Initial Lockup Period</w:t>
      </w:r>
      <w:r>
        <w:rPr>
          <w:rFonts w:ascii="Times New Roman" w:cs="Times New Roman" w:eastAsia="Times New Roman" w:hAnsi="Times New Roman"/>
          <w:sz w:val="18"/>
          <w:szCs w:val="18"/>
          <w:color w:val="auto"/>
        </w:rPr>
        <w:t>”), the Holder will not:</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2.1.1 sell, offer to sell, contract or agree to sell, hypothecate, pledge (except as collateral to any financing source in the ordinary course), grant any option to purchase or otherwise dispose of or agree to dispose of, directly or indirectly, or establish or increase a put equivalent position or liquidate or decrease a call equivalent position within the meaning of Section 16 of the Exchange Act, with respect to any Locked-In Securities,</w:t>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2.1.2 enter into any swap or other arrangement that transfers to another, in whole or in part, any of the economic consequences of ownership of any of the Locked-In Securities, in cash or otherwise, 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 publicly announce any intention to effect any transaction specified in section 2.1.1 or 2.1.2,</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provided, that the foregoing shall not prohibit the transfer of Locked-In Securities to a Permitted Transferee, but only if such Permitted Transferee shall concurrently execute this Agreement or a joinder agreeing to become a party to this Agreement and except, that, with respect to ten percent (10%) of the Locked-In Securities (the “</w:t>
      </w:r>
      <w:r>
        <w:rPr>
          <w:rFonts w:ascii="Times New Roman" w:cs="Times New Roman" w:eastAsia="Times New Roman" w:hAnsi="Times New Roman"/>
          <w:sz w:val="18"/>
          <w:szCs w:val="18"/>
          <w:b w:val="1"/>
          <w:bCs w:val="1"/>
          <w:color w:val="auto"/>
        </w:rPr>
        <w:t>10% Lockup Shares</w:t>
      </w:r>
      <w:r>
        <w:rPr>
          <w:rFonts w:ascii="Times New Roman" w:cs="Times New Roman" w:eastAsia="Times New Roman" w:hAnsi="Times New Roman"/>
          <w:sz w:val="18"/>
          <w:szCs w:val="18"/>
          <w:color w:val="auto"/>
        </w:rPr>
        <w:t>”),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 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Notwithstanding the foregoing, (i) the provisions of this Section 2.1 shall not apply to any Ordinary Shares issued pursuant to the conversion of the Convertible Loan Notes, the Convertible Promissory Loan Notes and the exercise of the Warrants (although, no assurances are made as to whether, when or at what price the Holder will be able to sell, transfer or otherwise dispose of such Ordinary Shares even though not subject to the provisions of this Section 2.1), and (ii) the Company (at it sole discretion) may consent to any Holder selling, transferring or disposing of any number of Locked-In Securities from time to time during the Initial Lockup Period.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CONFIDENTIALITY AND ANNOUNCEMENTS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Each Holder hereby agrees that all Confidential Information with respect to the Company shall be kept confidential by it and shall not be disclosed by it in any manner whatsoever, except as permitted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other confidentiality obligations to which any Holder may be subject,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not apply to any Holder who is an employee or officer of the Company. Notwithstanding anything contained in this Agreement or any additional confidentiality obligations to the Company or its or any Holder may be bound, Confidential Information received by each Holder may be disclosed:</w:t>
      </w:r>
    </w:p>
    <w:p>
      <w:pPr>
        <w:spacing w:after="0" w:line="74" w:lineRule="exact"/>
        <w:rPr>
          <w:sz w:val="20"/>
          <w:szCs w:val="20"/>
          <w:color w:val="auto"/>
        </w:rPr>
      </w:pPr>
    </w:p>
    <w:p>
      <w:pPr>
        <w:ind w:firstLine="2"/>
        <w:spacing w:after="0" w:line="260" w:lineRule="auto"/>
        <w:tabs>
          <w:tab w:leader="none" w:pos="2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to its Affiliates or its or their respective directors, officers, employees and authorized representatives (including attorneys, accountants, consultants, bankers and financial advisors) (such Persons, collectively, with respect to any Person, such Person’s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provided such Representatives owe a contractual or other duty of confidentiality to such Shareholder Party or any of its Affiliates with respect to any Confidential Information so disclosed;</w:t>
      </w:r>
    </w:p>
    <w:p>
      <w:pPr>
        <w:spacing w:after="0" w:line="181" w:lineRule="exact"/>
        <w:rPr>
          <w:rFonts w:ascii="Times New Roman" w:cs="Times New Roman" w:eastAsia="Times New Roman" w:hAnsi="Times New Roman"/>
          <w:sz w:val="18"/>
          <w:szCs w:val="18"/>
          <w:color w:val="auto"/>
        </w:rPr>
      </w:pPr>
    </w:p>
    <w:p>
      <w:pPr>
        <w:ind w:left="260" w:hanging="258"/>
        <w:spacing w:after="0"/>
        <w:tabs>
          <w:tab w:leader="none" w:pos="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each Holder and each of its Representatives, to the extent the Company consents in writing; and</w:t>
      </w:r>
    </w:p>
    <w:p>
      <w:pPr>
        <w:sectPr>
          <w:pgSz w:w="11900" w:h="16838" w:orient="portrait"/>
          <w:cols w:equalWidth="0" w:num="1">
            <w:col w:w="11000"/>
          </w:cols>
          <w:pgMar w:left="440" w:top="266" w:right="459" w:bottom="1440" w:gutter="0" w:footer="0" w:header="0"/>
        </w:sectPr>
      </w:pPr>
    </w:p>
    <w:bookmarkStart w:id="248" w:name="page249"/>
    <w:bookmarkEnd w:id="248"/>
    <w:p>
      <w:pPr>
        <w:ind w:firstLine="2"/>
        <w:spacing w:after="0" w:line="265" w:lineRule="auto"/>
        <w:tabs>
          <w:tab w:leader="none" w:pos="2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required by Law or the rules of any stock exchange upon which such Holder’s or any of its Affiliates’ securities are listed or traded or as requested or required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a disclosure, such Person has, to the extent practicable and permitted by Law, consulted with the Company regarding the scope, timing and contents of such disclosure.</w:t>
      </w:r>
    </w:p>
    <w:p>
      <w:pPr>
        <w:spacing w:after="0" w:line="6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xml:space="preserve"> Prior to making any public announcement of information which the Company reasonably believes, prior to its public disclosure, may constitute material non-public information or inside information with respect to any Holder that has securities listed or traded on any stock exchange, the Company shall use commercially reasonable efforts to consult with such Holder regarding the scope, timing and contents of such announcement and, if reasonably requested by such Holder in writing, to the extent permitted by Law, cooperate with such Holder in the reasonable coordination of such announcement, in each case so as to permit such Holder to comply with its obligations under applicable securities Laws and rules of such stock exchange with respect to dissemination of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w:t>
      </w:r>
    </w:p>
    <w:p>
      <w:pPr>
        <w:spacing w:after="0" w:line="20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with respect to a Holder upon the earliest date upon which: (a) the Initial Lockup Period expires, and (b) on which neither such Holder nor any of its permitted assignees hold any Locked-In Securities.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Taylor Wessing LLP - Hill House, 1 Little New St, London EC4A 3TR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ectPr>
          <w:pgSz w:w="11900" w:h="16838" w:orient="portrait"/>
          <w:cols w:equalWidth="0" w:num="1">
            <w:col w:w="11000"/>
          </w:cols>
          <w:pgMar w:left="440" w:top="270" w:right="459" w:bottom="1440" w:gutter="0" w:footer="0" w:header="0"/>
        </w:sectPr>
      </w:pPr>
    </w:p>
    <w:bookmarkStart w:id="249" w:name="page250"/>
    <w:bookmarkEnd w:id="249"/>
    <w:p>
      <w:pPr>
        <w:ind w:right="32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color w:val="auto"/>
        </w:rPr>
        <w:t>Assignment; No Third-Party Beneficiary.</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5.4.1 This Agreement and the rights, duties and obligations of the Company hereunder may not be assigned or delegated by the Company in whole or in part.</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 xml:space="preserve">5.4.2 Prior to the expiration of the Lockup Period, no Holder may assign or delegate such Holder’s rights, duties or obligations under this Agreement, in whole or in part, except in connection with a transfer of Locked-In Securities by such Holder to a Permitted Transferee (subject to </w:t>
      </w:r>
      <w:r>
        <w:rPr>
          <w:rFonts w:ascii="Times New Roman" w:cs="Times New Roman" w:eastAsia="Times New Roman" w:hAnsi="Times New Roman"/>
          <w:sz w:val="18"/>
          <w:szCs w:val="18"/>
          <w:u w:val="single" w:color="auto"/>
          <w:color w:val="auto"/>
        </w:rPr>
        <w:t>subsection 5.4.4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 xml:space="preserve">5.4.3 This Agreement and the provisions hereof shall be binding upon and shall inure to the benefit of each of the parties and its successors and the permitted assigns of the Holder, which shall include Permitted Transferees, except as provided in </w:t>
      </w:r>
      <w:r>
        <w:rPr>
          <w:rFonts w:ascii="Times New Roman" w:cs="Times New Roman" w:eastAsia="Times New Roman" w:hAnsi="Times New Roman"/>
          <w:sz w:val="18"/>
          <w:szCs w:val="18"/>
          <w:u w:val="single" w:color="auto"/>
          <w:color w:val="auto"/>
        </w:rPr>
        <w:t>subsection 5.4.4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5.4.4 Notwithstanding the foregoing, no Holder may assign its rights under Article IV and Article V.</w:t>
      </w:r>
    </w:p>
    <w:p>
      <w:pPr>
        <w:spacing w:after="0" w:line="225"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 xml:space="preserve">5.4.5 This Agreement shall not confer any rights or benefits on any Persons that are not parties hereto, other than as expressly set forth in this Agreement and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5.4.6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null and void.</w:t>
      </w:r>
    </w:p>
    <w:p>
      <w:pPr>
        <w:spacing w:after="0" w:line="17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5.6.1 The governing law of this Agreement, and of any claim, dispute or issue arising out of or in connection with this Agreement or its subject matter (including non-contractual claims, disputes or issues), shall be that of England and Wales.</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5.6.2 The courts of England and Wales shall have exclusive jurisdiction to settle any claim, dispute or issue between the parties whether arising out of or in connection with this Agreement or its subject matter, or otherwise (including non-contractual claims). The parties irrevocably submit to such jurisdiction and waive any objection to it, on the ground of inconvenient forum or otherwise. No party shall oppose the recognition or enforcement of a judgment, order or decision of those courts in respect of any such claim or dispute by the courts of any state which, under the laws and rules applicable in that state, are competent or able to grant such recognition or enforcement.</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ectPr>
          <w:pgSz w:w="11900" w:h="16838" w:orient="portrait"/>
          <w:cols w:equalWidth="0" w:num="1">
            <w:col w:w="10980"/>
          </w:cols>
          <w:pgMar w:left="440" w:top="266" w:right="479" w:bottom="1440" w:gutter="0" w:footer="0" w:header="0"/>
        </w:sectPr>
      </w:pPr>
    </w:p>
    <w:bookmarkStart w:id="250" w:name="page251"/>
    <w:bookmarkEnd w:id="250"/>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5.8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7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This Agreement may not be amended except by an instrument in writing signed by the Company. Notwithstanding the foregoing, the consent of a Holder to an amendment will not be required to the extent that such amendment does not adversely impact the rights and obligations of such Holder under this Agreement.</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(Next Page is Signature Page)</w:t>
      </w:r>
    </w:p>
    <w:p>
      <w:pPr>
        <w:sectPr>
          <w:pgSz w:w="11900" w:h="16838" w:orient="portrait"/>
          <w:cols w:equalWidth="0" w:num="1">
            <w:col w:w="10880"/>
          </w:cols>
          <w:pgMar w:left="440" w:top="266" w:right="5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17145</wp:posOffset>
            </wp:positionV>
            <wp:extent cx="2654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7"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DANIEL WAGNER</w:t>
      </w:r>
    </w:p>
    <w:p>
      <w:pPr>
        <w:spacing w:after="0" w:line="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CEO</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to Lock-in Agreement]</w:t>
      </w:r>
    </w:p>
    <w:p>
      <w:pPr>
        <w:sectPr>
          <w:pgSz w:w="11900" w:h="16838" w:orient="portrait"/>
          <w:cols w:equalWidth="0" w:num="1">
            <w:col w:w="9579"/>
          </w:cols>
          <w:pgMar w:left="880" w:top="270"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0" w:lineRule="exact"/>
        <w:rPr>
          <w:sz w:val="20"/>
          <w:szCs w:val="20"/>
          <w:color w:val="auto"/>
        </w:rPr>
      </w:pPr>
    </w:p>
    <w:p>
      <w:pPr>
        <w:spacing w:after="0" w:line="25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[x] </w:t>
      </w:r>
      <w:r>
        <w:rPr>
          <w:rFonts w:ascii="Times New Roman" w:cs="Times New Roman" w:eastAsia="Times New Roman" w:hAnsi="Times New Roman"/>
          <w:sz w:val="18"/>
          <w:szCs w:val="18"/>
          <w:color w:val="auto"/>
        </w:rPr>
        <w:t>by their attorney</w:t>
      </w:r>
      <w:r>
        <w:rPr>
          <w:rFonts w:ascii="Times New Roman" w:cs="Times New Roman" w:eastAsia="Times New Roman" w:hAnsi="Times New Roman"/>
          <w:sz w:val="18"/>
          <w:szCs w:val="18"/>
          <w:b w:val="1"/>
          <w:bCs w:val="1"/>
          <w:color w:val="auto"/>
        </w:rPr>
        <w:t xml:space="preserve"> DANIEL MAURICE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-125095</wp:posOffset>
            </wp:positionV>
            <wp:extent cx="27914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 xml:space="preserve">WAGNER </w:t>
      </w:r>
      <w:r>
        <w:rPr>
          <w:rFonts w:ascii="Times New Roman" w:cs="Times New Roman" w:eastAsia="Times New Roman" w:hAnsi="Times New Roman"/>
          <w:sz w:val="18"/>
          <w:szCs w:val="18"/>
          <w:color w:val="auto"/>
        </w:rPr>
        <w:t>under a power of attorney dated 25 May 2024</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 13 Queensdale Place, London, W11 4SQ, United</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Kingdom</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Email:[x]</w:t>
      </w:r>
    </w:p>
    <w:p>
      <w:pPr>
        <w:spacing w:after="0" w:line="2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[Signature Page to Lock-in Agreement]</w:t>
      </w:r>
    </w:p>
    <w:p>
      <w:pPr>
        <w:sectPr>
          <w:pgSz w:w="11900" w:h="16838" w:orient="portrait"/>
          <w:cols w:equalWidth="0" w:num="1">
            <w:col w:w="10380"/>
          </w:cols>
          <w:pgMar w:left="880" w:top="270" w:right="6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Exhibit 8.1</w:t>
            </w:r>
          </w:p>
        </w:tc>
      </w:tr>
      <w:tr>
        <w:trPr>
          <w:trHeight w:val="431"/>
        </w:trPr>
        <w:tc>
          <w:tcPr>
            <w:tcW w:w="20" w:type="dxa"/>
            <w:vAlign w:val="bottom"/>
          </w:tcPr>
          <w:p>
            <w:pPr>
              <w:spacing w:after="0"/>
              <w:rPr>
                <w:sz w:val="24"/>
                <w:szCs w:val="24"/>
                <w:color w:val="auto"/>
              </w:rPr>
            </w:pPr>
          </w:p>
        </w:tc>
        <w:tc>
          <w:tcPr>
            <w:tcW w:w="782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Subsidiaries of Rezolve AI Limited</w:t>
            </w: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782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24"/>
                <w:szCs w:val="24"/>
                <w:color w:val="auto"/>
              </w:rPr>
            </w:pPr>
          </w:p>
        </w:tc>
        <w:tc>
          <w:tcPr>
            <w:tcW w:w="29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Jurisdiction</w:t>
            </w:r>
          </w:p>
        </w:tc>
      </w:tr>
      <w:tr>
        <w:trPr>
          <w:trHeight w:val="197"/>
        </w:trPr>
        <w:tc>
          <w:tcPr>
            <w:tcW w:w="20" w:type="dxa"/>
            <w:vAlign w:val="bottom"/>
          </w:tcPr>
          <w:p>
            <w:pPr>
              <w:spacing w:after="0"/>
              <w:rPr>
                <w:sz w:val="17"/>
                <w:szCs w:val="17"/>
                <w:color w:val="auto"/>
              </w:rPr>
            </w:pPr>
          </w:p>
        </w:tc>
        <w:tc>
          <w:tcPr>
            <w:tcW w:w="78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Armada Acquisition Corp. I</w:t>
            </w:r>
          </w:p>
        </w:tc>
        <w:tc>
          <w:tcPr>
            <w:tcW w:w="200" w:type="dxa"/>
            <w:vAlign w:val="bottom"/>
          </w:tcPr>
          <w:p>
            <w:pPr>
              <w:spacing w:after="0"/>
              <w:rPr>
                <w:sz w:val="17"/>
                <w:szCs w:val="17"/>
                <w:color w:val="auto"/>
              </w:rPr>
            </w:pPr>
          </w:p>
        </w:tc>
        <w:tc>
          <w:tcPr>
            <w:tcW w:w="29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xml:space="preserve">Delaware                               </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Technology S.I.</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Taiwan Inc.</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India</w:t>
            </w:r>
          </w:p>
        </w:tc>
      </w:t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Mobile Commerce Inc USA</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118" w:right="4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4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As adopted by the Board of</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Directors as of [               ]</w:t>
      </w:r>
    </w:p>
    <w:p>
      <w:pPr>
        <w:sectPr>
          <w:pgSz w:w="11900" w:h="16838" w:orient="portrait"/>
          <w:cols w:equalWidth="0" w:num="1">
            <w:col w:w="10000"/>
          </w:cols>
          <w:pgMar w:left="1440" w:top="117" w:right="459" w:bottom="1440" w:gutter="0" w:footer="0" w:header="0"/>
        </w:sectPr>
      </w:pPr>
    </w:p>
    <w:bookmarkStart w:id="255" w:name="page256"/>
    <w:bookmarkEnd w:id="25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 Employees, Officers, Directors and their Family Members and Affiliates Are Subject to this Policy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Trading in Rezolve Securities While in Possession of Material Nonpublic Information is Prohibited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Trading Window</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Trading in Other Public Companies’ Securities While in Possession of Material Nonpublic Information is Prohibited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Types of Transactions Are Prohibited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Sharing Material Nonpublic Information is Prohibited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Recommendations Regarding Trading in Company Securities are Prohibited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Only Designated Company Spokespersons Are Authorized to Disclose Material Nonpublic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Employees Must Follow Company Guidelines Pertaining to Electronic Communications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Transactions in Company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Officers and Certain Named Employees Are Subject to Additional Restrictions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Policy Violations Must Be Reported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Insider Trading Compliance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of “Material Nonpublic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Rezolve May Suspend All Trading Activities by Employees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Violations of Insider Trading Laws or This Policy Can Result in Severe Consequences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 Policy Is Subject to Revision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 Persons Must Acknowledge Their Agreement to Comply with This Policy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64"/>
        </w:trPr>
        <w:tc>
          <w:tcPr>
            <w:tcW w:w="900" w:type="dxa"/>
            <w:vAlign w:val="bottom"/>
          </w:tcPr>
          <w:p>
            <w:pPr>
              <w:spacing w:after="0"/>
              <w:rPr>
                <w:sz w:val="24"/>
                <w:szCs w:val="24"/>
                <w:color w:val="auto"/>
              </w:rPr>
            </w:pPr>
          </w:p>
        </w:tc>
        <w:tc>
          <w:tcPr>
            <w:tcW w:w="912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w:t>
            </w:r>
          </w:p>
        </w:tc>
        <w:tc>
          <w:tcPr>
            <w:tcW w:w="9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56" w:name="page257"/>
    <w:bookmarkEnd w:id="256"/>
    <w:p>
      <w:pPr>
        <w:ind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All Employees, Officers, Directors and their Family Members and Affiliates Are Subject to this Policy</w:t>
      </w:r>
      <w:r>
        <w:rPr>
          <w:rFonts w:ascii="Times New Roman" w:cs="Times New Roman" w:eastAsia="Times New Roman" w:hAnsi="Times New Roman"/>
          <w:sz w:val="18"/>
          <w:szCs w:val="18"/>
          <w:color w:val="auto"/>
        </w:rPr>
        <w:t>. This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applies to all employees, outside directors, officers, and consultants of Rezolve AI Limited, a private limited company incorporated under the laws of England and Wales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their family members and entities over which such individuals have or share voting or investment control. This Policy also applies to any other person who receives material nonpublic information from any Rezolve insider or is otherwise designated by the Compliance Officer. For purposes of this policy,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include people who live with you, or are financially dependent on you, and also include those whose transactions in securities are directed by you or are subject to your influence or control.</w:t>
      </w:r>
    </w:p>
    <w:p>
      <w:pPr>
        <w:spacing w:after="0" w:line="184" w:lineRule="exact"/>
        <w:rPr>
          <w:sz w:val="20"/>
          <w:szCs w:val="20"/>
          <w:color w:val="auto"/>
        </w:rPr>
      </w:pPr>
    </w:p>
    <w:p>
      <w:pPr>
        <w:ind w:right="2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This Policy continues to apply following termination of employment or other relationship with Rezolve until after the first trading day that any material non-public information in your possession has become public or is no longer material. Each employee, officer, consultant and director is </w:t>
      </w:r>
      <w:r>
        <w:rPr>
          <w:rFonts w:ascii="Times New Roman" w:cs="Times New Roman" w:eastAsia="Times New Roman" w:hAnsi="Times New Roman"/>
          <w:sz w:val="18"/>
          <w:szCs w:val="18"/>
          <w:i w:val="1"/>
          <w:iCs w:val="1"/>
          <w:u w:val="single" w:color="auto"/>
          <w:color w:val="auto"/>
        </w:rPr>
        <w:t>personally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actions of their family members and other persons with whom they have a relationship who are subject to this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pre-clearances required.</w:t>
      </w:r>
    </w:p>
    <w:p>
      <w:pPr>
        <w:spacing w:after="0" w:line="17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Trading in Rezolve Securities While in Possession of Material Nonpublic Information is Prohibited</w:t>
      </w:r>
      <w:r>
        <w:rPr>
          <w:rFonts w:ascii="Times New Roman" w:cs="Times New Roman" w:eastAsia="Times New Roman" w:hAnsi="Times New Roman"/>
          <w:sz w:val="18"/>
          <w:szCs w:val="18"/>
          <w:color w:val="auto"/>
        </w:rPr>
        <w:t>. The purchase or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by any person who possesses material nonpublic information is a violation of U.S. federal and state securities laws. It is important to avoid the </w:t>
      </w:r>
      <w:r>
        <w:rPr>
          <w:rFonts w:ascii="Times New Roman" w:cs="Times New Roman" w:eastAsia="Times New Roman" w:hAnsi="Times New Roman"/>
          <w:sz w:val="18"/>
          <w:szCs w:val="18"/>
          <w:i w:val="1"/>
          <w:iCs w:val="1"/>
          <w:color w:val="auto"/>
        </w:rPr>
        <w:t>appearance</w:t>
      </w:r>
      <w:r>
        <w:rPr>
          <w:rFonts w:ascii="Times New Roman" w:cs="Times New Roman" w:eastAsia="Times New Roman" w:hAnsi="Times New Roman"/>
          <w:sz w:val="18"/>
          <w:szCs w:val="18"/>
          <w:color w:val="auto"/>
        </w:rPr>
        <w:t>, as well as the fact, of trading based on material nonpublic information.</w:t>
      </w:r>
    </w:p>
    <w:p>
      <w:pPr>
        <w:spacing w:after="0" w:line="17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No person subject to this Policy who is aware of material nonpublic information relating to Rezolve may, directly or indirectly (through family members, other persons, entities or otherwise) buy, sell, or otherwise trade in the securities of Rezolve, or advise anyone else to do so, other than pursuant to a trading plan that complies with Rule 10b5-1 promulgated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as specifically exempted in Section 10(B) of this Policy, or otherwise engage in any action to take personal advantage of that information. For purposes of this Policy, the term “</w:t>
      </w:r>
      <w:r>
        <w:rPr>
          <w:rFonts w:ascii="Times New Roman" w:cs="Times New Roman" w:eastAsia="Times New Roman" w:hAnsi="Times New Roman"/>
          <w:sz w:val="18"/>
          <w:szCs w:val="18"/>
          <w:b w:val="1"/>
          <w:bCs w:val="1"/>
          <w:i w:val="1"/>
          <w:iCs w:val="1"/>
          <w:color w:val="auto"/>
        </w:rPr>
        <w:t>trade</w:t>
      </w:r>
      <w:r>
        <w:rPr>
          <w:rFonts w:ascii="Times New Roman" w:cs="Times New Roman" w:eastAsia="Times New Roman" w:hAnsi="Times New Roman"/>
          <w:sz w:val="18"/>
          <w:szCs w:val="18"/>
          <w:color w:val="auto"/>
        </w:rPr>
        <w:t>” includes any transaction in Rezolve securities, including gifts and pledges.</w:t>
      </w:r>
    </w:p>
    <w:p>
      <w:pPr>
        <w:spacing w:after="0" w:line="182" w:lineRule="exact"/>
        <w:rPr>
          <w:sz w:val="20"/>
          <w:szCs w:val="20"/>
          <w:color w:val="auto"/>
        </w:rPr>
      </w:pPr>
    </w:p>
    <w:p>
      <w:pPr>
        <w:ind w:right="400" w:firstLine="440"/>
        <w:spacing w:after="0" w:line="281" w:lineRule="auto"/>
        <w:rPr>
          <w:sz w:val="20"/>
          <w:szCs w:val="20"/>
          <w:color w:val="auto"/>
        </w:rPr>
      </w:pPr>
      <w:r>
        <w:rPr>
          <w:rFonts w:ascii="Times New Roman" w:cs="Times New Roman" w:eastAsia="Times New Roman" w:hAnsi="Times New Roman"/>
          <w:sz w:val="18"/>
          <w:szCs w:val="18"/>
          <w:color w:val="auto"/>
        </w:rPr>
        <w:t>Each person subject to this Policy may, from time to time, have to forego a proposed transaction even if they planned to make the transaction before learning material nonpublic information and even though they may suffer economic loss or forego anticipated profit by waiting.</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Trading Window</w:t>
      </w:r>
      <w:r>
        <w:rPr>
          <w:rFonts w:ascii="Times New Roman" w:cs="Times New Roman" w:eastAsia="Times New Roman" w:hAnsi="Times New Roman"/>
          <w:sz w:val="18"/>
          <w:szCs w:val="18"/>
          <w:color w:val="auto"/>
        </w:rPr>
        <w:t>. Directors, officers and employees of the Company are only permitted to purchase or sell Rezolve securities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open “</w:t>
      </w:r>
      <w:r>
        <w:rPr>
          <w:rFonts w:ascii="Times New Roman" w:cs="Times New Roman" w:eastAsia="Times New Roman" w:hAnsi="Times New Roman"/>
          <w:sz w:val="18"/>
          <w:szCs w:val="18"/>
          <w:b w:val="1"/>
          <w:bCs w:val="1"/>
          <w:i w:val="1"/>
          <w:iCs w:val="1"/>
          <w:color w:val="auto"/>
        </w:rPr>
        <w:t>trading window</w:t>
      </w:r>
      <w:r>
        <w:rPr>
          <w:rFonts w:ascii="Times New Roman" w:cs="Times New Roman" w:eastAsia="Times New Roman" w:hAnsi="Times New Roman"/>
          <w:sz w:val="18"/>
          <w:szCs w:val="18"/>
          <w:color w:val="auto"/>
        </w:rPr>
        <w:t>.” The trading window generally opens following the close of trading on the first full trading day following the public issuance of the Company’s earnings release for the most recent fiscal quarter and closes at the close of trading on the last day of the second month of a fiscal quarter. The Compliance Officer may advise directors, officers and employees of the Company when the trading window opens and closes; provided that, in any event, directors, officers and employees of the Company are charged with the knowledge of and responsible for their own compliance with this Policy. In addition to when the trading window is scheduled to be closed, the Company may impose a special blackout period at its discretion due to the existence (or potential existence) of material nonpublic information. Even during an otherwise open trading window, directors, officers and employees of the Company are prohibited from trading in Rezolve securities while in possession of material nonpublic information.</w:t>
      </w:r>
    </w:p>
    <w:p>
      <w:pPr>
        <w:sectPr>
          <w:pgSz w:w="11900" w:h="16838" w:orient="portrait"/>
          <w:cols w:equalWidth="0" w:num="1">
            <w:col w:w="10980"/>
          </w:cols>
          <w:pgMar w:left="440" w:top="266" w:right="479" w:bottom="1440" w:gutter="0" w:footer="0" w:header="0"/>
        </w:sectPr>
      </w:pPr>
    </w:p>
    <w:bookmarkStart w:id="257" w:name="page258"/>
    <w:bookmarkEnd w:id="257"/>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Trading in Other Public Companies’ Securities While in Possession of Material Nonpublic Information is Prohibited</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subject to this Policy who possesses material nonpublic information relating to other publicly traded companies, including our vendors, customers and partners, as a result of employment with Rezolve or the performance of services on our behalf, may, directly or indirectly (through family members, other persons, entities or otherwise) buy or sell securities of such other companies, or advise anyone else to do so, or otherwise engage in any action to take personal advantage of that information.</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5.   Certain Types of Transactions Are Prohibited.</w:t>
      </w:r>
    </w:p>
    <w:p>
      <w:pPr>
        <w:spacing w:after="0" w:line="117" w:lineRule="exact"/>
        <w:rPr>
          <w:sz w:val="20"/>
          <w:szCs w:val="20"/>
          <w:color w:val="auto"/>
        </w:rPr>
      </w:pPr>
    </w:p>
    <w:p>
      <w:pPr>
        <w:ind w:right="220" w:firstLine="99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Short sales of Rezolve securities are prohibited, as short sales evidence the seller’s expectation that Rezolve securities will decline in value, signal to the market that the seller has no confidence in the Company or its short-term prospects, and may reduce the seller’s incentive to improve Rezolve performance. In addition, Section 16(c)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prohibits executive officers and directors from engaging in short sales.</w:t>
      </w:r>
    </w:p>
    <w:p>
      <w:pPr>
        <w:spacing w:after="0" w:line="175" w:lineRule="exact"/>
        <w:rPr>
          <w:sz w:val="20"/>
          <w:szCs w:val="20"/>
          <w:color w:val="auto"/>
        </w:rPr>
      </w:pPr>
    </w:p>
    <w:p>
      <w:pPr>
        <w:ind w:right="40" w:firstLine="990"/>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Publicly Traded Options</w:t>
      </w:r>
      <w:r>
        <w:rPr>
          <w:rFonts w:ascii="Times New Roman" w:cs="Times New Roman" w:eastAsia="Times New Roman" w:hAnsi="Times New Roman"/>
          <w:sz w:val="18"/>
          <w:szCs w:val="18"/>
          <w:color w:val="auto"/>
        </w:rPr>
        <w:t>. Transactions in puts, calls or other derivative securities involving Rezolve stock are prohibited, as any such transaction is, in effect, a bet on the short-term movement of the Company’s stock, creates the appearance of trading based on inside information, and may focus attention on short-term performance at the expense of Rezolve long-term objectives.</w:t>
      </w:r>
    </w:p>
    <w:p>
      <w:pPr>
        <w:spacing w:after="0" w:line="170" w:lineRule="exact"/>
        <w:rPr>
          <w:sz w:val="20"/>
          <w:szCs w:val="20"/>
          <w:color w:val="auto"/>
        </w:rPr>
      </w:pPr>
    </w:p>
    <w:p>
      <w:pPr>
        <w:ind w:right="80" w:firstLine="990"/>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Hedging Transactions</w:t>
      </w:r>
      <w:r>
        <w:rPr>
          <w:rFonts w:ascii="Times New Roman" w:cs="Times New Roman" w:eastAsia="Times New Roman" w:hAnsi="Times New Roman"/>
          <w:sz w:val="18"/>
          <w:szCs w:val="18"/>
          <w:color w:val="auto"/>
        </w:rPr>
        <w:t>. Hedging or monetization transactions (including but not limited to zero-cost collars, prepaid variable forwards, equity swaps, puts, calls, collars, forwards and other derivative instruments) are prohibited, as such transactions allow you to continue to own Rezolve securities without the full risks and rewards of ownership and as a result, you may not have the same objectives as other stockholders.</w:t>
      </w:r>
    </w:p>
    <w:p>
      <w:pPr>
        <w:spacing w:after="0" w:line="170" w:lineRule="exact"/>
        <w:rPr>
          <w:sz w:val="20"/>
          <w:szCs w:val="20"/>
          <w:color w:val="auto"/>
        </w:rPr>
      </w:pPr>
    </w:p>
    <w:p>
      <w:pPr>
        <w:jc w:val="both"/>
        <w:ind w:right="100" w:firstLine="990"/>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Margin Accounts and Pledges</w:t>
      </w:r>
      <w:r>
        <w:rPr>
          <w:rFonts w:ascii="Times New Roman" w:cs="Times New Roman" w:eastAsia="Times New Roman" w:hAnsi="Times New Roman"/>
          <w:sz w:val="18"/>
          <w:szCs w:val="18"/>
          <w:color w:val="auto"/>
        </w:rPr>
        <w:t>. Directors, officers and other employees are prohibited from holding 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w:t>
      </w:r>
    </w:p>
    <w:p>
      <w:pPr>
        <w:spacing w:after="0" w:line="170" w:lineRule="exact"/>
        <w:rPr>
          <w:sz w:val="20"/>
          <w:szCs w:val="20"/>
          <w:color w:val="auto"/>
        </w:rPr>
      </w:pPr>
    </w:p>
    <w:p>
      <w:pPr>
        <w:ind w:right="100" w:firstLine="990"/>
        <w:spacing w:after="0" w:line="26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Short-Term Trading</w:t>
      </w:r>
      <w:r>
        <w:rPr>
          <w:rFonts w:ascii="Times New Roman" w:cs="Times New Roman" w:eastAsia="Times New Roman" w:hAnsi="Times New Roman"/>
          <w:sz w:val="18"/>
          <w:szCs w:val="18"/>
          <w:color w:val="auto"/>
        </w:rPr>
        <w:t>. Executive officers and directors who purchase Rezolve securities in the open market may not sell any Rezolve securities of the same class during the six months following the purchase (or vice versa), as short-term trading of the Company’s securities may be distracting and may unduly focus the person on short-term stock market performance, instead of Rezolve long-term business objectives, and may result in the disgorgement of any short swing profits.</w:t>
      </w:r>
    </w:p>
    <w:p>
      <w:pPr>
        <w:spacing w:after="0" w:line="17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Sharing Material Nonpublic Information is Prohibited</w:t>
      </w:r>
      <w:r>
        <w:rPr>
          <w:rFonts w:ascii="Times New Roman" w:cs="Times New Roman" w:eastAsia="Times New Roman" w:hAnsi="Times New Roman"/>
          <w:sz w:val="18"/>
          <w:szCs w:val="18"/>
          <w:color w:val="auto"/>
        </w:rPr>
        <w:t>. No person subject to this Policy who possesses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relating to Rezolve or any other publicly traded companies may directly or indirectly (through family members, other persons, entities or otherwise) pass that information on to others outside the Company (except as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58" w:name="page259"/>
    <w:bookmarkEnd w:id="258"/>
    <w:p>
      <w:pPr>
        <w:ind w:right="2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appropriate in the conduct of Company business, and under suitable non-disclosure obligations by the outsider recipient), including friends, family, or other acquaintances (referred to 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tipping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until such information has been disseminated to the public. You must treat material nonpublic information about our business partners with the same care required with respect to such information related directly to Rezolve.</w:t>
      </w:r>
    </w:p>
    <w:p>
      <w:pPr>
        <w:spacing w:after="0" w:line="17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Tipping includes passing information under circumstances that could suggest that you were trying to help another profit or avoid a loss. Exercise care when speaking with others who do not “</w:t>
      </w:r>
      <w:r>
        <w:rPr>
          <w:rFonts w:ascii="Times New Roman" w:cs="Times New Roman" w:eastAsia="Times New Roman" w:hAnsi="Times New Roman"/>
          <w:sz w:val="18"/>
          <w:szCs w:val="18"/>
          <w:b w:val="1"/>
          <w:bCs w:val="1"/>
          <w:i w:val="1"/>
          <w:iCs w:val="1"/>
          <w:color w:val="auto"/>
        </w:rPr>
        <w:t>need to know</w:t>
      </w:r>
      <w:r>
        <w:rPr>
          <w:rFonts w:ascii="Times New Roman" w:cs="Times New Roman" w:eastAsia="Times New Roman" w:hAnsi="Times New Roman"/>
          <w:sz w:val="18"/>
          <w:szCs w:val="18"/>
          <w:color w:val="auto"/>
        </w:rPr>
        <w:t>”, even if they are subject to this Policy, as well as when communicating with family, friends and others not associated with Rezolve. To avoid the appearance of impropriety, refrain from discussing our business or prospects or making recommendations about buying or selling our securities or the securities of other companies with which we have a relationship. Inquiries about Rezolve should be directed to our Corporate Communications, Investor Relations, or Legal teams.</w:t>
      </w:r>
    </w:p>
    <w:p>
      <w:pPr>
        <w:spacing w:after="0" w:line="17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Recommendations Regarding Trading in Company Securities are Prohibited</w:t>
      </w:r>
      <w:r>
        <w:rPr>
          <w:rFonts w:ascii="Times New Roman" w:cs="Times New Roman" w:eastAsia="Times New Roman" w:hAnsi="Times New Roman"/>
          <w:sz w:val="18"/>
          <w:szCs w:val="18"/>
          <w:color w:val="auto"/>
        </w:rPr>
        <w:t>. No person subject to this Policy may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or express opinions on trading in Rezolve securities while in possession of material nonpublic information, except to advise others not to trade in Rezolve securities if doing so might violate the law or this Policy.</w:t>
      </w:r>
    </w:p>
    <w:p>
      <w:pPr>
        <w:spacing w:after="0" w:line="17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Only Designated Company Spokespersons Are Authorized to Disclose Material Nonpublic Information</w:t>
      </w:r>
      <w:r>
        <w:rPr>
          <w:rFonts w:ascii="Times New Roman" w:cs="Times New Roman" w:eastAsia="Times New Roman" w:hAnsi="Times New Roman"/>
          <w:sz w:val="18"/>
          <w:szCs w:val="18"/>
          <w:color w:val="auto"/>
        </w:rPr>
        <w:t>. U.S. federal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prohibit the Company from selectively disclosing material nonpublic information. Rezolve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Corporate Communications and Investor Relations teams. Additionally, the Legal team is responsible for handling legal matters that may involve certain disclosures.</w:t>
      </w:r>
    </w:p>
    <w:p>
      <w:pPr>
        <w:spacing w:after="0" w:line="180"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Employees Must Follow Company Guidelines Pertaining to Electronic Communications</w:t>
      </w:r>
      <w:r>
        <w:rPr>
          <w:rFonts w:ascii="Times New Roman" w:cs="Times New Roman" w:eastAsia="Times New Roman" w:hAnsi="Times New Roman"/>
          <w:sz w:val="18"/>
          <w:szCs w:val="18"/>
          <w:color w:val="auto"/>
        </w:rPr>
        <w:t>. Employees must follow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and Regulation FD Policy before participating in any Internet electronic communication forums concerning the Company.</w:t>
      </w: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Other Transactions in Company Securities.</w:t>
      </w:r>
    </w:p>
    <w:p>
      <w:pPr>
        <w:spacing w:after="0" w:line="117" w:lineRule="exact"/>
        <w:rPr>
          <w:sz w:val="20"/>
          <w:szCs w:val="20"/>
          <w:color w:val="auto"/>
        </w:rPr>
      </w:pPr>
    </w:p>
    <w:p>
      <w:pPr>
        <w:jc w:val="both"/>
        <w:ind w:left="440" w:right="120" w:firstLine="422"/>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General Rule</w:t>
      </w:r>
      <w:r>
        <w:rPr>
          <w:rFonts w:ascii="Times New Roman" w:cs="Times New Roman" w:eastAsia="Times New Roman" w:hAnsi="Times New Roman"/>
          <w:sz w:val="18"/>
          <w:szCs w:val="18"/>
          <w:color w:val="auto"/>
        </w:rPr>
        <w:t>. This Policy applies to all transactions in Rezolve securities, including any securities the Company may issue from time to time, such as preferred stock, warrants and convertible debentures, as well as to derivative securities relating to the Company’s stock, whether or not issued by Rezolve, such as exchange-traded options.</w:t>
      </w:r>
    </w:p>
    <w:p>
      <w:pPr>
        <w:spacing w:after="0" w:line="2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Employee Benefit Plans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000" w:right="420" w:firstLine="400"/>
        <w:spacing w:after="0" w:line="28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u w:val="single" w:color="auto"/>
          <w:color w:val="auto"/>
        </w:rPr>
        <w:t>Equity Incentive Plans</w:t>
      </w:r>
      <w:r>
        <w:rPr>
          <w:rFonts w:ascii="Times New Roman" w:cs="Times New Roman" w:eastAsia="Times New Roman" w:hAnsi="Times New Roman"/>
          <w:sz w:val="18"/>
          <w:szCs w:val="18"/>
          <w:color w:val="auto"/>
        </w:rPr>
        <w:t>. The trading restrictions set forth in this Policy do not apply to the exercise of stock options or other equity awards for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59" w:name="page260"/>
    <w:bookmarkEnd w:id="259"/>
    <w:p>
      <w:pPr>
        <w:ind w:left="1000" w:right="1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or to securities acquired or retained by the Company directly (such as to cover tax withholding obligations), but do apply to all sales of securities acquired through the exercise of stock options or other equity awards, including “</w:t>
      </w:r>
      <w:r>
        <w:rPr>
          <w:rFonts w:ascii="Times New Roman" w:cs="Times New Roman" w:eastAsia="Times New Roman" w:hAnsi="Times New Roman"/>
          <w:sz w:val="18"/>
          <w:szCs w:val="18"/>
          <w:b w:val="1"/>
          <w:bCs w:val="1"/>
          <w:i w:val="1"/>
          <w:iCs w:val="1"/>
          <w:color w:val="auto"/>
        </w:rPr>
        <w:t>same-day sale</w:t>
      </w:r>
      <w:r>
        <w:rPr>
          <w:rFonts w:ascii="Times New Roman" w:cs="Times New Roman" w:eastAsia="Times New Roman" w:hAnsi="Times New Roman"/>
          <w:sz w:val="18"/>
          <w:szCs w:val="18"/>
          <w:color w:val="auto"/>
        </w:rPr>
        <w:t>” or cashless exercise of Company stock options.</w:t>
      </w:r>
    </w:p>
    <w:p>
      <w:pPr>
        <w:spacing w:after="0" w:line="67" w:lineRule="exact"/>
        <w:rPr>
          <w:sz w:val="20"/>
          <w:szCs w:val="20"/>
          <w:color w:val="auto"/>
        </w:rPr>
      </w:pPr>
    </w:p>
    <w:p>
      <w:pPr>
        <w:ind w:left="1000" w:right="40" w:firstLine="400"/>
        <w:spacing w:after="0" w:line="25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u w:val="single" w:color="auto"/>
          <w:color w:val="auto"/>
        </w:rPr>
        <w:t>Employee Stock Purchase Plans</w:t>
      </w:r>
      <w:r>
        <w:rPr>
          <w:rFonts w:ascii="Times New Roman" w:cs="Times New Roman" w:eastAsia="Times New Roman" w:hAnsi="Times New Roman"/>
          <w:sz w:val="18"/>
          <w:szCs w:val="18"/>
          <w:color w:val="auto"/>
        </w:rPr>
        <w:t>. The trading restrictions set forth in this Policy do not apply to purchases of Company securities pursuant to the employee’s advance instructions under employee stock purchase plans or employee benefit plans (e.g., a pension or 401(k) plan).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11.   Directors, Officers and Certain Named Employees Are Subject to Additional Restrictions.</w:t>
      </w:r>
    </w:p>
    <w:p>
      <w:pPr>
        <w:spacing w:after="0" w:line="117" w:lineRule="exact"/>
        <w:rPr>
          <w:sz w:val="20"/>
          <w:szCs w:val="20"/>
          <w:color w:val="auto"/>
        </w:rPr>
      </w:pPr>
    </w:p>
    <w:p>
      <w:pPr>
        <w:ind w:left="440" w:right="580" w:firstLine="422"/>
        <w:spacing w:after="0" w:line="31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b w:val="1"/>
          <w:bCs w:val="1"/>
          <w:i w:val="1"/>
          <w:iCs w:val="1"/>
          <w:color w:val="auto"/>
        </w:rPr>
        <w:t>Section 16 Insiders</w:t>
      </w:r>
      <w:r>
        <w:rPr>
          <w:rFonts w:ascii="Times New Roman" w:cs="Times New Roman" w:eastAsia="Times New Roman" w:hAnsi="Times New Roman"/>
          <w:sz w:val="17"/>
          <w:szCs w:val="17"/>
          <w:color w:val="auto"/>
        </w:rPr>
        <w:t>. The Company’s directors and certain executive officers (“</w:t>
      </w:r>
      <w:r>
        <w:rPr>
          <w:rFonts w:ascii="Times New Roman" w:cs="Times New Roman" w:eastAsia="Times New Roman" w:hAnsi="Times New Roman"/>
          <w:sz w:val="17"/>
          <w:szCs w:val="17"/>
          <w:b w:val="1"/>
          <w:bCs w:val="1"/>
          <w:i w:val="1"/>
          <w:iCs w:val="1"/>
          <w:color w:val="auto"/>
        </w:rPr>
        <w:t>Section 16 Insiders</w:t>
      </w:r>
      <w:r>
        <w:rPr>
          <w:rFonts w:ascii="Times New Roman" w:cs="Times New Roman" w:eastAsia="Times New Roman" w:hAnsi="Times New Roman"/>
          <w:sz w:val="17"/>
          <w:szCs w:val="17"/>
          <w:color w:val="auto"/>
        </w:rPr>
        <w:t>”) are subject to the reporting provisions and trading restrictions of Section 16 of the Exchange Act and the underlying rules and regulations promulgated by the SEC.</w:t>
      </w:r>
    </w:p>
    <w:p>
      <w:pPr>
        <w:spacing w:after="0" w:line="23" w:lineRule="exact"/>
        <w:rPr>
          <w:sz w:val="20"/>
          <w:szCs w:val="20"/>
          <w:color w:val="auto"/>
        </w:rPr>
      </w:pPr>
    </w:p>
    <w:p>
      <w:pPr>
        <w:ind w:left="440" w:right="60" w:firstLine="422"/>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Insider Employees</w:t>
      </w:r>
      <w:r>
        <w:rPr>
          <w:rFonts w:ascii="Times New Roman" w:cs="Times New Roman" w:eastAsia="Times New Roman" w:hAnsi="Times New Roman"/>
          <w:sz w:val="18"/>
          <w:szCs w:val="18"/>
          <w:color w:val="auto"/>
        </w:rPr>
        <w:t xml:space="preserve">. Rezolve has designated the persons with the roles/titles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employees who have (or are likely to have) frequent access to material nonpublic information concerning the Company (“</w:t>
      </w:r>
      <w:r>
        <w:rPr>
          <w:rFonts w:ascii="Times New Roman" w:cs="Times New Roman" w:eastAsia="Times New Roman" w:hAnsi="Times New Roman"/>
          <w:sz w:val="18"/>
          <w:szCs w:val="18"/>
          <w:b w:val="1"/>
          <w:bCs w:val="1"/>
          <w:i w:val="1"/>
          <w:iCs w:val="1"/>
          <w:color w:val="auto"/>
        </w:rPr>
        <w:t>Insider Employees</w:t>
      </w:r>
      <w:r>
        <w:rPr>
          <w:rFonts w:ascii="Times New Roman" w:cs="Times New Roman" w:eastAsia="Times New Roman" w:hAnsi="Times New Roman"/>
          <w:sz w:val="18"/>
          <w:szCs w:val="18"/>
          <w:color w:val="auto"/>
        </w:rPr>
        <w:t xml:space="preserve">”). The Company will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time to time as necessary.</w:t>
      </w:r>
    </w:p>
    <w:p>
      <w:pPr>
        <w:spacing w:after="0" w:line="62" w:lineRule="exact"/>
        <w:rPr>
          <w:sz w:val="20"/>
          <w:szCs w:val="20"/>
          <w:color w:val="auto"/>
        </w:rPr>
      </w:pPr>
    </w:p>
    <w:p>
      <w:pPr>
        <w:ind w:left="440" w:firstLine="422"/>
        <w:spacing w:after="0" w:line="26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Additional Restrictions</w:t>
      </w:r>
      <w:r>
        <w:rPr>
          <w:rFonts w:ascii="Times New Roman" w:cs="Times New Roman" w:eastAsia="Times New Roman" w:hAnsi="Times New Roman"/>
          <w:sz w:val="18"/>
          <w:szCs w:val="18"/>
          <w:color w:val="auto"/>
        </w:rPr>
        <w:t xml:space="preserve">. Because Section 16 Insiders and Insider Employees regularly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hereto. For purposes of this Policy, Section 16 Insiders and Insider Employees are each referred to as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Policy Violations Must Be Reported</w:t>
      </w:r>
      <w:r>
        <w:rPr>
          <w:rFonts w:ascii="Times New Roman" w:cs="Times New Roman" w:eastAsia="Times New Roman" w:hAnsi="Times New Roman"/>
          <w:sz w:val="18"/>
          <w:szCs w:val="18"/>
          <w:color w:val="auto"/>
        </w:rPr>
        <w:t>. Any person who violates this Policy, the Company’s Disclosure and Regulation FD Policy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federal or state laws governing insider trading, or knows of any such violation by any other person, must report the violation immediately to the Compliance Officer. Upon learning of any such violation, the Compliance Officer will determine whether the Company should release any material nonpublic information or whether the Company should report the violation to the SEC or other appropriate governmental authority.</w:t>
      </w:r>
    </w:p>
    <w:p>
      <w:pPr>
        <w:spacing w:after="0" w:line="17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b w:val="1"/>
          <w:bCs w:val="1"/>
          <w:u w:val="single" w:color="auto"/>
          <w:color w:val="auto"/>
        </w:rPr>
        <w:t>Section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Insider Trading Compliance Officers</w:t>
      </w:r>
      <w:r>
        <w:rPr>
          <w:rFonts w:ascii="Times New Roman" w:cs="Times New Roman" w:eastAsia="Times New Roman" w:hAnsi="Times New Roman"/>
          <w:sz w:val="17"/>
          <w:szCs w:val="17"/>
          <w:color w:val="auto"/>
        </w:rPr>
        <w:t>. Unless the Board of Directors provides otherwise, the Company’s Chief Financial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act as the Company’s initial Insider Trading Compliance Officer (“</w:t>
      </w:r>
      <w:r>
        <w:rPr>
          <w:rFonts w:ascii="Times New Roman" w:cs="Times New Roman" w:eastAsia="Times New Roman" w:hAnsi="Times New Roman"/>
          <w:sz w:val="17"/>
          <w:szCs w:val="17"/>
          <w:b w:val="1"/>
          <w:bCs w:val="1"/>
          <w:i w:val="1"/>
          <w:iCs w:val="1"/>
          <w:color w:val="auto"/>
        </w:rPr>
        <w:t>Compliance Officer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if the Chief Financial Officer is a party to a proposed trade, transaction or inquiry relating to this Policy, the Company’s Chief Executive Officer shall act as the Compliance Officer with respect to such proposed trade, transaction or inquiry. The Compliance Officer may delegate his or her authority to act as the Compliance Officer as he or she deems necessary or appropriate in his or her sole discretion. The duties of the Compliance Officer and his/her delegees may include the following:</w:t>
      </w:r>
    </w:p>
    <w:p>
      <w:pPr>
        <w:spacing w:after="0" w:line="76" w:lineRule="exact"/>
        <w:rPr>
          <w:sz w:val="20"/>
          <w:szCs w:val="20"/>
          <w:color w:val="auto"/>
        </w:rPr>
      </w:pPr>
    </w:p>
    <w:p>
      <w:pPr>
        <w:ind w:left="5460" w:right="5020" w:hanging="5026"/>
        <w:spacing w:after="0" w:line="367" w:lineRule="auto"/>
        <w:tabs>
          <w:tab w:leader="none" w:pos="974"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monitoring and enforcing compliance with the Policy. 4</w:t>
      </w:r>
    </w:p>
    <w:p>
      <w:pPr>
        <w:sectPr>
          <w:pgSz w:w="11900" w:h="16838" w:orient="portrait"/>
          <w:cols w:equalWidth="0" w:num="1">
            <w:col w:w="11000"/>
          </w:cols>
          <w:pgMar w:left="440" w:top="270" w:right="459" w:bottom="1440" w:gutter="0" w:footer="0" w:header="0"/>
        </w:sectPr>
      </w:pPr>
    </w:p>
    <w:bookmarkStart w:id="260" w:name="page261"/>
    <w:bookmarkEnd w:id="260"/>
    <w:p>
      <w:pPr>
        <w:ind w:left="980" w:hanging="546"/>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Responding to all inquiries relating to this policy and its procedures.</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special trading blackout periods during which no Insiders may trade in Company securities.</w:t>
      </w:r>
    </w:p>
    <w:p>
      <w:pPr>
        <w:spacing w:after="0" w:line="130" w:lineRule="exact"/>
        <w:rPr>
          <w:rFonts w:ascii="Times New Roman" w:cs="Times New Roman" w:eastAsia="Times New Roman" w:hAnsi="Times New Roman"/>
          <w:sz w:val="18"/>
          <w:szCs w:val="18"/>
          <w:color w:val="auto"/>
        </w:rPr>
      </w:pPr>
    </w:p>
    <w:p>
      <w:pPr>
        <w:ind w:left="980" w:right="220" w:hanging="546"/>
        <w:spacing w:after="0" w:line="281" w:lineRule="auto"/>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68"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federal and state insider trading laws and regulations.</w:t>
      </w:r>
    </w:p>
    <w:p>
      <w:pPr>
        <w:spacing w:after="0" w:line="130" w:lineRule="exact"/>
        <w:rPr>
          <w:rFonts w:ascii="Times New Roman" w:cs="Times New Roman" w:eastAsia="Times New Roman" w:hAnsi="Times New Roman"/>
          <w:sz w:val="18"/>
          <w:szCs w:val="18"/>
          <w:color w:val="auto"/>
        </w:rPr>
      </w:pPr>
    </w:p>
    <w:p>
      <w:pPr>
        <w:ind w:left="980" w:right="20" w:hanging="546"/>
        <w:spacing w:after="0" w:line="281" w:lineRule="auto"/>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preparation and filing of all required SEC reports relating to trading in Company securities by Insiders, including without limitation Forms 3, 4, 5 and 144 and Schedules 13D and 13G.</w:t>
      </w:r>
    </w:p>
    <w:p>
      <w:pPr>
        <w:spacing w:after="0" w:line="68" w:lineRule="exact"/>
        <w:rPr>
          <w:rFonts w:ascii="Times New Roman" w:cs="Times New Roman" w:eastAsia="Times New Roman" w:hAnsi="Times New Roman"/>
          <w:sz w:val="18"/>
          <w:szCs w:val="18"/>
          <w:color w:val="auto"/>
        </w:rPr>
      </w:pPr>
    </w:p>
    <w:p>
      <w:pPr>
        <w:ind w:left="980" w:right="40" w:hanging="546"/>
        <w:spacing w:after="0" w:line="265" w:lineRule="auto"/>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as Company records originals or copies of all documents required by the provisions of this Policy or the procedures set forth herein, and copies of all required SEC reports relating to trading by Insiders, including without limitation Forms 3, 4, 5 and 144 and Schedules 13D and 13G.</w:t>
      </w:r>
    </w:p>
    <w:p>
      <w:pPr>
        <w:spacing w:after="0" w:line="82"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the Policy as necessary to reflect changes in federal or state insider trading laws and regulations.</w:t>
      </w:r>
    </w:p>
    <w:p>
      <w:pPr>
        <w:spacing w:after="0" w:line="130" w:lineRule="exact"/>
        <w:rPr>
          <w:rFonts w:ascii="Times New Roman" w:cs="Times New Roman" w:eastAsia="Times New Roman" w:hAnsi="Times New Roman"/>
          <w:sz w:val="18"/>
          <w:szCs w:val="18"/>
          <w:color w:val="auto"/>
        </w:rPr>
      </w:pPr>
    </w:p>
    <w:p>
      <w:pPr>
        <w:ind w:left="980" w:right="380" w:hanging="546"/>
        <w:spacing w:after="0" w:line="281" w:lineRule="auto"/>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Maintaining the accuracy of the list of roles/titles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updating such list periodically as necessary to reflect additions or deletions.</w:t>
      </w:r>
    </w:p>
    <w:p>
      <w:pPr>
        <w:spacing w:after="0" w:line="163"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8"/>
          <w:szCs w:val="18"/>
          <w:color w:val="auto"/>
        </w:rPr>
        <w:t>The Compliance Officer may designate one or more individuals who may perform the Compliance Officer’s duties under this policy in the event that a Compliance Officer is unable or unavailable to perform such duties.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14.   Definition of “Material Nonpublic Information”</w:t>
      </w:r>
    </w:p>
    <w:p>
      <w:pPr>
        <w:spacing w:after="0" w:line="117" w:lineRule="exact"/>
        <w:rPr>
          <w:sz w:val="20"/>
          <w:szCs w:val="20"/>
          <w:color w:val="auto"/>
        </w:rPr>
      </w:pPr>
    </w:p>
    <w:p>
      <w:pPr>
        <w:ind w:left="440" w:firstLine="422"/>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Information about the Company is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if it would be expected to affect the investment or voting decisions of a reasonable stockholder or investor, or if the disclosure of the information would be expected to significantly alter the total mix of the information in the marketplace about Rezolve. In simple terms, material information is any type of information which could reasonably be expected to affect the market price of Rezolve securities or an investor’s decision to buy or sell Rezolve securities. Both positive and negative information may be material. While it is not possible to identify all information that would be deemed material, the following information ordinarily would be considered material:</w:t>
      </w:r>
    </w:p>
    <w:p>
      <w:pPr>
        <w:spacing w:after="0" w:line="90" w:lineRule="exact"/>
        <w:rPr>
          <w:sz w:val="20"/>
          <w:szCs w:val="20"/>
          <w:color w:val="auto"/>
        </w:rPr>
      </w:pPr>
    </w:p>
    <w:p>
      <w:pPr>
        <w:ind w:left="5460" w:right="2880" w:hanging="4473"/>
        <w:spacing w:after="0" w:line="453" w:lineRule="auto"/>
        <w:tabs>
          <w:tab w:leader="none" w:pos="141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including operating results and changes in performance or liquidity. 5</w:t>
      </w:r>
    </w:p>
    <w:p>
      <w:pPr>
        <w:sectPr>
          <w:pgSz w:w="11900" w:h="16838" w:orient="portrait"/>
          <w:cols w:equalWidth="0" w:num="1">
            <w:col w:w="10880"/>
          </w:cols>
          <w:pgMar w:left="440" w:top="270" w:right="579" w:bottom="1440" w:gutter="0" w:footer="0" w:header="0"/>
        </w:sectPr>
      </w:pPr>
    </w:p>
    <w:bookmarkStart w:id="261" w:name="page262"/>
    <w:bookmarkEnd w:id="261"/>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Projections of future earnings or losses, or other earnings guidance, and any changes to previously announced earnings guidance.</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projections and strategic plans.</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suppliers, or finance sources or the loss thereof.</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or release of a significant new service.</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or cost changes.</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mergers or acquisitions, the sale of Company assets or subsidiaries or major partnering agreements.</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 of Directors.</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public or private securities/debt offerings, or changes in Company dividend policies or amounts.</w:t>
      </w:r>
    </w:p>
    <w:p>
      <w:pPr>
        <w:spacing w:after="0" w:line="130"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113" w:lineRule="exact"/>
        <w:rPr>
          <w:sz w:val="20"/>
          <w:szCs w:val="20"/>
          <w:color w:val="auto"/>
        </w:rPr>
      </w:pPr>
    </w:p>
    <w:p>
      <w:pPr>
        <w:ind w:left="440" w:right="60" w:firstLine="422"/>
        <w:spacing w:after="0" w:line="29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i w:val="1"/>
          <w:iCs w:val="1"/>
          <w:color w:val="auto"/>
        </w:rPr>
        <w:t>“Nonpublic”</w:t>
      </w:r>
      <w:r>
        <w:rPr>
          <w:rFonts w:ascii="Times New Roman" w:cs="Times New Roman" w:eastAsia="Times New Roman" w:hAnsi="Times New Roman"/>
          <w:sz w:val="17"/>
          <w:szCs w:val="17"/>
          <w:color w:val="auto"/>
        </w:rPr>
        <w:t>. Material information is “</w:t>
      </w:r>
      <w:r>
        <w:rPr>
          <w:rFonts w:ascii="Times New Roman" w:cs="Times New Roman" w:eastAsia="Times New Roman" w:hAnsi="Times New Roman"/>
          <w:sz w:val="17"/>
          <w:szCs w:val="17"/>
          <w:b w:val="1"/>
          <w:bCs w:val="1"/>
          <w:i w:val="1"/>
          <w:iCs w:val="1"/>
          <w:color w:val="auto"/>
        </w:rPr>
        <w:t>nonpublic</w:t>
      </w:r>
      <w:r>
        <w:rPr>
          <w:rFonts w:ascii="Times New Roman" w:cs="Times New Roman" w:eastAsia="Times New Roman" w:hAnsi="Times New Roman"/>
          <w:sz w:val="17"/>
          <w:szCs w:val="17"/>
          <w:color w:val="auto"/>
        </w:rPr>
        <w:t>” if it has not been widely disseminated to the general public through a report filed with the SEC or through major newswire services, national news services or financial news services. For purposes of this Policy, information will be considered public after the close of trading on the first full trading day following the Company’s widespread public release of the information.</w:t>
      </w:r>
    </w:p>
    <w:p>
      <w:pPr>
        <w:spacing w:after="0" w:line="44" w:lineRule="exact"/>
        <w:rPr>
          <w:sz w:val="20"/>
          <w:szCs w:val="20"/>
          <w:color w:val="auto"/>
        </w:rPr>
      </w:pPr>
    </w:p>
    <w:p>
      <w:pPr>
        <w:ind w:left="440" w:right="120" w:firstLine="422"/>
        <w:spacing w:after="0" w:line="28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Consult Compliance Officer When in Doubt</w:t>
      </w:r>
      <w:r>
        <w:rPr>
          <w:rFonts w:ascii="Times New Roman" w:cs="Times New Roman" w:eastAsia="Times New Roman" w:hAnsi="Times New Roman"/>
          <w:sz w:val="18"/>
          <w:szCs w:val="18"/>
          <w:color w:val="auto"/>
        </w:rPr>
        <w:t>. Any employees who are unsure whether the information that they possess is material or nonpublic must consult the Compliance Officer for guidance before trading in any Company securities.</w:t>
      </w:r>
    </w:p>
    <w:p>
      <w:pPr>
        <w:spacing w:after="0" w:line="154"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Rezolve May Suspend All Trading Activities by Employees</w:t>
      </w:r>
      <w:r>
        <w:rPr>
          <w:rFonts w:ascii="Times New Roman" w:cs="Times New Roman" w:eastAsia="Times New Roman" w:hAnsi="Times New Roman"/>
          <w:sz w:val="18"/>
          <w:szCs w:val="18"/>
          <w:color w:val="auto"/>
        </w:rPr>
        <w:t>. In order to avoid any questions and to protect both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from any potential liability, from time to time Rezolve may impose a “</w:t>
      </w:r>
      <w:r>
        <w:rPr>
          <w:rFonts w:ascii="Times New Roman" w:cs="Times New Roman" w:eastAsia="Times New Roman" w:hAnsi="Times New Roman"/>
          <w:sz w:val="18"/>
          <w:szCs w:val="18"/>
          <w:b w:val="1"/>
          <w:bCs w:val="1"/>
          <w:i w:val="1"/>
          <w:iCs w:val="1"/>
          <w:color w:val="auto"/>
        </w:rPr>
        <w:t>blackout</w:t>
      </w:r>
      <w:r>
        <w:rPr>
          <w:rFonts w:ascii="Times New Roman" w:cs="Times New Roman" w:eastAsia="Times New Roman" w:hAnsi="Times New Roman"/>
          <w:sz w:val="18"/>
          <w:szCs w:val="18"/>
          <w:color w:val="auto"/>
        </w:rPr>
        <w:t>” period during which some or all employees may not buy or sell Rezolve securities. The Compliance Officer will impose such a blackout period if, in their judgment, there exists (or may exist) nonpublic information that would make trades by Rezolve employees (or certain employees) inappropriate in light of the risk that such trades could be viewed as violating applicable securities laws. If you are made aware of such a blackout period, do not disclose its existence to anyone.</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16.   Violations of Insider Trading Laws or This Policy Can Result in Severe Consequences.</w:t>
      </w:r>
    </w:p>
    <w:p>
      <w:pPr>
        <w:spacing w:after="0" w:line="117" w:lineRule="exact"/>
        <w:rPr>
          <w:sz w:val="20"/>
          <w:szCs w:val="20"/>
          <w:color w:val="auto"/>
        </w:rPr>
      </w:pPr>
    </w:p>
    <w:p>
      <w:pPr>
        <w:ind w:left="440" w:firstLine="42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Civil and Criminal Penalties</w:t>
      </w:r>
      <w:r>
        <w:rPr>
          <w:rFonts w:ascii="Times New Roman" w:cs="Times New Roman" w:eastAsia="Times New Roman" w:hAnsi="Times New Roman"/>
          <w:sz w:val="18"/>
          <w:szCs w:val="18"/>
          <w:color w:val="auto"/>
        </w:rPr>
        <w:t>. The consequences of prohibited insider trading or tipping can be severe. Persons violating insider trading or tipping rules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62" w:name="page263"/>
    <w:bookmarkEnd w:id="262"/>
    <w:p>
      <w:pPr>
        <w:jc w:val="both"/>
        <w:ind w:left="440" w:right="22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required to disgorge profit made or loss avoided, pay civil penalties up to three times the profit made or loss avoided, face private action for damages, as well as be subject to criminal penalties, including up to 20 years in prison and fines of up to $5 million. The Company and/or the supervisors of the person violating the rules may also be required to pay major civil or criminal penalties.</w:t>
      </w:r>
    </w:p>
    <w:p>
      <w:pPr>
        <w:spacing w:after="0" w:line="65" w:lineRule="exact"/>
        <w:rPr>
          <w:sz w:val="20"/>
          <w:szCs w:val="20"/>
          <w:color w:val="auto"/>
        </w:rPr>
      </w:pPr>
    </w:p>
    <w:p>
      <w:pPr>
        <w:ind w:left="440" w:right="140" w:firstLine="422"/>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Company Discipline</w:t>
      </w:r>
      <w:r>
        <w:rPr>
          <w:rFonts w:ascii="Times New Roman" w:cs="Times New Roman" w:eastAsia="Times New Roman" w:hAnsi="Times New Roman"/>
          <w:sz w:val="18"/>
          <w:szCs w:val="18"/>
          <w:color w:val="auto"/>
        </w:rPr>
        <w:t>. Violation of this Policy or federal or state insider trading laws by any director, officer or employee may subject the director to removal proceedings and the officer or employee to disciplinary action by the Company, including termination for cause.</w:t>
      </w:r>
    </w:p>
    <w:p>
      <w:pPr>
        <w:spacing w:after="0" w:line="154"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This Policy Is Subject to Revision</w:t>
      </w:r>
      <w:r>
        <w:rPr>
          <w:rFonts w:ascii="Times New Roman" w:cs="Times New Roman" w:eastAsia="Times New Roman" w:hAnsi="Times New Roman"/>
          <w:sz w:val="18"/>
          <w:szCs w:val="18"/>
          <w:color w:val="auto"/>
        </w:rPr>
        <w:t>. Rezolve may change the terms of this Policy from time to time to respond to developments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and practice, and will take steps to inform all affected persons of any material changes.</w:t>
      </w:r>
    </w:p>
    <w:p>
      <w:pPr>
        <w:spacing w:after="0" w:line="15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All Persons Must Acknowledge Their Agreement to Comply with This Policy</w:t>
      </w:r>
      <w:r>
        <w:rPr>
          <w:rFonts w:ascii="Times New Roman" w:cs="Times New Roman" w:eastAsia="Times New Roman" w:hAnsi="Times New Roman"/>
          <w:sz w:val="18"/>
          <w:szCs w:val="18"/>
          <w:color w:val="auto"/>
        </w:rPr>
        <w:t>. The Policy will be available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website, delivered to all persons subject to this Policy upon adoption, and to all new other persons at the start of their employment or relationship with the Company. Upon first receiving a copy of the Policy or any revised versions, each such person must sign an acknowledgment that they have received a copy and agrees to comply with the Policy’s terms. This acknowledgment and agreement will constitute consent for Rezolve to impose sanctions for violation of this Policy and to issue any necessary stop-transfer orders to the Company’s transfer agent to enforce compliance with this Policy.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Restrictions on Transactions in Company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Insiders</w:t>
      </w:r>
    </w:p>
    <w:p>
      <w:pPr>
        <w:spacing w:after="0" w:line="206"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 xml:space="preserve">To minimize the risk of apparent or actual violations of the rules governing insider trading, we have adopted these special restrictions relating to transactions in our securities by Insiders. Insiders are responsible for ensuring compliance with this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spacing w:after="0" w:line="17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Trade Pre-Clearance Required</w:t>
      </w:r>
      <w:r>
        <w:rPr>
          <w:rFonts w:ascii="Times New Roman" w:cs="Times New Roman" w:eastAsia="Times New Roman" w:hAnsi="Times New Roman"/>
          <w:sz w:val="18"/>
          <w:szCs w:val="18"/>
          <w:color w:val="auto"/>
        </w:rPr>
        <w:t>. As part of this Policy, all purchases and sales of equity securities of the Company by Insiders,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transactions that are not subject to the Policy or transactions pursuant to a Rule 10b5-1 trading plan authorized by the Compliance Officer, must be pre-cleared by the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spacing w:after="0" w:line="17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Requests for pre-clearance must be submitted via email to the Compliance Officer at least </w:t>
      </w:r>
      <w:r>
        <w:rPr>
          <w:rFonts w:ascii="Times New Roman" w:cs="Times New Roman" w:eastAsia="Times New Roman" w:hAnsi="Times New Roman"/>
          <w:sz w:val="18"/>
          <w:szCs w:val="18"/>
          <w:b w:val="1"/>
          <w:bCs w:val="1"/>
          <w:color w:val="auto"/>
        </w:rPr>
        <w:t>two</w:t>
      </w:r>
      <w:r>
        <w:rPr>
          <w:rFonts w:ascii="Times New Roman" w:cs="Times New Roman" w:eastAsia="Times New Roman" w:hAnsi="Times New Roman"/>
          <w:sz w:val="18"/>
          <w:szCs w:val="18"/>
          <w:color w:val="auto"/>
        </w:rPr>
        <w:t xml:space="preserve"> business days in advance of each proposed transaction. If the Insider does not receive a response from a Compliance Officer within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hours, the Insider must follow up to ensure that the message was received. Each Insider request for pre-clearance should include the nature of the proposed transaction and the expected date of the transaction. In addition, each request by a Section 16 Insider for pre-clearance should also include the following information:</w:t>
      </w:r>
    </w:p>
    <w:p>
      <w:pPr>
        <w:spacing w:after="0" w:line="85" w:lineRule="exact"/>
        <w:rPr>
          <w:sz w:val="20"/>
          <w:szCs w:val="20"/>
          <w:color w:val="auto"/>
        </w:rPr>
      </w:pPr>
    </w:p>
    <w:p>
      <w:pPr>
        <w:ind w:left="980" w:hanging="546"/>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involves a stock option exercise, the specific option to be exercised.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will execute the transaction.</w:t>
      </w:r>
    </w:p>
    <w:p>
      <w:pPr>
        <w:spacing w:after="0" w:line="225" w:lineRule="exact"/>
        <w:rPr>
          <w:sz w:val="20"/>
          <w:szCs w:val="20"/>
          <w:color w:val="auto"/>
        </w:rPr>
      </w:pPr>
    </w:p>
    <w:p>
      <w:pPr>
        <w:ind w:right="400" w:firstLine="440"/>
        <w:spacing w:after="0" w:line="265" w:lineRule="auto"/>
        <w:rPr>
          <w:sz w:val="20"/>
          <w:szCs w:val="20"/>
          <w:color w:val="auto"/>
        </w:rPr>
      </w:pPr>
      <w:r>
        <w:rPr>
          <w:rFonts w:ascii="Times New Roman" w:cs="Times New Roman" w:eastAsia="Times New Roman" w:hAnsi="Times New Roman"/>
          <w:sz w:val="18"/>
          <w:szCs w:val="18"/>
          <w:color w:val="auto"/>
        </w:rPr>
        <w:t>Once the proposed transaction is pre-cleared, the Insider may proceed with it on the approved terms, provided that they comply with all other securities law requirements, such as Rule 144 and prohibitions regarding trading on the basis of inside information, and with any special trading blackout imposed by the Company prior to the completion of the trade.</w:t>
      </w:r>
    </w:p>
    <w:p>
      <w:pPr>
        <w:spacing w:after="0" w:line="17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Pre-Clearance of Rule 10b5-1 Plans Required</w:t>
      </w:r>
      <w:r>
        <w:rPr>
          <w:rFonts w:ascii="Times New Roman" w:cs="Times New Roman" w:eastAsia="Times New Roman" w:hAnsi="Times New Roman"/>
          <w:sz w:val="18"/>
          <w:szCs w:val="18"/>
          <w:color w:val="auto"/>
        </w:rPr>
        <w:t>. Pre-clearance is required for the establishment of a Rule 10b5-1 trading plan at least</w:t>
      </w:r>
      <w:r>
        <w:rPr>
          <w:rFonts w:ascii="Times New Roman" w:cs="Times New Roman" w:eastAsia="Times New Roman" w:hAnsi="Times New Roman"/>
          <w:sz w:val="18"/>
          <w:szCs w:val="18"/>
          <w:b w:val="1"/>
          <w:bCs w:val="1"/>
          <w:color w:val="auto"/>
        </w:rPr>
        <w:t xml:space="preserve"> five </w:t>
      </w:r>
      <w:r>
        <w:rPr>
          <w:rFonts w:ascii="Times New Roman" w:cs="Times New Roman" w:eastAsia="Times New Roman" w:hAnsi="Times New Roman"/>
          <w:sz w:val="18"/>
          <w:szCs w:val="18"/>
          <w:color w:val="auto"/>
        </w:rPr>
        <w:t>full trading days prior to entry into or modification of the plan. However, pre-clearance will not be required for individual transactions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 pre-cleared Rule 10b5-1 trading plan. All Section 16 Insiders must immediately report the results of transactions effected under a trading plan to the Compliance Officer since they will be reportable on Form 4 within two business days following the execution of the trade, subject to an extension of not more than two additional business days where the Section 16 Insider is not immediately aware of the execution of the trade. Notwithstanding the foregoing, any transactions by the Compliance Officer, or a delegee of the Compliance Officer under this Policy, shall be subject to pre-clearance by the Chief Financial Officer.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64" w:name="page265"/>
    <w:bookmarkEnd w:id="264"/>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Hardship Exemptions</w:t>
      </w:r>
      <w:r>
        <w:rPr>
          <w:rFonts w:ascii="Times New Roman" w:cs="Times New Roman" w:eastAsia="Times New Roman" w:hAnsi="Times New Roman"/>
          <w:sz w:val="18"/>
          <w:szCs w:val="18"/>
          <w:color w:val="auto"/>
        </w:rPr>
        <w:t>. The Compliance Officer may, on a case by case basis, authorize a transaction in Rezolve securities outside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trading window (but in no event during a special blackout period) due to financial or other hardship. Any request for a hardship exemption must be in writing and must describe the amount and nature of the proposed transaction and the circumstances of the hardship. The Insider requesting the hardship exemption must also certify to the Compliance Officer within two business days prior to the date of the proposed trade that they are not in possession of material nonpublic information concerning Rezolve. The existence of the foregoing procedure does not in any way obligate the Compliance Officer to approve any hardship exemption requested by an Insider.</w:t>
      </w:r>
    </w:p>
    <w:p>
      <w:pPr>
        <w:spacing w:after="0" w:line="180"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Brokers</w:t>
      </w:r>
      <w:r>
        <w:rPr>
          <w:rFonts w:ascii="Times New Roman" w:cs="Times New Roman" w:eastAsia="Times New Roman" w:hAnsi="Times New Roman"/>
          <w:sz w:val="18"/>
          <w:szCs w:val="18"/>
          <w:color w:val="auto"/>
        </w:rPr>
        <w:t>. All Insiders must ensure that their broker does not execute any transaction for the Insider (other than under a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Rule 10b5-1 trading plan) until the broker has verified with the Compliance Officer that the transaction has been pre-cleared.</w:t>
      </w:r>
    </w:p>
    <w:p>
      <w:pPr>
        <w:spacing w:after="0" w:line="154"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Reporting of Transactions Required</w:t>
      </w:r>
      <w:r>
        <w:rPr>
          <w:rFonts w:ascii="Times New Roman" w:cs="Times New Roman" w:eastAsia="Times New Roman" w:hAnsi="Times New Roman"/>
          <w:sz w:val="18"/>
          <w:szCs w:val="18"/>
          <w:color w:val="auto"/>
        </w:rPr>
        <w:t>. To facilitate timely reporting under Section 16 of the Exchange Act, Section 16 Insiders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to </w:t>
      </w:r>
      <w:r>
        <w:rPr>
          <w:rFonts w:ascii="Times New Roman" w:cs="Times New Roman" w:eastAsia="Times New Roman" w:hAnsi="Times New Roman"/>
          <w:sz w:val="18"/>
          <w:szCs w:val="18"/>
          <w:b w:val="1"/>
          <w:bCs w:val="1"/>
          <w:i w:val="1"/>
          <w:iCs w:val="1"/>
          <w:color w:val="auto"/>
        </w:rPr>
        <w:t>on the same day as the trade date</w:t>
      </w:r>
      <w:r>
        <w:rPr>
          <w:rFonts w:ascii="Times New Roman" w:cs="Times New Roman" w:eastAsia="Times New Roman" w:hAnsi="Times New Roman"/>
          <w:sz w:val="18"/>
          <w:szCs w:val="18"/>
          <w:color w:val="auto"/>
        </w:rPr>
        <w:t>, or, with respect to transactions effected pursuant to a Rule 10b5-1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p>
      <w:pPr>
        <w:spacing w:after="0" w:line="87" w:lineRule="exact"/>
        <w:rPr>
          <w:sz w:val="20"/>
          <w:szCs w:val="20"/>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date (trade date).</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at which the transaction was executed (before addition or deduction of brokerage commission and other transaction fees).</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 exercises, the specific option exercised.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executed the transaction.</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representation that the Insider is not in possession of material non-public information.</w:t>
      </w:r>
    </w:p>
    <w:p>
      <w:pPr>
        <w:spacing w:after="0" w:line="225" w:lineRule="exact"/>
        <w:rPr>
          <w:sz w:val="20"/>
          <w:szCs w:val="20"/>
          <w:color w:val="auto"/>
        </w:rPr>
      </w:pPr>
    </w:p>
    <w:p>
      <w:pPr>
        <w:ind w:right="360" w:firstLine="440"/>
        <w:spacing w:after="0" w:line="281" w:lineRule="auto"/>
        <w:rPr>
          <w:sz w:val="20"/>
          <w:szCs w:val="20"/>
          <w:color w:val="auto"/>
        </w:rPr>
      </w:pPr>
      <w:r>
        <w:rPr>
          <w:rFonts w:ascii="Times New Roman" w:cs="Times New Roman" w:eastAsia="Times New Roman" w:hAnsi="Times New Roman"/>
          <w:sz w:val="18"/>
          <w:szCs w:val="18"/>
          <w:color w:val="auto"/>
        </w:rPr>
        <w:t>The transaction details must be reported to the Compliance Officer, with copies to Rezolve personnel who will assist the Section 16 Insider in preparing their Form 4.</w:t>
      </w:r>
    </w:p>
    <w:p>
      <w:pPr>
        <w:spacing w:after="0" w:line="159"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Oversight by the Nominating and Corporate Governance Committee</w:t>
      </w:r>
      <w:r>
        <w:rPr>
          <w:rFonts w:ascii="Times New Roman" w:cs="Times New Roman" w:eastAsia="Times New Roman" w:hAnsi="Times New Roman"/>
          <w:sz w:val="18"/>
          <w:szCs w:val="18"/>
          <w:color w:val="auto"/>
        </w:rPr>
        <w:t>. The Nominating and Corporate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will be responsible for monitoring and recommending any modification to this Policy, if necessary or advisable, to the Board of Directors. The Committee will also review, at least annually, those individuals who are deemed to be executive officers for purposes of Section 16 and will recommend any changes regarding such status to the Board of Directors.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265" w:name="page266"/>
    <w:bookmarkEnd w:id="265"/>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Named Employees Considered Insiders</w:t>
      </w:r>
      <w:r>
        <w:rPr>
          <w:rFonts w:ascii="Times New Roman" w:cs="Times New Roman" w:eastAsia="Times New Roman" w:hAnsi="Times New Roman"/>
          <w:sz w:val="18"/>
          <w:szCs w:val="18"/>
          <w:color w:val="auto"/>
        </w:rPr>
        <w:t>. The Committee will review, at least annually, those individuals deemed to be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Insiders shall include persons subject to Section 16 and such other persons as the Committee deems to be Insiders. Generally, Insiders shall be any person who by function of their employment is </w:t>
      </w:r>
      <w:r>
        <w:rPr>
          <w:rFonts w:ascii="Times New Roman" w:cs="Times New Roman" w:eastAsia="Times New Roman" w:hAnsi="Times New Roman"/>
          <w:sz w:val="18"/>
          <w:szCs w:val="18"/>
          <w:i w:val="1"/>
          <w:iCs w:val="1"/>
          <w:color w:val="auto"/>
        </w:rPr>
        <w:t>consistently</w:t>
      </w:r>
      <w:r>
        <w:rPr>
          <w:rFonts w:ascii="Times New Roman" w:cs="Times New Roman" w:eastAsia="Times New Roman" w:hAnsi="Times New Roman"/>
          <w:sz w:val="18"/>
          <w:szCs w:val="18"/>
          <w:color w:val="auto"/>
        </w:rPr>
        <w:t xml:space="preserve"> in possession of material nonpublic information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performs an operational role, such as head of a division or business unit, that is material to the Company as a whole.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Special Guidelines for 10b5-1 Trading Plans</w:t>
      </w:r>
      <w:r>
        <w:rPr>
          <w:rFonts w:ascii="Times New Roman" w:cs="Times New Roman" w:eastAsia="Times New Roman" w:hAnsi="Times New Roman"/>
          <w:sz w:val="18"/>
          <w:szCs w:val="18"/>
          <w:color w:val="auto"/>
        </w:rPr>
        <w:t>. Notwithstanding the foregoing, an Insider will not be deemed to have violated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for transactions that meet all of the enumerated criteria below:</w:t>
      </w:r>
    </w:p>
    <w:p>
      <w:pPr>
        <w:spacing w:after="0" w:line="94" w:lineRule="exact"/>
        <w:rPr>
          <w:sz w:val="20"/>
          <w:szCs w:val="20"/>
          <w:color w:val="auto"/>
        </w:rPr>
      </w:pPr>
    </w:p>
    <w:p>
      <w:pPr>
        <w:ind w:left="440" w:right="180" w:firstLine="422"/>
        <w:spacing w:after="0" w:line="286" w:lineRule="auto"/>
        <w:rPr>
          <w:sz w:val="20"/>
          <w:szCs w:val="20"/>
          <w:color w:val="auto"/>
        </w:rPr>
      </w:pPr>
      <w:r>
        <w:rPr>
          <w:rFonts w:ascii="Times New Roman" w:cs="Times New Roman" w:eastAsia="Times New Roman" w:hAnsi="Times New Roman"/>
          <w:sz w:val="18"/>
          <w:szCs w:val="18"/>
          <w:color w:val="auto"/>
        </w:rPr>
        <w:t>A.  The transaction must be made pursuant to a documented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entered into in good faith that complies with all provisions of Rule 10b5-1(c)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including, without limitation:</w:t>
      </w:r>
    </w:p>
    <w:p>
      <w:pPr>
        <w:spacing w:after="0" w:line="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1.   Each Plan must:</w:t>
      </w:r>
    </w:p>
    <w:p>
      <w:pPr>
        <w:spacing w:after="0" w:line="117" w:lineRule="exact"/>
        <w:rPr>
          <w:sz w:val="20"/>
          <w:szCs w:val="20"/>
          <w:color w:val="auto"/>
        </w:rPr>
      </w:pPr>
    </w:p>
    <w:p>
      <w:pPr>
        <w:ind w:left="1440" w:right="200" w:firstLine="383"/>
        <w:spacing w:after="0" w:line="281" w:lineRule="auto"/>
        <w:rPr>
          <w:sz w:val="20"/>
          <w:szCs w:val="20"/>
          <w:color w:val="auto"/>
        </w:rPr>
      </w:pPr>
      <w:r>
        <w:rPr>
          <w:rFonts w:ascii="Times New Roman" w:cs="Times New Roman" w:eastAsia="Times New Roman" w:hAnsi="Times New Roman"/>
          <w:sz w:val="18"/>
          <w:szCs w:val="18"/>
          <w:color w:val="auto"/>
        </w:rPr>
        <w:t>a.  specify the amount of securities to be purchased or sold and the price at which and the date on which the securities are to be purchased or sold, or</w:t>
      </w:r>
    </w:p>
    <w:p>
      <w:pPr>
        <w:spacing w:after="0" w:line="55" w:lineRule="exact"/>
        <w:rPr>
          <w:sz w:val="20"/>
          <w:szCs w:val="20"/>
          <w:color w:val="auto"/>
        </w:rPr>
      </w:pPr>
    </w:p>
    <w:p>
      <w:pPr>
        <w:ind w:left="1440" w:right="140" w:firstLine="383"/>
        <w:spacing w:after="0" w:line="281" w:lineRule="auto"/>
        <w:rPr>
          <w:sz w:val="20"/>
          <w:szCs w:val="20"/>
          <w:color w:val="auto"/>
        </w:rPr>
      </w:pPr>
      <w:r>
        <w:rPr>
          <w:rFonts w:ascii="Times New Roman" w:cs="Times New Roman" w:eastAsia="Times New Roman" w:hAnsi="Times New Roman"/>
          <w:sz w:val="18"/>
          <w:szCs w:val="18"/>
          <w:color w:val="auto"/>
        </w:rPr>
        <w:t>b.  include a written formula or algorithm, or computer program, for determining the amount of securities to be purchased or sold and the price at which and the date on which the securities were to be purchased or sold.</w:t>
      </w:r>
    </w:p>
    <w:p>
      <w:pPr>
        <w:spacing w:after="0" w:line="55" w:lineRule="exact"/>
        <w:rPr>
          <w:sz w:val="20"/>
          <w:szCs w:val="20"/>
          <w:color w:val="auto"/>
        </w:rPr>
      </w:pPr>
    </w:p>
    <w:p>
      <w:pPr>
        <w:ind w:left="1000" w:firstLine="400"/>
        <w:spacing w:after="0" w:line="265" w:lineRule="auto"/>
        <w:rPr>
          <w:sz w:val="20"/>
          <w:szCs w:val="20"/>
          <w:color w:val="auto"/>
        </w:rPr>
      </w:pPr>
      <w:r>
        <w:rPr>
          <w:rFonts w:ascii="Times New Roman" w:cs="Times New Roman" w:eastAsia="Times New Roman" w:hAnsi="Times New Roman"/>
          <w:sz w:val="18"/>
          <w:szCs w:val="18"/>
          <w:color w:val="auto"/>
        </w:rPr>
        <w:t>2.  In any case, such Plan must (by its terms or by the manner in which it is implemented) prohibit the Insider and any other person who possesses material nonpublic information from exercising any subsequent influence over how, when, or whether to effect purchases or sales.</w:t>
      </w:r>
    </w:p>
    <w:p>
      <w:pPr>
        <w:spacing w:after="0" w:line="69" w:lineRule="exact"/>
        <w:rPr>
          <w:sz w:val="20"/>
          <w:szCs w:val="20"/>
          <w:color w:val="auto"/>
        </w:rPr>
      </w:pPr>
    </w:p>
    <w:p>
      <w:pPr>
        <w:ind w:left="440" w:firstLine="422"/>
        <w:spacing w:after="0" w:line="281" w:lineRule="auto"/>
        <w:rPr>
          <w:sz w:val="20"/>
          <w:szCs w:val="20"/>
          <w:color w:val="auto"/>
        </w:rPr>
      </w:pPr>
      <w:r>
        <w:rPr>
          <w:rFonts w:ascii="Times New Roman" w:cs="Times New Roman" w:eastAsia="Times New Roman" w:hAnsi="Times New Roman"/>
          <w:sz w:val="18"/>
          <w:szCs w:val="18"/>
          <w:color w:val="auto"/>
        </w:rPr>
        <w:t>B.  Each Plan must be authorized prior to the effective time of any transactions under such Plan by the Company’s Compliance Officer. The Company reserves the right to withhold authorization of any Plan that the Compliance Officer determines, in their sole discretion,</w:t>
      </w:r>
    </w:p>
    <w:p>
      <w:pPr>
        <w:spacing w:after="0" w:line="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1.   fails to comply with the Rule, or</w:t>
      </w:r>
    </w:p>
    <w:p>
      <w:pPr>
        <w:spacing w:after="0" w:line="1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2.   exposes the Company or the Insider to liability under any other applicable state or federal rule, regulation or law, or</w:t>
      </w:r>
    </w:p>
    <w:p>
      <w:pPr>
        <w:spacing w:after="0" w:line="1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3.   creates any appearance of impropriety, or</w:t>
      </w:r>
    </w:p>
    <w:p>
      <w:pPr>
        <w:spacing w:after="0" w:line="117" w:lineRule="exact"/>
        <w:rPr>
          <w:sz w:val="20"/>
          <w:szCs w:val="20"/>
          <w:color w:val="auto"/>
        </w:rPr>
      </w:pPr>
    </w:p>
    <w:p>
      <w:pPr>
        <w:ind w:left="1000" w:right="480" w:firstLine="400"/>
        <w:spacing w:after="0" w:line="281" w:lineRule="auto"/>
        <w:rPr>
          <w:sz w:val="20"/>
          <w:szCs w:val="20"/>
          <w:color w:val="auto"/>
        </w:rPr>
      </w:pPr>
      <w:r>
        <w:rPr>
          <w:rFonts w:ascii="Times New Roman" w:cs="Times New Roman" w:eastAsia="Times New Roman" w:hAnsi="Times New Roman"/>
          <w:sz w:val="18"/>
          <w:szCs w:val="18"/>
          <w:color w:val="auto"/>
        </w:rPr>
        <w:t>4.  fails to meet the guidelines established by the Company (including that the first transaction under the Plan should occur no sooner than thirty (30) days after the date of establishment of the Plan), or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66" w:name="page267"/>
    <w:bookmarkEnd w:id="26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otherwise fails to satisfy review by the Compliance Officer for any reason, in the sole discretion of the Compliance Officer.</w:t>
      </w:r>
    </w:p>
    <w:p>
      <w:pPr>
        <w:spacing w:after="0" w:line="117" w:lineRule="exact"/>
        <w:rPr>
          <w:sz w:val="20"/>
          <w:szCs w:val="20"/>
          <w:color w:val="auto"/>
        </w:rPr>
      </w:pPr>
    </w:p>
    <w:p>
      <w:pPr>
        <w:ind w:right="100" w:firstLine="422"/>
        <w:spacing w:after="0" w:line="265" w:lineRule="auto"/>
        <w:rPr>
          <w:sz w:val="20"/>
          <w:szCs w:val="20"/>
          <w:color w:val="auto"/>
        </w:rPr>
      </w:pPr>
      <w:r>
        <w:rPr>
          <w:rFonts w:ascii="Times New Roman" w:cs="Times New Roman" w:eastAsia="Times New Roman" w:hAnsi="Times New Roman"/>
          <w:sz w:val="18"/>
          <w:szCs w:val="18"/>
          <w:color w:val="auto"/>
        </w:rPr>
        <w:t>C.  Any modifications to the Plan or deviations from the Plan (other than termination thereof) without prior authorization of the Compliance Officer is a violation of this Policy. Any such modifications or deviations are subject to the authorization of a Compliance Officer in accordance with Section B above.</w:t>
      </w:r>
    </w:p>
    <w:p>
      <w:pPr>
        <w:spacing w:after="0" w:line="69" w:lineRule="exact"/>
        <w:rPr>
          <w:sz w:val="20"/>
          <w:szCs w:val="20"/>
          <w:color w:val="auto"/>
        </w:rPr>
      </w:pPr>
    </w:p>
    <w:p>
      <w:pPr>
        <w:jc w:val="both"/>
        <w:ind w:right="480" w:firstLine="422"/>
        <w:spacing w:after="0" w:line="265" w:lineRule="auto"/>
        <w:rPr>
          <w:sz w:val="20"/>
          <w:szCs w:val="20"/>
          <w:color w:val="auto"/>
        </w:rPr>
      </w:pPr>
      <w:r>
        <w:rPr>
          <w:rFonts w:ascii="Times New Roman" w:cs="Times New Roman" w:eastAsia="Times New Roman" w:hAnsi="Times New Roman"/>
          <w:sz w:val="18"/>
          <w:szCs w:val="18"/>
          <w:color w:val="auto"/>
        </w:rPr>
        <w:t>D.  Each Plan must be established at a time when the trading window is open, or when the Board, the Committee, or the Compliance Officer has otherwise provided notice to Insiders of an open period for the adoption of Plans, and the person is not in possession of material nonpublic information.</w:t>
      </w:r>
    </w:p>
    <w:p>
      <w:pPr>
        <w:spacing w:after="0" w:line="69" w:lineRule="exact"/>
        <w:rPr>
          <w:sz w:val="20"/>
          <w:szCs w:val="20"/>
          <w:color w:val="auto"/>
        </w:rPr>
      </w:pPr>
    </w:p>
    <w:p>
      <w:pPr>
        <w:ind w:right="140" w:firstLine="422"/>
        <w:spacing w:after="0" w:line="312" w:lineRule="auto"/>
        <w:rPr>
          <w:sz w:val="20"/>
          <w:szCs w:val="20"/>
          <w:color w:val="auto"/>
        </w:rPr>
      </w:pPr>
      <w:r>
        <w:rPr>
          <w:rFonts w:ascii="Times New Roman" w:cs="Times New Roman" w:eastAsia="Times New Roman" w:hAnsi="Times New Roman"/>
          <w:sz w:val="17"/>
          <w:szCs w:val="17"/>
          <w:color w:val="auto"/>
        </w:rPr>
        <w:t>E.  Each Plan should provide (or the Insider must otherwise arrange for) appropriate mechanisms to ensure that the Insider complies with all rules and regulations, including Rule 144, Rule 701 and Section 16(b), applicable to securities transactions under the Plan by the Insider.</w:t>
      </w:r>
    </w:p>
    <w:p>
      <w:pPr>
        <w:spacing w:after="0" w:line="31" w:lineRule="exact"/>
        <w:rPr>
          <w:sz w:val="20"/>
          <w:szCs w:val="20"/>
          <w:color w:val="auto"/>
        </w:rPr>
      </w:pPr>
    </w:p>
    <w:p>
      <w:pPr>
        <w:ind w:right="100" w:firstLine="422"/>
        <w:spacing w:after="0" w:line="265" w:lineRule="auto"/>
        <w:rPr>
          <w:sz w:val="20"/>
          <w:szCs w:val="20"/>
          <w:color w:val="auto"/>
        </w:rPr>
      </w:pPr>
      <w:r>
        <w:rPr>
          <w:rFonts w:ascii="Times New Roman" w:cs="Times New Roman" w:eastAsia="Times New Roman" w:hAnsi="Times New Roman"/>
          <w:sz w:val="18"/>
          <w:szCs w:val="18"/>
          <w:color w:val="auto"/>
        </w:rPr>
        <w:t>F.  Each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69" w:lineRule="exact"/>
        <w:rPr>
          <w:sz w:val="20"/>
          <w:szCs w:val="20"/>
          <w:color w:val="auto"/>
        </w:rPr>
      </w:pPr>
    </w:p>
    <w:p>
      <w:pPr>
        <w:ind w:firstLine="422"/>
        <w:spacing w:after="0" w:line="265" w:lineRule="auto"/>
        <w:rPr>
          <w:sz w:val="20"/>
          <w:szCs w:val="20"/>
          <w:color w:val="auto"/>
        </w:rPr>
      </w:pPr>
      <w:r>
        <w:rPr>
          <w:rFonts w:ascii="Times New Roman" w:cs="Times New Roman" w:eastAsia="Times New Roman" w:hAnsi="Times New Roman"/>
          <w:sz w:val="18"/>
          <w:szCs w:val="18"/>
          <w:color w:val="auto"/>
        </w:rPr>
        <w:t>G.  None of the Company, the Compliance Officer, nor any of the Company’s officers, employees or other representatives shall be deemed, solely by their authorization of an Insider’s Plan, to have represented that any Plan complies with the Rule or to have assumed any liability or responsibility to the Insider or any other party if such Plan fails to comply with the Rule.</w:t>
      </w:r>
    </w:p>
    <w:p>
      <w:pPr>
        <w:spacing w:after="0" w:line="1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267" w:name="page268"/>
    <w:bookmarkEnd w:id="26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INSIDER EMPLOYEES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[               ])</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vice presidents and more senior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employees in the finance department involved in financial reporting or financial analysis / budgeting and business intelligence functions.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employees in the legal department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administrative assistants to Company officers</w:t>
      </w:r>
    </w:p>
    <w:p>
      <w:pPr>
        <w:spacing w:after="0" w:line="117" w:lineRule="exact"/>
        <w:rPr>
          <w:sz w:val="20"/>
          <w:szCs w:val="20"/>
          <w:color w:val="auto"/>
        </w:rPr>
      </w:pPr>
    </w:p>
    <w:p>
      <w:pPr>
        <w:spacing w:after="0" w:line="406" w:lineRule="auto"/>
        <w:rPr>
          <w:sz w:val="20"/>
          <w:szCs w:val="20"/>
          <w:color w:val="auto"/>
        </w:rPr>
      </w:pPr>
      <w:r>
        <w:rPr>
          <w:rFonts w:ascii="Times New Roman" w:cs="Times New Roman" w:eastAsia="Times New Roman" w:hAnsi="Times New Roman"/>
          <w:sz w:val="18"/>
          <w:szCs w:val="18"/>
          <w:color w:val="auto"/>
        </w:rPr>
        <w:t>All information technology department employees that have access to Company sensitive files or systems including financial, legal or senior executives. The Director of Information Systems or Information Security and his or her direct reports</w:t>
      </w:r>
    </w:p>
    <w:p>
      <w:pPr>
        <w:sectPr>
          <w:pgSz w:w="11900" w:h="16838" w:orient="portrait"/>
          <w:cols w:equalWidth="0" w:num="1">
            <w:col w:w="10960"/>
          </w:cols>
          <w:pgMar w:left="440" w:top="266" w:right="49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5443220</wp:posOffset>
            </wp:positionH>
            <wp:positionV relativeFrom="paragraph">
              <wp:posOffset>173990</wp:posOffset>
            </wp:positionV>
            <wp:extent cx="1550035" cy="5054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155003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Board Code of Ethics.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Modern directorship is increasingly challenging. It involves more than simply complying with the law or applying specialist knowledge and expertise. Directors are expected to define and embed the values of their organisation and apply high ethical standards. They must apply judgement to complex situations in which competing interests, both personal and organisational, as well as the rights and interests of various stakeholders, must be prioritised and balanced. In such scenarios, identifying the right way forward is not always straightforward. Furthermore, given their shared legal responsibility for the organisation, directors are often subject to a high level of public scrutiny – both from within the organisation and in the media. Increasingly, director conduct is a source of business and reputational risk for both organisations and individual directors. This Code helps directors to fulfil their responsibilities by providing a clearly articulated statement of what good conduct looks like. As they navigate difficult and complex situations, the Code helps directors to clarify their thinking, with positive implications for themselves, their organisational culture and society as a whole. Our Code of Conduct for Directors is required to be signed by each Director of Rezolve. Our Directors are also bound by the provisions of the Rezolve Code of Conduct.</w:t>
      </w:r>
    </w:p>
    <w:p>
      <w:pPr>
        <w:spacing w:after="0" w:line="191"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Our Code of Ethics for Directors draws guidance from the UK IOD (Institute of Directors), tailored to meet the requirements of our listing on NASDAQ. The Code is structured around six key Principles of Director Conduct (‘Principles’).</w:t>
      </w:r>
    </w:p>
    <w:p>
      <w:pPr>
        <w:spacing w:after="0" w:line="190" w:lineRule="exact"/>
        <w:rPr>
          <w:sz w:val="20"/>
          <w:szCs w:val="20"/>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Leading by example: Demonstrating exemplary standards of behaviour in personal conduct and decision-making.</w:t>
      </w:r>
    </w:p>
    <w:p>
      <w:pPr>
        <w:spacing w:after="0" w:line="1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Integrity: Acting with honesty, adhering to strong ethical values, and doing the right thing.</w:t>
      </w:r>
    </w:p>
    <w:p>
      <w:pPr>
        <w:spacing w:after="0" w:line="1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Transparency: Communicating, acting, and making decisions openly, honestly, and clearly.</w:t>
      </w:r>
    </w:p>
    <w:p>
      <w:pPr>
        <w:spacing w:after="0" w:line="1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Accountability: Taking personal responsibility for actions and their consequences.</w:t>
      </w:r>
    </w:p>
    <w:p>
      <w:pPr>
        <w:spacing w:after="0" w:line="1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Fairness: Treating people equitably, without discrimination or bias.</w:t>
      </w:r>
    </w:p>
    <w:p>
      <w:pPr>
        <w:spacing w:after="0" w:line="130" w:lineRule="exact"/>
        <w:rPr>
          <w:rFonts w:ascii="Times New Roman" w:cs="Times New Roman" w:eastAsia="Times New Roman" w:hAnsi="Times New Roman"/>
          <w:sz w:val="18"/>
          <w:szCs w:val="18"/>
          <w:b w:val="1"/>
          <w:bCs w:val="1"/>
          <w:color w:val="auto"/>
        </w:rPr>
      </w:pPr>
    </w:p>
    <w:p>
      <w:pPr>
        <w:ind w:left="440" w:hanging="438"/>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Responsible business: Integrating ethical and sustainable practices into business decisions, considering societal and environmental impacts.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Principle 1 | Leading by example: </w:t>
      </w:r>
      <w:r>
        <w:rPr>
          <w:rFonts w:ascii="Times New Roman" w:cs="Times New Roman" w:eastAsia="Times New Roman" w:hAnsi="Times New Roman"/>
          <w:sz w:val="18"/>
          <w:szCs w:val="18"/>
          <w:color w:val="auto"/>
        </w:rPr>
        <w:t>Demonstrating exemplary standards of behaviour in personal conduct and decision-making.</w:t>
      </w:r>
    </w:p>
    <w:p>
      <w:pPr>
        <w:spacing w:after="0" w:line="2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Leading by example requires exemplary behaviour embodying and promoting values and challenging poor behaviour. We Abide with relevant laws and regulations, act in good faith and uphold high ethical standards. We show open and accurate communication about decision making and actions. We understand our responsibilities and provide honest account of our conduct. Our decisions are based on impartiality, consistency, and merit, aiming for long-term sustainable business success.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17"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5722620</wp:posOffset>
            </wp:positionH>
            <wp:positionV relativeFrom="page">
              <wp:posOffset>183515</wp:posOffset>
            </wp:positionV>
            <wp:extent cx="1550035" cy="5054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550035" cy="505460"/>
                    </a:xfrm>
                    <a:prstGeom prst="rect">
                      <a:avLst/>
                    </a:prstGeom>
                    <a:noFill/>
                  </pic:spPr>
                </pic:pic>
              </a:graphicData>
            </a:graphic>
          </wp:anchor>
        </w:drawing>
        <w:t>As a director, I undertake to:</w:t>
      </w:r>
    </w:p>
    <w:p>
      <w:pPr>
        <w:spacing w:after="0" w:line="130" w:lineRule="exact"/>
        <w:rPr>
          <w:sz w:val="20"/>
          <w:szCs w:val="20"/>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high standards of personal conduct and professionalism.</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impact of my behaviour on employees, fellow directors, and other stakeholders.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behaviour which might adversely affect the reputation of my organisation, or which contradicts its values.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everyone with respect, dignity, and consideration.</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sufficient time and attention to my role as a director.</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 attend all meetings on time and have undertaken the necessary preparation.</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 to develop my own competency and encourage that in others.</w:t>
      </w:r>
    </w:p>
    <w:p>
      <w:pPr>
        <w:spacing w:after="0" w:line="22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Outcomes: You will gain respect and trust as an authentic leader, where your actions align with your words. You will inspire and influence others to emulate your positive behaviours. This in turn builds loyalty, confidence in your leadership and helps build sustainable business relationships.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Principle 2 | Integrity: </w:t>
      </w:r>
      <w:r>
        <w:rPr>
          <w:rFonts w:ascii="Times New Roman" w:cs="Times New Roman" w:eastAsia="Times New Roman" w:hAnsi="Times New Roman"/>
          <w:sz w:val="18"/>
          <w:szCs w:val="18"/>
          <w:color w:val="auto"/>
        </w:rPr>
        <w:t>is about consistently doing what is right.</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You should abide with relevant laws and regulations, act in good faith and uphold high ethical standards. Your decisions should prioritise the interests of the organisation over personal gain, and balance organisational objectives with the interests of key stakeholders.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director, I undertake to:</w:t>
      </w:r>
    </w:p>
    <w:p>
      <w:pPr>
        <w:spacing w:after="0" w:line="130" w:lineRule="exact"/>
        <w:rPr>
          <w:sz w:val="20"/>
          <w:szCs w:val="20"/>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letter and spirit of applicable law and be willing to cooperate fully with regulatory authorities.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honestly with all parties.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interests of the organisation and its societal impact above my personal interests.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alert to perceived conflicts of interest and manage them when they arise.</w:t>
      </w:r>
    </w:p>
    <w:p>
      <w:pPr>
        <w:spacing w:after="0" w:line="130" w:lineRule="exact"/>
        <w:rPr>
          <w:rFonts w:ascii="Times New Roman" w:cs="Times New Roman" w:eastAsia="Times New Roman" w:hAnsi="Times New Roman"/>
          <w:sz w:val="18"/>
          <w:szCs w:val="18"/>
          <w:color w:val="auto"/>
        </w:rPr>
      </w:pPr>
    </w:p>
    <w:p>
      <w:pPr>
        <w:ind w:left="980" w:right="440" w:hanging="438"/>
        <w:spacing w:after="0" w:line="281"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Abide by the provisions of the securities laws that impose restrictions on an individual who uses “inside information” for his/her own benefit or discloses it to others for their use.</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constructive challenge and disagreement on matters of concern.</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words, behaviour or attitudes that fall below expectations.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collective responsibility for agreed decisions.</w:t>
      </w:r>
    </w:p>
    <w:p>
      <w:pPr>
        <w:spacing w:after="0" w:line="130" w:lineRule="exact"/>
        <w:rPr>
          <w:rFonts w:ascii="Times New Roman" w:cs="Times New Roman" w:eastAsia="Times New Roman" w:hAnsi="Times New Roman"/>
          <w:sz w:val="18"/>
          <w:szCs w:val="18"/>
          <w:color w:val="auto"/>
        </w:rPr>
      </w:pPr>
    </w:p>
    <w:p>
      <w:pPr>
        <w:ind w:left="980" w:hanging="438"/>
        <w:spacing w:after="0" w:line="281"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prepared to resign from the board if a matter of conscience, judgement or good governance cannot be remediated through good business practices.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confidential information unless appropriate disclosure has been authorised, and not make improper use of information.</w:t>
      </w:r>
    </w:p>
    <w:p>
      <w:pPr>
        <w:spacing w:after="0" w:line="22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Outcomes: Integrity will foster trust and respect from others and cultivate an atmosphere of honest and open communication. By demonstrating integrity, you not only promote a healthy organisational culture but also strengthen the collective commitment to achieving shared goals and objectives. This helps you build strong stakeholder relationships thereby enhancing organisational performance and reputation.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1214"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5722620</wp:posOffset>
            </wp:positionH>
            <wp:positionV relativeFrom="page">
              <wp:posOffset>183515</wp:posOffset>
            </wp:positionV>
            <wp:extent cx="1550035" cy="5054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1550035" cy="505460"/>
                    </a:xfrm>
                    <a:prstGeom prst="rect">
                      <a:avLst/>
                    </a:prstGeom>
                    <a:noFill/>
                  </pic:spPr>
                </pic:pic>
              </a:graphicData>
            </a:graphic>
          </wp:anchor>
        </w:drawing>
        <w:t xml:space="preserve">Principle 3 | Transparency: </w:t>
      </w:r>
      <w:r>
        <w:rPr>
          <w:rFonts w:ascii="Times New Roman" w:cs="Times New Roman" w:eastAsia="Times New Roman" w:hAnsi="Times New Roman"/>
          <w:sz w:val="18"/>
          <w:szCs w:val="18"/>
          <w:color w:val="auto"/>
        </w:rPr>
        <w:t>Communicating, acting, and making decisions openly, honestly, and clearly.</w:t>
      </w:r>
    </w:p>
    <w:p>
      <w:pPr>
        <w:spacing w:after="0" w:line="22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Transparency involves being open about your decisions and actions. It entails providing accurate, timely and consistent information to stakeholders, demonstrating that your decisions are fair and reasonable.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director, I undertake to:</w:t>
      </w:r>
    </w:p>
    <w:p>
      <w:pPr>
        <w:spacing w:after="0" w:line="130" w:lineRule="exact"/>
        <w:rPr>
          <w:sz w:val="20"/>
          <w:szCs w:val="20"/>
          <w:color w:val="auto"/>
        </w:rPr>
      </w:pPr>
    </w:p>
    <w:p>
      <w:pPr>
        <w:ind w:left="980" w:right="200" w:hanging="438"/>
        <w:spacing w:after="0" w:line="281"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open and transparent to the rest of the board and relevant stakeholders in respect of anything that might be perceived as affecting my objectivity (such as a conflict of interest).</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 open business culture which does not cover up wrong-doing or mistakes.</w:t>
      </w:r>
    </w:p>
    <w:p>
      <w:pPr>
        <w:spacing w:after="0" w:line="130" w:lineRule="exact"/>
        <w:rPr>
          <w:rFonts w:ascii="Times New Roman" w:cs="Times New Roman" w:eastAsia="Times New Roman" w:hAnsi="Times New Roman"/>
          <w:sz w:val="18"/>
          <w:szCs w:val="18"/>
          <w:color w:val="auto"/>
        </w:rPr>
      </w:pPr>
    </w:p>
    <w:p>
      <w:pPr>
        <w:ind w:left="980" w:right="140" w:hanging="438"/>
        <w:spacing w:after="0" w:line="281"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 adoption of ‘speak up’ mechanisms which enable employees and other relevant stakeholders to report concerns about any misconduct or actions that are not aligned to the organisation’s values.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with stakeholders in a straightforward and accessible manner, providing proactive, relevant, and timely information.</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candid with stakeholders about the limits of transparency (such as information of a commercially sensitive nature).</w:t>
      </w:r>
    </w:p>
    <w:p>
      <w:pPr>
        <w:spacing w:after="0" w:line="130" w:lineRule="exact"/>
        <w:rPr>
          <w:rFonts w:ascii="Times New Roman" w:cs="Times New Roman" w:eastAsia="Times New Roman" w:hAnsi="Times New Roman"/>
          <w:sz w:val="18"/>
          <w:szCs w:val="18"/>
          <w:color w:val="auto"/>
        </w:rPr>
      </w:pPr>
    </w:p>
    <w:p>
      <w:pPr>
        <w:ind w:left="980" w:right="120" w:hanging="438"/>
        <w:spacing w:after="0" w:line="281"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books and records must accurately and fairly represent all communications about the Board’s decision-making process and the proceedings of its Board and committees.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Outcomes: Transparency builds trust, credibility, and confidence. By demonstrating the rationale behind your decision-making, you will promote clarity and understanding, enabling positive relationships and effective collaboration with key stakeholders. Transparency helps you to create a culture where openness is valued and practised.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Principle 4 | Accountability: </w:t>
      </w:r>
      <w:r>
        <w:rPr>
          <w:rFonts w:ascii="Times New Roman" w:cs="Times New Roman" w:eastAsia="Times New Roman" w:hAnsi="Times New Roman"/>
          <w:sz w:val="18"/>
          <w:szCs w:val="18"/>
          <w:color w:val="auto"/>
        </w:rPr>
        <w:t>Taking personal responsibility for actions and their consequences.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accountable means you are answerable for the decisions and actions you take in fulfilling your duties as a director. This includes subjecting your actions and decisions to scrutiny and being prepared to provide an honest and transparent account of your conduct.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director, I undertake to:</w:t>
      </w:r>
    </w:p>
    <w:p>
      <w:pPr>
        <w:spacing w:after="0" w:line="130" w:lineRule="exact"/>
        <w:rPr>
          <w:sz w:val="20"/>
          <w:szCs w:val="20"/>
          <w:color w:val="auto"/>
        </w:rPr>
      </w:pPr>
    </w:p>
    <w:p>
      <w:pPr>
        <w:ind w:left="980" w:hanging="438"/>
        <w:spacing w:after="0"/>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my legal duties to the organisation, fulfil my delegated responsibilities, and take personal responsibility for my actions.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open to feedback and, where applicable, make improvements based upon that feedback.</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hold management to account.</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the legitimate expectations of shareholders and other relevant stakeholders and engage appropriately with them.</w:t>
      </w:r>
    </w:p>
    <w:p>
      <w:pPr>
        <w:spacing w:after="0" w:line="130" w:lineRule="exact"/>
        <w:rPr>
          <w:rFonts w:ascii="Times New Roman" w:cs="Times New Roman" w:eastAsia="Times New Roman" w:hAnsi="Times New Roman"/>
          <w:sz w:val="18"/>
          <w:szCs w:val="18"/>
          <w:color w:val="auto"/>
        </w:rPr>
      </w:pPr>
    </w:p>
    <w:p>
      <w:pPr>
        <w:ind w:left="980" w:right="80" w:hanging="438"/>
        <w:spacing w:after="0" w:line="281" w:lineRule="auto"/>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independent advice on matters of concern at an early stage and, where appropriate, call for action to protect the interests of creditors if the organisation is struggling financially.</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1210" w:right="519" w:bottom="1440" w:gutter="0" w:footer="0" w:header="0"/>
        </w:sectPr>
      </w:pPr>
    </w:p>
    <w:bookmarkStart w:id="271" w:name="page272"/>
    <w:bookmarkEnd w:id="271"/>
    <w:p>
      <w:pPr>
        <w:ind w:left="980" w:right="260" w:hanging="438"/>
        <w:spacing w:after="0" w:line="281" w:lineRule="auto"/>
        <w:tabs>
          <w:tab w:leader="none" w:pos="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5722620</wp:posOffset>
            </wp:positionH>
            <wp:positionV relativeFrom="page">
              <wp:posOffset>183515</wp:posOffset>
            </wp:positionV>
            <wp:extent cx="1550035" cy="5054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550035" cy="505460"/>
                    </a:xfrm>
                    <a:prstGeom prst="rect">
                      <a:avLst/>
                    </a:prstGeom>
                    <a:noFill/>
                  </pic:spPr>
                </pic:pic>
              </a:graphicData>
            </a:graphic>
          </wp:anchor>
        </w:drawing>
        <w:t>Reflect on whether I have the knowledge and skills required to fulfil my role as a director and, where appropriate, decline to serve on a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Accountability will improve the quality of your decision-making and is essential in maintaining the trust and confidence of stakeholders.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to accountability will cement your reputation as a trusted fiduciary and help build the governance standing of your organisation.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Principle 5 | Fairness: </w:t>
      </w:r>
      <w:r>
        <w:rPr>
          <w:rFonts w:ascii="Times New Roman" w:cs="Times New Roman" w:eastAsia="Times New Roman" w:hAnsi="Times New Roman"/>
          <w:sz w:val="18"/>
          <w:szCs w:val="18"/>
          <w:color w:val="auto"/>
        </w:rPr>
        <w:t>Treating people equitably, with no discrimination or bias.</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Fairness encompasses making decisions impartially, consistently and based on merit, while providing justification for your decisions. It involves you being inclusive and treating everyone with respect, dignity, and consideration. Fairness is essential for nurturing a culture where diversity is welcomed, and all individuals have the chance to excel and realise their potential.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director, I undertake to:</w:t>
      </w:r>
    </w:p>
    <w:p>
      <w:pPr>
        <w:spacing w:after="0" w:line="130" w:lineRule="exact"/>
        <w:rPr>
          <w:sz w:val="20"/>
          <w:szCs w:val="20"/>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decisions on an objective and evidence-based basis.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 and respect the legitimate interests of relevant stakeholders – including customers, employees, investors, and suppliers.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equality of opportunity in all business activities.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 fair treatment of suppliers.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diversity of thought, by being open to differing ideas and views.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Engender an inclusive culture where all employees can bring their best selves to work.</w:t>
      </w:r>
    </w:p>
    <w:p>
      <w:pPr>
        <w:spacing w:after="0" w:line="130" w:lineRule="exact"/>
        <w:rPr>
          <w:rFonts w:ascii="Times New Roman" w:cs="Times New Roman" w:eastAsia="Times New Roman" w:hAnsi="Times New Roman"/>
          <w:sz w:val="18"/>
          <w:szCs w:val="18"/>
          <w:color w:val="auto"/>
        </w:rPr>
      </w:pPr>
    </w:p>
    <w:p>
      <w:pPr>
        <w:ind w:left="980" w:right="20" w:hanging="438"/>
        <w:spacing w:after="0" w:line="281" w:lineRule="auto"/>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credit with those contributing to successful outcomes and provide constructive feedback where performance does not meet expected standards.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Advocate for reward and recognition structures that are fair, encourage ethical behaviour and support a longer-term perspective.</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Outcomes: By demonstrating fairness, you will build and maintain confidence in your decision-making and foster a sense of loyalty amongst colleagues and stakeholders. Ensuring that your decisions are made impartially and based on merit helps you create an environment where everyone has equal opportunity. Fairness leads to an inclusive environment where everyone feels valued and respected, with positive consequences for sustainable business success.</w:t>
      </w:r>
    </w:p>
    <w:p>
      <w:pPr>
        <w:spacing w:after="0" w:line="17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 6 | Responsible business: </w:t>
      </w:r>
      <w:r>
        <w:rPr>
          <w:rFonts w:ascii="Times New Roman" w:cs="Times New Roman" w:eastAsia="Times New Roman" w:hAnsi="Times New Roman"/>
          <w:sz w:val="18"/>
          <w:szCs w:val="18"/>
          <w:color w:val="auto"/>
        </w:rPr>
        <w:t>integrating ethical and sustainable practices into business decisions, considering societal and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impacts.</w:t>
      </w:r>
    </w:p>
    <w:p>
      <w:pPr>
        <w:spacing w:after="0" w:line="15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Responsible Business entails acknowledging that the scope of your responsibilities extends beyond your organisation and can have a broader impact on society and planet. This involves ensuring environmentally safe, ethical, and equitable working conditions and products. Responsible Business requires you to align strategic objectives with creating favourable outcomes for stakeholders over the longer term. This includes focusing on sustainable growth and striking a balance between financial performance and societal impact.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1214" w:right="5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5722620</wp:posOffset>
            </wp:positionH>
            <wp:positionV relativeFrom="page">
              <wp:posOffset>183515</wp:posOffset>
            </wp:positionV>
            <wp:extent cx="1550035" cy="5054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1550035" cy="505460"/>
                    </a:xfrm>
                    <a:prstGeom prst="rect">
                      <a:avLst/>
                    </a:prstGeom>
                    <a:noFill/>
                  </pic:spPr>
                </pic:pic>
              </a:graphicData>
            </a:graphic>
          </wp:anchor>
        </w:drawing>
        <w:t>As a director, I undertake to:</w:t>
      </w:r>
    </w:p>
    <w:p>
      <w:pPr>
        <w:spacing w:after="0" w:line="130" w:lineRule="exact"/>
        <w:rPr>
          <w:sz w:val="20"/>
          <w:szCs w:val="20"/>
          <w:color w:val="auto"/>
        </w:rPr>
      </w:pPr>
    </w:p>
    <w:p>
      <w:pPr>
        <w:ind w:left="980" w:hanging="438"/>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consequences of my decisions for society, local communities, and the environment.</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prioritising the short-term financial interests of shareholders above the longer-term interests of the organisation.</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high business standards across the supply chain, particularly regarding employment conditions and environmental impact.</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 corrupt business practices.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Advocate for an organisational culture which values diversity and inclusion.</w:t>
      </w:r>
    </w:p>
    <w:p>
      <w:pPr>
        <w:spacing w:after="0" w:line="2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Outcomes: By linking the success of your organisation to that of wider society and the environment, you will contribute to a more sustainable and equitable future. This will resonate with stakeholders, leading to enhanced trust and confidence in your leadership, setting a foundation for enduring relationships with customers, employees, and the communities in which you operate.</w:t>
      </w: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9869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7"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2880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440" w:top="1214" w:right="819" w:bottom="1440" w:gutter="0" w:footer="0" w:header="0"/>
        </w:sectPr>
      </w:pPr>
    </w:p>
    <w:bookmarkStart w:id="273" w:name="page274"/>
    <w:bookmarkEnd w:id="273"/>
    <w:p>
      <w:pPr>
        <w:spacing w:after="0" w:line="96"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0" w:type="dxa"/>
            <w:vAlign w:val="bottom"/>
          </w:tcPr>
          <w:p>
            <w:pPr>
              <w:spacing w:after="0"/>
              <w:rPr>
                <w:sz w:val="15"/>
                <w:szCs w:val="15"/>
                <w:color w:val="auto"/>
              </w:rPr>
            </w:pPr>
          </w:p>
        </w:tc>
        <w:tc>
          <w:tcPr>
            <w:tcW w:w="27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of 12/31/2023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(1,300,000)</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(700,000)</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(5,132,351)</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(b)</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(1,394,287)</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(3,144,883)</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11,238,392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investment held in trust account,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25,871,565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(1,332,979)</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(24,451,711)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(25,849,536)</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9,905,413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244,517</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debt - related party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(5,587,343)</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5,132,351</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(5,132,351)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1,394,287</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(1,394,287)</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(244,517)</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(3,144,883)</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(8,223,928)</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(h)</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31,220,528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(31,220,528)</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28,641,250</w:t>
            </w:r>
          </w:p>
        </w:tc>
        <w:tc>
          <w:tcPr>
            <w:tcW w:w="12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(15,543,857)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50,587,501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56,821,368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(15,543,857)</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50,587,501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subject to possible redemption, 15,000,000 shares at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of $10.20 per share at December 31, 2023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(24,451,711)</w:t>
            </w:r>
          </w:p>
        </w:tc>
        <w:tc>
          <w:tcPr>
            <w:tcW w:w="58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(1,332,979)</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(25,784,690)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Ordinary shares issued and outstanding as of December 31, 2023 -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932,969,424; as of December 31, 2022 - 927,806,159 at par value £ 0.0001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(h)</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Series A shares issued and outstanding as of December 31, 2023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2022 - 28,039,517 nil at par value £0.0001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(3,868)</w:t>
            </w:r>
          </w:p>
        </w:tc>
        <w:tc>
          <w:tcPr>
            <w:tcW w:w="58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(k)</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580" w:type="dxa"/>
            <w:vAlign w:val="bottom"/>
            <w:gridSpan w:val="2"/>
            <w:vMerge w:val="continue"/>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(1,300,000)</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(44,959,961)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5,585,968</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31,219,665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8,222,659</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(h)</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1,332,876</w:t>
            </w:r>
          </w:p>
        </w:tc>
        <w:tc>
          <w:tcPr>
            <w:tcW w:w="12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36,731,490</w:t>
            </w:r>
          </w:p>
        </w:tc>
        <w:tc>
          <w:tcPr>
            <w:tcW w:w="12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34" w:orient="portrait"/>
          <w:cols w:equalWidth="0" w:num="1">
            <w:col w:w="11020"/>
          </w:cols>
          <w:pgMar w:left="440" w:top="117" w:right="439" w:bottom="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(9,314,780)</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(492,800)</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(263,730,384)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(q)</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(28,641,250)</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(178,720)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(178,720)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(226,291,430)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(9,314,780)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(700,000)</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(2,814,217)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(244,517)</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(3,062,500)</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(36,738,954)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9,314,780</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263,730,384</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(150,744)</w:t>
            </w:r>
          </w:p>
        </w:tc>
      </w:tr>
      <w:tr>
        <w:trPr>
          <w:trHeight w:val="23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(54,284,884)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(9,155,176)</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15,479,011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(47,961,049)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(25,849,536)</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2,626,452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40" w:right="439" w:bottom="1440" w:gutter="0" w:footer="0" w:header="0"/>
        </w:sectPr>
      </w:pPr>
    </w:p>
    <w:bookmarkStart w:id="275" w:name="page276"/>
    <w:bookmarkEnd w:id="27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80" w:type="dxa"/>
            <w:vAlign w:val="bottom"/>
          </w:tcPr>
          <w:p>
            <w:pPr>
              <w:spacing w:after="0"/>
              <w:rPr>
                <w:sz w:val="15"/>
                <w:szCs w:val="15"/>
                <w:color w:val="auto"/>
              </w:rPr>
            </w:pPr>
          </w:p>
        </w:tc>
        <w:tc>
          <w:tcPr>
            <w:tcW w:w="2820" w:type="dxa"/>
            <w:vAlign w:val="bottom"/>
            <w:gridSpan w:val="6"/>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04"/>
        </w:trPr>
        <w:tc>
          <w:tcPr>
            <w:tcW w:w="5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60" w:type="dxa"/>
            <w:vAlign w:val="bottom"/>
          </w:tcPr>
          <w:p>
            <w:pPr>
              <w:spacing w:after="0"/>
              <w:rPr>
                <w:sz w:val="12"/>
                <w:szCs w:val="12"/>
                <w:color w:val="auto"/>
              </w:rPr>
            </w:pPr>
          </w:p>
        </w:tc>
        <w:tc>
          <w:tcPr>
            <w:tcW w:w="100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80" w:type="dxa"/>
            <w:vAlign w:val="bottom"/>
          </w:tcPr>
          <w:p>
            <w:pPr>
              <w:spacing w:after="0"/>
              <w:rPr>
                <w:sz w:val="12"/>
                <w:szCs w:val="12"/>
                <w:color w:val="auto"/>
              </w:rPr>
            </w:pPr>
          </w:p>
        </w:tc>
        <w:tc>
          <w:tcPr>
            <w:tcW w:w="114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2"/>
                <w:szCs w:val="12"/>
                <w:color w:val="auto"/>
              </w:rPr>
            </w:pPr>
          </w:p>
        </w:tc>
        <w:tc>
          <w:tcPr>
            <w:tcW w:w="100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ended</w:t>
            </w: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00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14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240,691</w:t>
            </w:r>
          </w:p>
        </w:tc>
        <w:tc>
          <w:tcPr>
            <w:tcW w:w="120" w:type="dxa"/>
            <w:vAlign w:val="bottom"/>
          </w:tcPr>
          <w:p>
            <w:pPr>
              <w:spacing w:after="0"/>
              <w:rPr>
                <w:sz w:val="18"/>
                <w:szCs w:val="18"/>
                <w:color w:val="auto"/>
              </w:rPr>
            </w:pPr>
          </w:p>
        </w:tc>
        <w:tc>
          <w:tcPr>
            <w:tcW w:w="12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(240,691)</w:t>
            </w:r>
          </w:p>
        </w:tc>
        <w:tc>
          <w:tcPr>
            <w:tcW w:w="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(aa)</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(bb)</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2,988,740</w:t>
            </w:r>
          </w:p>
        </w:tc>
        <w:tc>
          <w:tcPr>
            <w:tcW w:w="160" w:type="dxa"/>
            <w:vAlign w:val="bottom"/>
          </w:tcPr>
          <w:p>
            <w:pPr>
              <w:spacing w:after="0"/>
              <w:rPr>
                <w:sz w:val="18"/>
                <w:szCs w:val="18"/>
                <w:color w:val="auto"/>
              </w:rPr>
            </w:pPr>
          </w:p>
        </w:tc>
        <w:tc>
          <w:tcPr>
            <w:tcW w:w="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(aa)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56,177,722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32,139,954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(bb)</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3,062,500</w:t>
            </w:r>
          </w:p>
        </w:tc>
        <w:tc>
          <w:tcPr>
            <w:tcW w:w="160" w:type="dxa"/>
            <w:vAlign w:val="bottom"/>
          </w:tcPr>
          <w:p>
            <w:pPr>
              <w:spacing w:after="0"/>
              <w:rPr>
                <w:sz w:val="18"/>
                <w:szCs w:val="18"/>
                <w:color w:val="auto"/>
              </w:rPr>
            </w:pPr>
          </w:p>
        </w:tc>
        <w:tc>
          <w:tcPr>
            <w:tcW w:w="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(cc)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Formation cost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2,748,049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(2,748,049)</w:t>
            </w: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(aa)</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customer list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39,801,454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68,941,519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(26,006,274)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(2,988,740)</w:t>
            </w: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(39,801,454)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(68,796,468)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(4,791,782)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(492,800)</w:t>
            </w: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(dd)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(5,289,969)</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2,129,423</w:t>
            </w:r>
          </w:p>
        </w:tc>
        <w:tc>
          <w:tcPr>
            <w:tcW w:w="120" w:type="dxa"/>
            <w:vAlign w:val="bottom"/>
          </w:tcPr>
          <w:p>
            <w:pPr>
              <w:spacing w:after="0"/>
              <w:rPr>
                <w:sz w:val="18"/>
                <w:szCs w:val="18"/>
                <w:color w:val="auto"/>
              </w:rPr>
            </w:pPr>
          </w:p>
        </w:tc>
        <w:tc>
          <w:tcPr>
            <w:tcW w:w="12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(2,129,423)</w:t>
            </w:r>
          </w:p>
        </w:tc>
        <w:tc>
          <w:tcPr>
            <w:tcW w:w="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(ee)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(2,100,000)</w:t>
            </w: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(ff)</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(1,974,634)</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other (expenses) / income, net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(4,722,223)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(30,672,690)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(864,704)</w:t>
            </w: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(44,523,677)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(76,061,071)</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(63,408)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422,787</w:t>
            </w:r>
          </w:p>
        </w:tc>
        <w:tc>
          <w:tcPr>
            <w:tcW w:w="160" w:type="dxa"/>
            <w:vAlign w:val="bottom"/>
          </w:tcPr>
          <w:p>
            <w:pPr>
              <w:spacing w:after="0"/>
              <w:rPr>
                <w:sz w:val="18"/>
                <w:szCs w:val="18"/>
                <w:color w:val="auto"/>
              </w:rPr>
            </w:pPr>
          </w:p>
        </w:tc>
        <w:tc>
          <w:tcPr>
            <w:tcW w:w="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(gg)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(307,925)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(244,517)</w:t>
            </w:r>
          </w:p>
        </w:tc>
        <w:tc>
          <w:tcPr>
            <w:tcW w:w="6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(hh)</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(30,736,098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(1,287,491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(44,345,407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(76,368,996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Weighted average shares of Rezolve common stock used in computing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927,204,508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Proforma Basic and diluted weighted average shares outstanding,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subject to possible redemption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204,702,306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Proforma Net loss per share, basic and 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76" w:name="page277"/>
    <w:bookmarkEnd w:id="2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2" w:lineRule="exact"/>
        <w:rPr>
          <w:sz w:val="20"/>
          <w:szCs w:val="20"/>
          <w:color w:val="auto"/>
        </w:rPr>
      </w:pPr>
    </w:p>
    <w:p>
      <w:pPr>
        <w:ind w:right="20" w:firstLine="2"/>
        <w:spacing w:after="0" w:line="252" w:lineRule="auto"/>
        <w:tabs>
          <w:tab w:leader="none" w:pos="31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8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30" w:lineRule="exact"/>
        <w:rPr>
          <w:sz w:val="20"/>
          <w:szCs w:val="20"/>
          <w:color w:val="auto"/>
        </w:rPr>
      </w:pPr>
    </w:p>
    <w:p>
      <w:pPr>
        <w:ind w:left="980" w:hanging="438"/>
        <w:spacing w:after="0"/>
        <w:tabs>
          <w:tab w:leader="none" w:pos="9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980" w:right="40" w:hanging="438"/>
        <w:spacing w:after="0" w:line="281" w:lineRule="auto"/>
        <w:tabs>
          <w:tab w:leader="none" w:pos="9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incorporated by reference in this filing;</w:t>
      </w:r>
    </w:p>
    <w:p>
      <w:pPr>
        <w:spacing w:after="0" w:line="68" w:lineRule="exact"/>
        <w:rPr>
          <w:rFonts w:ascii="Times New Roman" w:cs="Times New Roman" w:eastAsia="Times New Roman" w:hAnsi="Times New Roman"/>
          <w:sz w:val="18"/>
          <w:szCs w:val="18"/>
          <w:color w:val="auto"/>
        </w:rPr>
      </w:pPr>
    </w:p>
    <w:p>
      <w:pPr>
        <w:ind w:left="980" w:right="140" w:hanging="438"/>
        <w:spacing w:after="0" w:line="281" w:lineRule="auto"/>
        <w:tabs>
          <w:tab w:leader="none" w:pos="9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incorporated by reference to this filing;</w:t>
      </w:r>
    </w:p>
    <w:p>
      <w:pPr>
        <w:spacing w:after="0" w:line="68" w:lineRule="exact"/>
        <w:rPr>
          <w:rFonts w:ascii="Times New Roman" w:cs="Times New Roman" w:eastAsia="Times New Roman" w:hAnsi="Times New Roman"/>
          <w:sz w:val="18"/>
          <w:szCs w:val="18"/>
          <w:color w:val="auto"/>
        </w:rPr>
      </w:pPr>
    </w:p>
    <w:p>
      <w:pPr>
        <w:ind w:left="980" w:right="320" w:hanging="438"/>
        <w:spacing w:after="0" w:line="281" w:lineRule="auto"/>
        <w:tabs>
          <w:tab w:leader="none" w:pos="9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AI Limited as of, and for the year ended, December 31, 2023, included elsewhere in this proxy statement/prospectus; and</w:t>
      </w:r>
    </w:p>
    <w:p>
      <w:pPr>
        <w:spacing w:after="0" w:line="66" w:lineRule="exact"/>
        <w:rPr>
          <w:rFonts w:ascii="Times New Roman" w:cs="Times New Roman" w:eastAsia="Times New Roman" w:hAnsi="Times New Roman"/>
          <w:sz w:val="18"/>
          <w:szCs w:val="18"/>
          <w:color w:val="auto"/>
        </w:rPr>
      </w:pPr>
    </w:p>
    <w:p>
      <w:pPr>
        <w:ind w:left="980" w:right="800" w:hanging="438"/>
        <w:spacing w:after="0" w:line="283" w:lineRule="auto"/>
        <w:tabs>
          <w:tab w:leader="none" w:pos="9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277" w:name="page278"/>
    <w:bookmarkEnd w:id="277"/>
    <w:p>
      <w:pPr>
        <w:ind w:right="8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3"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30" w:lineRule="exact"/>
        <w:rPr>
          <w:sz w:val="20"/>
          <w:szCs w:val="20"/>
          <w:color w:val="auto"/>
        </w:rPr>
      </w:pPr>
    </w:p>
    <w:p>
      <w:pPr>
        <w:ind w:left="440" w:right="440" w:hanging="438"/>
        <w:spacing w:after="0" w:line="281" w:lineRule="auto"/>
        <w:tabs>
          <w:tab w:leader="none" w:pos="440" w:val="left"/>
        </w:tabs>
        <w:numPr>
          <w:ilvl w:val="0"/>
          <w:numId w:val="2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68" w:lineRule="exact"/>
        <w:rPr>
          <w:rFonts w:ascii="Times New Roman" w:cs="Times New Roman" w:eastAsia="Times New Roman" w:hAnsi="Times New Roman"/>
          <w:sz w:val="18"/>
          <w:szCs w:val="18"/>
          <w:i w:val="1"/>
          <w:iCs w:val="1"/>
          <w:color w:val="auto"/>
        </w:rPr>
      </w:pPr>
    </w:p>
    <w:p>
      <w:pPr>
        <w:ind w:left="980" w:right="340" w:hanging="438"/>
        <w:spacing w:after="0" w:line="281" w:lineRule="auto"/>
        <w:tabs>
          <w:tab w:leader="none" w:pos="98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30"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30" w:lineRule="exact"/>
        <w:rPr>
          <w:rFonts w:ascii="Times New Roman" w:cs="Times New Roman" w:eastAsia="Times New Roman" w:hAnsi="Times New Roman"/>
          <w:sz w:val="18"/>
          <w:szCs w:val="18"/>
          <w:i w:val="1"/>
          <w:iCs w:val="1"/>
          <w:color w:val="auto"/>
        </w:rPr>
      </w:pPr>
    </w:p>
    <w:p>
      <w:pPr>
        <w:ind w:left="440" w:hanging="438"/>
        <w:spacing w:after="0"/>
        <w:tabs>
          <w:tab w:leader="none" w:pos="440" w:val="left"/>
        </w:tabs>
        <w:numPr>
          <w:ilvl w:val="0"/>
          <w:numId w:val="2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30" w:lineRule="exact"/>
        <w:rPr>
          <w:rFonts w:ascii="Times New Roman" w:cs="Times New Roman" w:eastAsia="Times New Roman" w:hAnsi="Times New Roman"/>
          <w:sz w:val="18"/>
          <w:szCs w:val="18"/>
          <w:i w:val="1"/>
          <w:iCs w:val="1"/>
          <w:color w:val="auto"/>
        </w:rPr>
      </w:pPr>
    </w:p>
    <w:p>
      <w:pPr>
        <w:ind w:left="440" w:right="120" w:hanging="438"/>
        <w:spacing w:after="0" w:line="265" w:lineRule="auto"/>
        <w:tabs>
          <w:tab w:leader="none" w:pos="440" w:val="left"/>
        </w:tabs>
        <w:numPr>
          <w:ilvl w:val="0"/>
          <w:numId w:val="2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promissory note issued by Rezolve AI Limited to Cohen &amp; Company Financial Management LLC for $3,144,883.06 with interest on the principal amount outstanding at a rate of 4.95% per annum with the principal amount and any accrued interest due and payable on August 14, 2027.</w:t>
      </w:r>
    </w:p>
    <w:p>
      <w:pPr>
        <w:spacing w:after="0" w:line="82" w:lineRule="exact"/>
        <w:rPr>
          <w:rFonts w:ascii="Times New Roman" w:cs="Times New Roman" w:eastAsia="Times New Roman" w:hAnsi="Times New Roman"/>
          <w:sz w:val="18"/>
          <w:szCs w:val="18"/>
          <w:i w:val="1"/>
          <w:iCs w:val="1"/>
          <w:color w:val="auto"/>
        </w:rPr>
      </w:pPr>
    </w:p>
    <w:p>
      <w:pPr>
        <w:ind w:left="440" w:hanging="438"/>
        <w:spacing w:after="0" w:line="253" w:lineRule="auto"/>
        <w:tabs>
          <w:tab w:leader="none" w:pos="440" w:val="left"/>
        </w:tabs>
        <w:numPr>
          <w:ilvl w:val="0"/>
          <w:numId w:val="2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78" w:name="page279"/>
    <w:bookmarkEnd w:id="278"/>
    <w:p>
      <w:pPr>
        <w:ind w:left="440" w:right="86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redemption of 945,662 and 1,300,391 shares in February 2024 and August 2024, respectively out of a total of 2,363,349 at December 31, 2023.</w:t>
      </w:r>
    </w:p>
    <w:p>
      <w:pPr>
        <w:spacing w:after="0" w:line="68" w:lineRule="exact"/>
        <w:rPr>
          <w:rFonts w:ascii="Times New Roman" w:cs="Times New Roman" w:eastAsia="Times New Roman" w:hAnsi="Times New Roman"/>
          <w:sz w:val="18"/>
          <w:szCs w:val="18"/>
          <w:i w:val="1"/>
          <w:iCs w:val="1"/>
          <w:color w:val="auto"/>
        </w:rPr>
      </w:pPr>
    </w:p>
    <w:p>
      <w:pPr>
        <w:ind w:left="440" w:right="64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68" w:lineRule="exact"/>
        <w:rPr>
          <w:rFonts w:ascii="Times New Roman" w:cs="Times New Roman" w:eastAsia="Times New Roman" w:hAnsi="Times New Roman"/>
          <w:sz w:val="18"/>
          <w:szCs w:val="18"/>
          <w:i w:val="1"/>
          <w:iCs w:val="1"/>
          <w:color w:val="auto"/>
        </w:rPr>
      </w:pPr>
    </w:p>
    <w:p>
      <w:pPr>
        <w:ind w:left="440" w:hanging="438"/>
        <w:spacing w:after="0"/>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130" w:lineRule="exact"/>
        <w:rPr>
          <w:rFonts w:ascii="Times New Roman" w:cs="Times New Roman" w:eastAsia="Times New Roman" w:hAnsi="Times New Roman"/>
          <w:sz w:val="18"/>
          <w:szCs w:val="18"/>
          <w:i w:val="1"/>
          <w:iCs w:val="1"/>
          <w:color w:val="auto"/>
        </w:rPr>
      </w:pPr>
    </w:p>
    <w:p>
      <w:pPr>
        <w:ind w:left="440" w:right="60" w:hanging="438"/>
        <w:spacing w:after="0" w:line="258"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7" w:lineRule="exact"/>
        <w:rPr>
          <w:rFonts w:ascii="Times New Roman" w:cs="Times New Roman" w:eastAsia="Times New Roman" w:hAnsi="Times New Roman"/>
          <w:sz w:val="18"/>
          <w:szCs w:val="18"/>
          <w:i w:val="1"/>
          <w:iCs w:val="1"/>
          <w:color w:val="auto"/>
        </w:rPr>
      </w:pPr>
    </w:p>
    <w:p>
      <w:pPr>
        <w:ind w:left="440" w:right="16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68" w:lineRule="exact"/>
        <w:rPr>
          <w:rFonts w:ascii="Times New Roman" w:cs="Times New Roman" w:eastAsia="Times New Roman" w:hAnsi="Times New Roman"/>
          <w:sz w:val="18"/>
          <w:szCs w:val="18"/>
          <w:i w:val="1"/>
          <w:iCs w:val="1"/>
          <w:color w:val="auto"/>
        </w:rPr>
      </w:pPr>
    </w:p>
    <w:p>
      <w:pPr>
        <w:ind w:left="440" w:hanging="438"/>
        <w:spacing w:after="0"/>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30" w:lineRule="exact"/>
        <w:rPr>
          <w:rFonts w:ascii="Times New Roman" w:cs="Times New Roman" w:eastAsia="Times New Roman" w:hAnsi="Times New Roman"/>
          <w:sz w:val="18"/>
          <w:szCs w:val="18"/>
          <w:i w:val="1"/>
          <w:iCs w:val="1"/>
          <w:color w:val="auto"/>
        </w:rPr>
      </w:pPr>
    </w:p>
    <w:p>
      <w:pPr>
        <w:ind w:left="440" w:right="120" w:hanging="438"/>
        <w:spacing w:after="0" w:line="265"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2" w:lineRule="exact"/>
        <w:rPr>
          <w:rFonts w:ascii="Times New Roman" w:cs="Times New Roman" w:eastAsia="Times New Roman" w:hAnsi="Times New Roman"/>
          <w:sz w:val="18"/>
          <w:szCs w:val="18"/>
          <w:i w:val="1"/>
          <w:iCs w:val="1"/>
          <w:color w:val="auto"/>
        </w:rPr>
      </w:pPr>
    </w:p>
    <w:p>
      <w:pPr>
        <w:ind w:left="440" w:right="28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8" w:lineRule="exact"/>
        <w:rPr>
          <w:rFonts w:ascii="Times New Roman" w:cs="Times New Roman" w:eastAsia="Times New Roman" w:hAnsi="Times New Roman"/>
          <w:sz w:val="18"/>
          <w:szCs w:val="18"/>
          <w:i w:val="1"/>
          <w:iCs w:val="1"/>
          <w:color w:val="auto"/>
        </w:rPr>
      </w:pPr>
    </w:p>
    <w:p>
      <w:pPr>
        <w:ind w:left="44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68" w:lineRule="exact"/>
        <w:rPr>
          <w:rFonts w:ascii="Times New Roman" w:cs="Times New Roman" w:eastAsia="Times New Roman" w:hAnsi="Times New Roman"/>
          <w:sz w:val="18"/>
          <w:szCs w:val="18"/>
          <w:i w:val="1"/>
          <w:iCs w:val="1"/>
          <w:color w:val="auto"/>
        </w:rPr>
      </w:pPr>
    </w:p>
    <w:p>
      <w:pPr>
        <w:ind w:left="440" w:hanging="438"/>
        <w:spacing w:after="0"/>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30" w:lineRule="exact"/>
        <w:rPr>
          <w:rFonts w:ascii="Times New Roman" w:cs="Times New Roman" w:eastAsia="Times New Roman" w:hAnsi="Times New Roman"/>
          <w:sz w:val="18"/>
          <w:szCs w:val="18"/>
          <w:i w:val="1"/>
          <w:iCs w:val="1"/>
          <w:color w:val="auto"/>
        </w:rPr>
      </w:pPr>
    </w:p>
    <w:p>
      <w:pPr>
        <w:ind w:left="440" w:hanging="438"/>
        <w:spacing w:after="0"/>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130" w:lineRule="exact"/>
        <w:rPr>
          <w:rFonts w:ascii="Times New Roman" w:cs="Times New Roman" w:eastAsia="Times New Roman" w:hAnsi="Times New Roman"/>
          <w:sz w:val="18"/>
          <w:szCs w:val="18"/>
          <w:i w:val="1"/>
          <w:iCs w:val="1"/>
          <w:color w:val="auto"/>
        </w:rPr>
      </w:pPr>
    </w:p>
    <w:p>
      <w:pPr>
        <w:ind w:left="440" w:hanging="438"/>
        <w:spacing w:after="0" w:line="281"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reclass of accumulated deficit from Rezolve Limited into Additional Paid-in Capital of Rezolve Ai Limited upon demerger of Rezolve Limited,</w:t>
      </w:r>
    </w:p>
    <w:p>
      <w:pPr>
        <w:spacing w:after="0" w:line="68" w:lineRule="exact"/>
        <w:rPr>
          <w:rFonts w:ascii="Times New Roman" w:cs="Times New Roman" w:eastAsia="Times New Roman" w:hAnsi="Times New Roman"/>
          <w:sz w:val="18"/>
          <w:szCs w:val="18"/>
          <w:i w:val="1"/>
          <w:iCs w:val="1"/>
          <w:color w:val="auto"/>
        </w:rPr>
      </w:pPr>
    </w:p>
    <w:p>
      <w:pPr>
        <w:ind w:left="440" w:right="60" w:hanging="438"/>
        <w:spacing w:after="0" w:line="256" w:lineRule="auto"/>
        <w:tabs>
          <w:tab w:leader="none" w:pos="440" w:val="left"/>
        </w:tabs>
        <w:numPr>
          <w:ilvl w:val="0"/>
          <w:numId w:val="2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an aggregate of $ 28,641,250 principal amount due under certain promissory notes, consisting of (1) a promissory note issued by Armada to Northland Securities, Inc. for $5,141,250 with interest on the principal amount outstanding at a rate of 10% per annum from July 30, 2024,until the note is fully paid; (2) a promissory note issued by Armada to J.B.V.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adjustments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8" w:lineRule="exact"/>
        <w:rPr>
          <w:sz w:val="20"/>
          <w:szCs w:val="20"/>
          <w:color w:val="auto"/>
        </w:rPr>
      </w:pPr>
    </w:p>
    <w:p>
      <w:pPr>
        <w:ind w:left="440" w:hanging="438"/>
        <w:spacing w:after="0"/>
        <w:tabs>
          <w:tab w:leader="none" w:pos="440" w:val="left"/>
        </w:tabs>
        <w:numPr>
          <w:ilvl w:val="0"/>
          <w:numId w:val="2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30" w:lineRule="exact"/>
        <w:rPr>
          <w:rFonts w:ascii="Times New Roman" w:cs="Times New Roman" w:eastAsia="Times New Roman" w:hAnsi="Times New Roman"/>
          <w:sz w:val="18"/>
          <w:szCs w:val="18"/>
          <w:i w:val="1"/>
          <w:iCs w:val="1"/>
          <w:color w:val="auto"/>
        </w:rPr>
      </w:pPr>
    </w:p>
    <w:p>
      <w:pPr>
        <w:ind w:left="440" w:right="620" w:hanging="438"/>
        <w:spacing w:after="0" w:line="281" w:lineRule="auto"/>
        <w:tabs>
          <w:tab w:leader="none" w:pos="440" w:val="left"/>
        </w:tabs>
        <w:numPr>
          <w:ilvl w:val="0"/>
          <w:numId w:val="2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68" w:lineRule="exact"/>
        <w:rPr>
          <w:rFonts w:ascii="Times New Roman" w:cs="Times New Roman" w:eastAsia="Times New Roman" w:hAnsi="Times New Roman"/>
          <w:sz w:val="18"/>
          <w:szCs w:val="18"/>
          <w:i w:val="1"/>
          <w:iCs w:val="1"/>
          <w:color w:val="auto"/>
        </w:rPr>
      </w:pPr>
    </w:p>
    <w:p>
      <w:pPr>
        <w:ind w:left="440" w:right="280" w:hanging="438"/>
        <w:spacing w:after="0" w:line="281" w:lineRule="auto"/>
        <w:tabs>
          <w:tab w:leader="none" w:pos="440" w:val="left"/>
        </w:tabs>
        <w:numPr>
          <w:ilvl w:val="0"/>
          <w:numId w:val="2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8" w:lineRule="exact"/>
        <w:rPr>
          <w:rFonts w:ascii="Times New Roman" w:cs="Times New Roman" w:eastAsia="Times New Roman" w:hAnsi="Times New Roman"/>
          <w:sz w:val="18"/>
          <w:szCs w:val="18"/>
          <w:i w:val="1"/>
          <w:iCs w:val="1"/>
          <w:color w:val="auto"/>
        </w:rPr>
      </w:pPr>
    </w:p>
    <w:p>
      <w:pPr>
        <w:jc w:val="center"/>
        <w:ind w:left="5460" w:right="140" w:hanging="5458"/>
        <w:spacing w:after="0" w:line="453" w:lineRule="auto"/>
        <w:tabs>
          <w:tab w:leader="none" w:pos="435" w:val="left"/>
        </w:tabs>
        <w:numPr>
          <w:ilvl w:val="0"/>
          <w:numId w:val="2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 5</w:t>
      </w:r>
    </w:p>
    <w:p>
      <w:pPr>
        <w:sectPr>
          <w:pgSz w:w="11900" w:h="16838" w:orient="portrait"/>
          <w:cols w:equalWidth="0" w:num="1">
            <w:col w:w="11000"/>
          </w:cols>
          <w:pgMar w:left="440" w:top="270" w:right="459" w:bottom="1440" w:gutter="0" w:footer="0" w:header="0"/>
        </w:sectPr>
      </w:pPr>
    </w:p>
    <w:bookmarkStart w:id="279" w:name="page280"/>
    <w:bookmarkEnd w:id="279"/>
    <w:p>
      <w:pPr>
        <w:ind w:left="440" w:hanging="438"/>
        <w:spacing w:after="0"/>
        <w:tabs>
          <w:tab w:leader="none" w:pos="440" w:val="left"/>
        </w:tabs>
        <w:numPr>
          <w:ilvl w:val="0"/>
          <w:numId w:val="2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adjustment to eliminate the interest income earned assuming the Business Combination completed on January 1, 2023.</w:t>
      </w:r>
    </w:p>
    <w:p>
      <w:pPr>
        <w:spacing w:after="0" w:line="130" w:lineRule="exact"/>
        <w:rPr>
          <w:rFonts w:ascii="Times New Roman" w:cs="Times New Roman" w:eastAsia="Times New Roman" w:hAnsi="Times New Roman"/>
          <w:sz w:val="18"/>
          <w:szCs w:val="18"/>
          <w:i w:val="1"/>
          <w:iCs w:val="1"/>
          <w:color w:val="auto"/>
        </w:rPr>
      </w:pPr>
    </w:p>
    <w:p>
      <w:pPr>
        <w:ind w:left="440" w:right="320" w:hanging="438"/>
        <w:spacing w:after="0" w:line="281" w:lineRule="auto"/>
        <w:tabs>
          <w:tab w:leader="none" w:pos="440" w:val="left"/>
        </w:tabs>
        <w:numPr>
          <w:ilvl w:val="0"/>
          <w:numId w:val="2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68" w:lineRule="exact"/>
        <w:rPr>
          <w:rFonts w:ascii="Times New Roman" w:cs="Times New Roman" w:eastAsia="Times New Roman" w:hAnsi="Times New Roman"/>
          <w:sz w:val="18"/>
          <w:szCs w:val="18"/>
          <w:i w:val="1"/>
          <w:iCs w:val="1"/>
          <w:color w:val="auto"/>
        </w:rPr>
      </w:pPr>
    </w:p>
    <w:p>
      <w:pPr>
        <w:ind w:left="440" w:right="460" w:hanging="438"/>
        <w:spacing w:after="0" w:line="281" w:lineRule="auto"/>
        <w:tabs>
          <w:tab w:leader="none" w:pos="440" w:val="left"/>
        </w:tabs>
        <w:numPr>
          <w:ilvl w:val="0"/>
          <w:numId w:val="2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68" w:lineRule="exact"/>
        <w:rPr>
          <w:rFonts w:ascii="Times New Roman" w:cs="Times New Roman" w:eastAsia="Times New Roman" w:hAnsi="Times New Roman"/>
          <w:sz w:val="18"/>
          <w:szCs w:val="18"/>
          <w:i w:val="1"/>
          <w:iCs w:val="1"/>
          <w:color w:val="auto"/>
        </w:rPr>
      </w:pPr>
    </w:p>
    <w:p>
      <w:pPr>
        <w:ind w:left="440" w:right="140" w:hanging="438"/>
        <w:spacing w:after="0" w:line="281" w:lineRule="auto"/>
        <w:tabs>
          <w:tab w:leader="none" w:pos="440" w:val="left"/>
        </w:tabs>
        <w:numPr>
          <w:ilvl w:val="0"/>
          <w:numId w:val="2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excise tax payable on the redemption of 945,662 and 1,300,391 shares in February 2024 and August 2024, respectively out of a total of 2,363,349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We have read the statements made by Rezolve AI Limited under Item 16F of Rezolve AI Limited’s Form 20-F dated August 21, 2024. We agree with the statements concerning our Firm in such Form 20-F; we are not in a position to agree or disagree with other statements of Rezolve AI Limited contained therein.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ectPr>
          <w:pgSz w:w="11900" w:h="16838" w:orient="portrait"/>
          <w:cols w:equalWidth="0" w:num="1">
            <w:col w:w="11000"/>
          </w:cols>
          <w:pgMar w:left="440" w:top="118" w:right="45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this Shell Company Report of Rezolve AI Limited on Form 20-F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appearing in the Annual Report on Form 10-K of Armada Acquisition Corp. I for the year ended September 30, 2023. We were dismissed as auditors on August 21, 2024 and, accordingly, we have not performed any audit or review procedures with respect to any financial statements appearing in such Form 20-F for the periods after the date of our dismissal. We also consent to the reference to our firm under the heading “Experts” Shell Company Report on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ectPr>
          <w:pgSz w:w="11900" w:h="16838" w:orient="portrait"/>
          <w:cols w:equalWidth="0" w:num="1">
            <w:col w:w="11000"/>
          </w:cols>
          <w:pgMar w:left="440" w:top="118" w:right="45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Rezolve AI Limited on Form 20-F of our report dated May 20, 2024, except for Notes 2.20, 13 and 14, as to which the date is June 11, 2024, which includes an explanatory paragraph as to the Company’s ability to continue as a going concern and an emphasis-of-matter for the restatement of the 2023 and 2022 financial statements, relating to the carve-out consolidated financial statements of Rezolve AI Limited and Subsidiaries as of and for the years ended December 31, 2023 (restated) and 2022 (restated). We also consent to the reference to our firm under the heading “Experts” appearing therein.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7914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Grassi &amp; Co., CPAs, P.C.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sectPr>
      <w:pgSz w:w="11900" w:h="16838" w:orient="portrait"/>
      <w:cols w:equalWidth="0" w:num="1">
        <w:col w:w="11000"/>
      </w:cols>
      <w:pgMar w:left="44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
      <w:numFmt w:val="bullet"/>
      <w:start w:val="1"/>
    </w:lvl>
  </w:abstractNum>
  <w:abstractNum w:abstractNumId="5">
    <w:nsid w:val="56438D15"/>
    <w:multiLevelType w:val="hybridMultilevel"/>
    <w:lvl w:ilvl="0">
      <w:lvlJc w:val="left"/>
      <w:lvlText w:val="•"/>
      <w:numFmt w:val="bullet"/>
      <w:start w:val="1"/>
    </w:lvl>
  </w:abstractNum>
  <w:abstractNum w:abstractNumId="6">
    <w:nsid w:val="519E3149"/>
    <w:multiLevelType w:val="hybridMultilevel"/>
    <w:lvl w:ilvl="0">
      <w:lvlJc w:val="left"/>
      <w:lvlText w:val="%1."/>
      <w:numFmt w:val="upperLetter"/>
      <w:start w:val="1"/>
    </w:lvl>
  </w:abstractNum>
  <w:abstractNum w:abstractNumId="7">
    <w:nsid w:val="2C6E4AFD"/>
    <w:multiLevelType w:val="hybridMultilevel"/>
    <w:lvl w:ilvl="0">
      <w:lvlJc w:val="left"/>
      <w:lvlText w:val="%1."/>
      <w:numFmt w:val="upperLetter"/>
      <w:start w:val="2"/>
    </w:lvl>
  </w:abstractNum>
  <w:abstractNum w:abstractNumId="8">
    <w:nsid w:val="17A1B582"/>
    <w:multiLevelType w:val="hybridMultilevel"/>
    <w:lvl w:ilvl="0">
      <w:lvlJc w:val="left"/>
      <w:lvlText w:val="%1."/>
      <w:numFmt w:val="upperLetter"/>
      <w:start w:val="3"/>
    </w:lvl>
  </w:abstractNum>
  <w:abstractNum w:abstractNumId="9">
    <w:nsid w:val="4DF72E4E"/>
    <w:multiLevelType w:val="hybridMultilevel"/>
    <w:lvl w:ilvl="0">
      <w:lvlJc w:val="left"/>
      <w:lvlText w:val="%1."/>
      <w:numFmt w:val="upperLetter"/>
      <w:start w:val="1"/>
    </w:lvl>
  </w:abstractNum>
  <w:abstractNum w:abstractNumId="10">
    <w:nsid w:val="5046B5A9"/>
    <w:multiLevelType w:val="hybridMultilevel"/>
    <w:lvl w:ilvl="0">
      <w:lvlJc w:val="left"/>
      <w:lvlText w:val="%1."/>
      <w:numFmt w:val="upperLetter"/>
      <w:start w:val="4"/>
    </w:lvl>
  </w:abstractNum>
  <w:abstractNum w:abstractNumId="11">
    <w:nsid w:val="5D888A08"/>
    <w:multiLevelType w:val="hybridMultilevel"/>
    <w:lvl w:ilvl="0">
      <w:lvlJc w:val="left"/>
      <w:lvlText w:val="%1."/>
      <w:numFmt w:val="upperLetter"/>
      <w:start w:val="1"/>
    </w:lvl>
  </w:abstractNum>
  <w:abstractNum w:abstractNumId="12">
    <w:nsid w:val="2A082C70"/>
    <w:multiLevelType w:val="hybridMultilevel"/>
    <w:lvl w:ilvl="0">
      <w:lvlJc w:val="left"/>
      <w:lvlText w:val="%1."/>
      <w:numFmt w:val="upperLetter"/>
      <w:start w:val="2"/>
    </w:lvl>
  </w:abstractNum>
  <w:abstractNum w:abstractNumId="13">
    <w:nsid w:val="5EC6AFD4"/>
    <w:multiLevelType w:val="hybridMultilevel"/>
    <w:lvl w:ilvl="0">
      <w:lvlJc w:val="left"/>
      <w:lvlText w:val="%1."/>
      <w:numFmt w:val="upperLetter"/>
      <w:start w:val="3"/>
    </w:lvl>
  </w:abstractNum>
  <w:abstractNum w:abstractNumId="14">
    <w:nsid w:val="19E21BB2"/>
    <w:multiLevelType w:val="hybridMultilevel"/>
    <w:lvl w:ilvl="0">
      <w:lvlJc w:val="left"/>
      <w:lvlText w:val="%1."/>
      <w:numFmt w:val="upperLetter"/>
      <w:start w:val="4"/>
    </w:lvl>
  </w:abstractNum>
  <w:abstractNum w:abstractNumId="15">
    <w:nsid w:val="75E0858A"/>
    <w:multiLevelType w:val="hybridMultilevel"/>
    <w:lvl w:ilvl="0">
      <w:lvlJc w:val="left"/>
      <w:lvlText w:val="%1."/>
      <w:numFmt w:val="upperLetter"/>
      <w:start w:val="1"/>
    </w:lvl>
  </w:abstractNum>
  <w:abstractNum w:abstractNumId="16">
    <w:nsid w:val="57A61A29"/>
    <w:multiLevelType w:val="hybridMultilevel"/>
    <w:lvl w:ilvl="0">
      <w:lvlJc w:val="left"/>
      <w:lvlText w:val="%1."/>
      <w:numFmt w:val="upperLetter"/>
      <w:start w:val="2"/>
    </w:lvl>
  </w:abstractNum>
  <w:abstractNum w:abstractNumId="17">
    <w:nsid w:val="5399C654"/>
    <w:multiLevelType w:val="hybridMultilevel"/>
    <w:lvl w:ilvl="0">
      <w:lvlJc w:val="left"/>
      <w:lvlText w:val="%1."/>
      <w:numFmt w:val="upperLetter"/>
      <w:start w:val="3"/>
    </w:lvl>
  </w:abstractNum>
  <w:abstractNum w:abstractNumId="18">
    <w:nsid w:val="20EE1348"/>
    <w:multiLevelType w:val="hybridMultilevel"/>
    <w:lvl w:ilvl="0">
      <w:lvlJc w:val="left"/>
      <w:lvlText w:val="(%1)"/>
      <w:numFmt w:val="lowerRoman"/>
      <w:start w:val="2"/>
    </w:lvl>
  </w:abstractNum>
  <w:abstractNum w:abstractNumId="19">
    <w:nsid w:val="4427069A"/>
    <w:multiLevelType w:val="hybridMultilevel"/>
    <w:lvl w:ilvl="0">
      <w:lvlJc w:val="left"/>
      <w:lvlText w:val="%1."/>
      <w:numFmt w:val="upperLetter"/>
      <w:start w:val="4"/>
    </w:lvl>
  </w:abstractNum>
  <w:abstractNum w:abstractNumId="20">
    <w:nsid w:val="B37E80A"/>
    <w:multiLevelType w:val="hybridMultilevel"/>
    <w:lvl w:ilvl="0">
      <w:lvlJc w:val="left"/>
      <w:lvlText w:val="%1."/>
      <w:numFmt w:val="upperLetter"/>
      <w:start w:val="5"/>
    </w:lvl>
  </w:abstractNum>
  <w:abstractNum w:abstractNumId="21">
    <w:nsid w:val="2157F6BC"/>
    <w:multiLevelType w:val="hybridMultilevel"/>
    <w:lvl w:ilvl="0">
      <w:lvlJc w:val="left"/>
      <w:lvlText w:val="%1."/>
      <w:numFmt w:val="upperLetter"/>
      <w:start w:val="6"/>
    </w:lvl>
  </w:abstractNum>
  <w:abstractNum w:abstractNumId="22">
    <w:nsid w:val="704E1DD5"/>
    <w:multiLevelType w:val="hybridMultilevel"/>
    <w:lvl w:ilvl="0">
      <w:lvlJc w:val="left"/>
      <w:lvlText w:val="%1."/>
      <w:numFmt w:val="upperLetter"/>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1)"/>
      <w:numFmt w:val="decimal"/>
      <w:start w:val="1"/>
    </w:lvl>
  </w:abstractNum>
  <w:abstractNum w:abstractNumId="26">
    <w:nsid w:val="2E48F044"/>
    <w:multiLevelType w:val="hybridMultilevel"/>
    <w:lvl w:ilvl="0">
      <w:lvlJc w:val="left"/>
      <w:lvlText w:val="%1."/>
      <w:numFmt w:val="upperLetter"/>
      <w:start w:val="2"/>
    </w:lvl>
  </w:abstractNum>
  <w:abstractNum w:abstractNumId="27">
    <w:nsid w:val="49D0FEAC"/>
    <w:multiLevelType w:val="hybridMultilevel"/>
    <w:lvl w:ilvl="0">
      <w:lvlJc w:val="left"/>
      <w:lvlText w:val="%1."/>
      <w:numFmt w:val="upperLetter"/>
      <w:start w:val="3"/>
    </w:lvl>
  </w:abstractNum>
  <w:abstractNum w:abstractNumId="28">
    <w:nsid w:val="4BEE5A5B"/>
    <w:multiLevelType w:val="hybridMultilevel"/>
    <w:lvl w:ilvl="0">
      <w:lvlJc w:val="left"/>
      <w:lvlText w:val="%1."/>
      <w:numFmt w:val="upperLetter"/>
      <w:start w:val="1"/>
    </w:lvl>
  </w:abstractNum>
  <w:abstractNum w:abstractNumId="29">
    <w:nsid w:val="5551B9F3"/>
    <w:multiLevelType w:val="hybridMultilevel"/>
    <w:lvl w:ilvl="0">
      <w:lvlJc w:val="left"/>
      <w:lvlText w:val="%1."/>
      <w:numFmt w:val="upperLetter"/>
      <w:start w:val="2"/>
    </w:lvl>
  </w:abstractNum>
  <w:abstractNum w:abstractNumId="30">
    <w:nsid w:val="24F6AB8E"/>
    <w:multiLevelType w:val="hybridMultilevel"/>
    <w:lvl w:ilvl="0">
      <w:lvlJc w:val="left"/>
      <w:lvlText w:val="%1."/>
      <w:numFmt w:val="upperLetter"/>
      <w:start w:val="1"/>
    </w:lvl>
  </w:abstractNum>
  <w:abstractNum w:abstractNumId="31">
    <w:nsid w:val="634C574C"/>
    <w:multiLevelType w:val="hybridMultilevel"/>
    <w:lvl w:ilvl="0">
      <w:lvlJc w:val="left"/>
      <w:lvlText w:val="%1."/>
      <w:numFmt w:val="upperLetter"/>
      <w:start w:val="2"/>
    </w:lvl>
  </w:abstractNum>
  <w:abstractNum w:abstractNumId="32">
    <w:nsid w:val="24E99DD7"/>
    <w:multiLevelType w:val="hybridMultilevel"/>
    <w:lvl w:ilvl="0">
      <w:lvlJc w:val="left"/>
      <w:lvlText w:val="%1."/>
      <w:numFmt w:val="upperLetter"/>
      <w:start w:val="3"/>
    </w:lvl>
  </w:abstractNum>
  <w:abstractNum w:abstractNumId="33">
    <w:nsid w:val="2A31B62D"/>
    <w:multiLevelType w:val="hybridMultilevel"/>
    <w:lvl w:ilvl="0">
      <w:lvlJc w:val="left"/>
      <w:lvlText w:val="%1."/>
      <w:numFmt w:val="upperLetter"/>
      <w:start w:val="4"/>
    </w:lvl>
  </w:abstractNum>
  <w:abstractNum w:abstractNumId="34">
    <w:nsid w:val="1849C29B"/>
    <w:multiLevelType w:val="hybridMultilevel"/>
    <w:lvl w:ilvl="0">
      <w:lvlJc w:val="left"/>
      <w:lvlText w:val="%1."/>
      <w:numFmt w:val="upperLetter"/>
      <w:start w:val="5"/>
    </w:lvl>
  </w:abstractNum>
  <w:abstractNum w:abstractNumId="35">
    <w:nsid w:val="7DFF9D09"/>
    <w:multiLevelType w:val="hybridMultilevel"/>
    <w:lvl w:ilvl="0">
      <w:lvlJc w:val="left"/>
      <w:lvlText w:val="%1."/>
      <w:numFmt w:val="upperLetter"/>
      <w:start w:val="6"/>
    </w:lvl>
  </w:abstractNum>
  <w:abstractNum w:abstractNumId="36">
    <w:nsid w:val="754342"/>
    <w:multiLevelType w:val="hybridMultilevel"/>
    <w:lvl w:ilvl="0">
      <w:lvlJc w:val="left"/>
      <w:lvlText w:val="%1."/>
      <w:numFmt w:val="upperLetter"/>
      <w:start w:val="1"/>
    </w:lvl>
  </w:abstractNum>
  <w:abstractNum w:abstractNumId="37">
    <w:nsid w:val="69E7F3E5"/>
    <w:multiLevelType w:val="hybridMultilevel"/>
    <w:lvl w:ilvl="0">
      <w:lvlJc w:val="left"/>
      <w:lvlText w:val="%1."/>
      <w:numFmt w:val="upperLetter"/>
      <w:start w:val="2"/>
    </w:lvl>
  </w:abstractNum>
  <w:abstractNum w:abstractNumId="38">
    <w:nsid w:val="2A6DE806"/>
    <w:multiLevelType w:val="hybridMultilevel"/>
    <w:lvl w:ilvl="0">
      <w:lvlJc w:val="left"/>
      <w:lvlText w:val="%1."/>
      <w:numFmt w:val="upperLetter"/>
      <w:start w:val="3"/>
    </w:lvl>
  </w:abstractNum>
  <w:abstractNum w:abstractNumId="39">
    <w:nsid w:val="1816F8C4"/>
    <w:multiLevelType w:val="hybridMultilevel"/>
    <w:lvl w:ilvl="0">
      <w:lvlJc w:val="left"/>
      <w:lvlText w:val="%1."/>
      <w:numFmt w:val="upperLetter"/>
      <w:start w:val="4"/>
    </w:lvl>
  </w:abstractNum>
  <w:abstractNum w:abstractNumId="40">
    <w:nsid w:val="37DF2233"/>
    <w:multiLevelType w:val="hybridMultilevel"/>
    <w:lvl w:ilvl="0">
      <w:lvlJc w:val="left"/>
      <w:lvlText w:val="%1."/>
      <w:numFmt w:val="upperLetter"/>
      <w:start w:val="5"/>
    </w:lvl>
  </w:abstractNum>
  <w:abstractNum w:abstractNumId="41">
    <w:nsid w:val="7AB49DAF"/>
    <w:multiLevelType w:val="hybridMultilevel"/>
    <w:lvl w:ilvl="0">
      <w:lvlJc w:val="left"/>
      <w:lvlText w:val="%1."/>
      <w:numFmt w:val="upperLetter"/>
      <w:start w:val="6"/>
    </w:lvl>
  </w:abstractNum>
  <w:abstractNum w:abstractNumId="42">
    <w:nsid w:val="759F82CD"/>
    <w:multiLevelType w:val="hybridMultilevel"/>
    <w:lvl w:ilvl="0">
      <w:lvlJc w:val="left"/>
      <w:lvlText w:val="%1."/>
      <w:numFmt w:val="upperLetter"/>
      <w:start w:val="7"/>
    </w:lvl>
  </w:abstractNum>
  <w:abstractNum w:abstractNumId="43">
    <w:nsid w:val="61E74EA3"/>
    <w:multiLevelType w:val="hybridMultilevel"/>
    <w:lvl w:ilvl="0">
      <w:lvlJc w:val="left"/>
      <w:lvlText w:val="%1."/>
      <w:numFmt w:val="upperLetter"/>
      <w:start w:val="8"/>
    </w:lvl>
  </w:abstractNum>
  <w:abstractNum w:abstractNumId="44">
    <w:nsid w:val="597B4D84"/>
    <w:multiLevelType w:val="hybridMultilevel"/>
    <w:lvl w:ilvl="0">
      <w:lvlJc w:val="left"/>
      <w:lvlText w:val="%1."/>
      <w:numFmt w:val="upperLetter"/>
      <w:start w:val="9"/>
    </w:lvl>
  </w:abstractNum>
  <w:abstractNum w:abstractNumId="45">
    <w:nsid w:val="F819E7F"/>
    <w:multiLevelType w:val="hybridMultilevel"/>
    <w:lvl w:ilvl="0">
      <w:lvlJc w:val="left"/>
      <w:lvlText w:val="•"/>
      <w:numFmt w:val="bullet"/>
      <w:start w:val="1"/>
    </w:lvl>
  </w:abstractNum>
  <w:abstractNum w:abstractNumId="46">
    <w:nsid w:val="57C7D42D"/>
    <w:multiLevelType w:val="hybridMultilevel"/>
    <w:lvl w:ilvl="0">
      <w:lvlJc w:val="left"/>
      <w:lvlText w:val="•"/>
      <w:numFmt w:val="bullet"/>
      <w:start w:val="1"/>
    </w:lvl>
  </w:abstractNum>
  <w:abstractNum w:abstractNumId="47">
    <w:nsid w:val="312167AD"/>
    <w:multiLevelType w:val="hybridMultilevel"/>
    <w:lvl w:ilvl="0">
      <w:lvlJc w:val="left"/>
      <w:lvlText w:val="•"/>
      <w:numFmt w:val="bullet"/>
      <w:start w:val="1"/>
    </w:lvl>
  </w:abstractNum>
  <w:abstractNum w:abstractNumId="48">
    <w:nsid w:val="631B64D4"/>
    <w:multiLevelType w:val="hybridMultilevel"/>
    <w:lvl w:ilvl="0">
      <w:lvlJc w:val="left"/>
      <w:lvlText w:val="•"/>
      <w:numFmt w:val="bullet"/>
      <w:start w:val="1"/>
    </w:lvl>
  </w:abstractNum>
  <w:abstractNum w:abstractNumId="49">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
    <w:nsid w:val="75486E47"/>
    <w:multiLevelType w:val="hybridMultilevel"/>
    <w:lvl w:ilvl="0">
      <w:lvlJc w:val="left"/>
      <w:lvlText w:val="(%1)"/>
      <w:numFmt w:val="lowerLetter"/>
      <w:start w:val="2"/>
    </w:lvl>
  </w:abstractNum>
  <w:abstractNum w:abstractNumId="51">
    <w:nsid w:val="6E534CDE"/>
    <w:multiLevelType w:val="hybridMultilevel"/>
    <w:lvl w:ilvl="0">
      <w:lvlJc w:val="left"/>
      <w:lvlText w:val="(%1)"/>
      <w:numFmt w:val="lowerRoman"/>
      <w:start w:val="2"/>
    </w:lvl>
  </w:abstractNum>
  <w:abstractNum w:abstractNumId="52">
    <w:nsid w:val="1A0DDE32"/>
    <w:multiLevelType w:val="hybridMultilevel"/>
    <w:lvl w:ilvl="0">
      <w:lvlJc w:val="left"/>
      <w:lvlText w:val="(%1)"/>
      <w:numFmt w:val="lowerRoman"/>
      <w:start w:val="9"/>
    </w:lvl>
    <w:lvl w:ilvl="1">
      <w:lvlJc w:val="left"/>
      <w:lvlText w:val="(%2)"/>
      <w:numFmt w:val="upperLetter"/>
      <w:start w:val="1"/>
    </w:lvl>
  </w:abstractNum>
  <w:abstractNum w:abstractNumId="53">
    <w:nsid w:val="65968C1C"/>
    <w:multiLevelType w:val="hybridMultilevel"/>
    <w:lvl w:ilvl="0">
      <w:lvlJc w:val="left"/>
      <w:lvlText w:val="(%1)"/>
      <w:numFmt w:val="lowerRoman"/>
      <w:start w:val="14"/>
    </w:lvl>
    <w:lvl w:ilvl="1">
      <w:lvlJc w:val="left"/>
      <w:lvlText w:val="(%2)"/>
      <w:numFmt w:val="upperLetter"/>
      <w:start w:val="1"/>
    </w:lvl>
  </w:abstractNum>
  <w:abstractNum w:abstractNumId="54">
    <w:nsid w:val="46263DEC"/>
    <w:multiLevelType w:val="hybridMultilevel"/>
    <w:lvl w:ilvl="0">
      <w:lvlJc w:val="left"/>
      <w:lvlText w:val="%1"/>
      <w:numFmt w:val="decimal"/>
      <w:start w:val="1"/>
    </w:lvl>
    <w:lvl w:ilvl="1">
      <w:lvlJc w:val="left"/>
      <w:lvlText w:val="(%2)"/>
      <w:numFmt w:val="lowerLetter"/>
      <w:start w:val="2"/>
    </w:lvl>
  </w:abstractNum>
  <w:abstractNum w:abstractNumId="55">
    <w:nsid w:val="260D8C4A"/>
    <w:multiLevelType w:val="hybridMultilevel"/>
    <w:lvl w:ilvl="0">
      <w:lvlJc w:val="left"/>
      <w:lvlText w:val="%1."/>
      <w:numFmt w:val="decimal"/>
      <w:start w:val="3"/>
    </w:lvl>
    <w:lvl w:ilvl="1">
      <w:lvlJc w:val="left"/>
      <w:lvlText w:val="%2"/>
      <w:numFmt w:val="lowerLetter"/>
      <w:start w:val="1"/>
    </w:lvl>
  </w:abstractNum>
  <w:abstractNum w:abstractNumId="56">
    <w:nsid w:val="73D4D3C4"/>
    <w:multiLevelType w:val="hybridMultilevel"/>
    <w:lvl w:ilvl="0">
      <w:lvlJc w:val="left"/>
      <w:lvlText w:val="%1."/>
      <w:numFmt w:val="decimal"/>
      <w:start w:val="4"/>
    </w:lvl>
    <w:lvl w:ilvl="1">
      <w:lvlJc w:val="left"/>
      <w:lvlText w:val="(%2)"/>
      <w:numFmt w:val="lowerLetter"/>
      <w:start w:val="1"/>
    </w:lvl>
  </w:abstractNum>
  <w:abstractNum w:abstractNumId="57">
    <w:nsid w:val="746F2E3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8">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9">
    <w:nsid w:val="3FC32E2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0">
    <w:nsid w:val="49C0E82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61">
    <w:nsid w:val="14D5368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2">
    <w:nsid w:val="230F856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3">
    <w:nsid w:val="6EAA85FB"/>
    <w:multiLevelType w:val="hybridMultilevel"/>
    <w:lvl w:ilvl="0">
      <w:lvlJc w:val="left"/>
      <w:lvlText w:val="%1"/>
      <w:numFmt w:val="lowerLetter"/>
      <w:start w:val="1"/>
    </w:lvl>
    <w:lvl w:ilvl="1">
      <w:lvlJc w:val="left"/>
      <w:lvlText w:val="(%2)"/>
      <w:numFmt w:val="lowerRoman"/>
      <w:start w:val="2"/>
    </w:lvl>
  </w:abstractNum>
  <w:abstractNum w:abstractNumId="64">
    <w:nsid w:val="3F06ECB2"/>
    <w:multiLevelType w:val="hybridMultilevel"/>
    <w:lvl w:ilvl="0">
      <w:lvlJc w:val="left"/>
      <w:lvlText w:val="(%1)"/>
      <w:numFmt w:val="lowerLetter"/>
      <w:start w:val="2"/>
    </w:lvl>
    <w:lvl w:ilvl="1">
      <w:lvlJc w:val="left"/>
      <w:lvlText w:val="(%2)"/>
      <w:numFmt w:val="lowerRoman"/>
      <w:start w:val="1"/>
    </w:lvl>
  </w:abstractNum>
  <w:abstractNum w:abstractNumId="65">
    <w:nsid w:val="3B5948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6">
    <w:nsid w:val="6CAA230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3F7C2FF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8">
    <w:nsid w:val="25413BEC"/>
    <w:multiLevelType w:val="hybridMultilevel"/>
    <w:lvl w:ilvl="0">
      <w:lvlJc w:val="left"/>
      <w:lvlText w:val="%1."/>
      <w:numFmt w:val="decimal"/>
      <w:start w:val="14"/>
    </w:lvl>
    <w:lvl w:ilvl="1">
      <w:lvlJc w:val="left"/>
      <w:lvlText w:val="(%2)"/>
      <w:numFmt w:val="lowerLetter"/>
      <w:start w:val="1"/>
    </w:lvl>
  </w:abstractNum>
  <w:abstractNum w:abstractNumId="69">
    <w:nsid w:val="17180B0B"/>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0">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1">
    <w:nsid w:val="5D205E2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2">
    <w:nsid w:val="11CCA8B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3">
    <w:nsid w:val="4D32AB86"/>
    <w:multiLevelType w:val="hybridMultilevel"/>
    <w:lvl w:ilvl="0">
      <w:lvlJc w:val="left"/>
      <w:lvlText w:val="%1."/>
      <w:numFmt w:val="decimal"/>
      <w:start w:val="18"/>
    </w:lvl>
    <w:lvl w:ilvl="1">
      <w:lvlJc w:val="left"/>
      <w:lvlText w:val="(%2)"/>
      <w:numFmt w:val="lowerLetter"/>
      <w:start w:val="1"/>
    </w:lvl>
  </w:abstractNum>
  <w:abstractNum w:abstractNumId="74">
    <w:nsid w:val="3F07ACC3"/>
    <w:multiLevelType w:val="hybridMultilevel"/>
    <w:lvl w:ilvl="0">
      <w:lvlJc w:val="left"/>
      <w:lvlText w:val="%1"/>
      <w:numFmt w:val="lowerLetter"/>
      <w:start w:val="1"/>
    </w:lvl>
    <w:lvl w:ilvl="1">
      <w:lvlJc w:val="left"/>
      <w:lvlText w:val="(%2)"/>
      <w:numFmt w:val="lowerRoman"/>
      <w:start w:val="1"/>
    </w:lvl>
  </w:abstractNum>
  <w:abstractNum w:abstractNumId="75">
    <w:nsid w:val="6B47F63E"/>
    <w:multiLevelType w:val="hybridMultilevel"/>
    <w:lvl w:ilvl="0">
      <w:lvlJc w:val="left"/>
      <w:lvlText w:val="(%1)"/>
      <w:numFmt w:val="lowerLetter"/>
      <w:start w:val="2"/>
    </w:lvl>
    <w:lvl w:ilvl="1">
      <w:lvlJc w:val="left"/>
      <w:lvlText w:val="(%2)"/>
      <w:numFmt w:val="lowerRoman"/>
      <w:start w:val="1"/>
    </w:lvl>
  </w:abstractNum>
  <w:abstractNum w:abstractNumId="76">
    <w:nsid w:val="5CB44A05"/>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77">
    <w:nsid w:val="16CF80F1"/>
    <w:multiLevelType w:val="hybridMultilevel"/>
    <w:lvl w:ilvl="0">
      <w:lvlJc w:val="left"/>
      <w:lvlText w:val="%1"/>
      <w:numFmt w:val="lowerLetter"/>
      <w:start w:val="1"/>
    </w:lvl>
    <w:lvl w:ilvl="1">
      <w:lvlJc w:val="left"/>
      <w:lvlText w:val="(%2)"/>
      <w:numFmt w:val="lowerLetter"/>
      <w:start w:val="61"/>
    </w:lvl>
  </w:abstractNum>
  <w:abstractNum w:abstractNumId="78">
    <w:nsid w:val="1C695DEC"/>
    <w:multiLevelType w:val="hybridMultilevel"/>
    <w:lvl w:ilvl="0">
      <w:lvlJc w:val="left"/>
      <w:lvlText w:val="(%1)"/>
      <w:numFmt w:val="lowerLetter"/>
      <w:start w:val="3"/>
    </w:lvl>
    <w:lvl w:ilvl="1">
      <w:lvlJc w:val="left"/>
      <w:lvlText w:val="(%2)"/>
      <w:numFmt w:val="lowerLetter"/>
      <w:start w:val="9"/>
    </w:lvl>
  </w:abstractNum>
  <w:abstractNum w:abstractNumId="79">
    <w:nsid w:val="3FCFAED9"/>
    <w:multiLevelType w:val="hybridMultilevel"/>
    <w:lvl w:ilvl="0">
      <w:lvlJc w:val="left"/>
      <w:lvlText w:val="(%1)"/>
      <w:numFmt w:val="lowerRoman"/>
      <w:start w:val="2"/>
    </w:lvl>
  </w:abstractNum>
  <w:abstractNum w:abstractNumId="80">
    <w:nsid w:val="F856867"/>
    <w:multiLevelType w:val="hybridMultilevel"/>
    <w:lvl w:ilvl="0">
      <w:lvlJc w:val="left"/>
      <w:lvlText w:val="%1"/>
      <w:numFmt w:val="decimal"/>
      <w:start w:val="1"/>
    </w:lvl>
    <w:lvl w:ilvl="1">
      <w:lvlJc w:val="left"/>
      <w:lvlText w:val="(%2)"/>
      <w:numFmt w:val="lowerLetter"/>
      <w:start w:val="4"/>
    </w:lvl>
  </w:abstractNum>
  <w:abstractNum w:abstractNumId="81">
    <w:nsid w:val="11B1CC33"/>
    <w:multiLevelType w:val="hybridMultilevel"/>
    <w:lvl w:ilvl="0">
      <w:lvlJc w:val="left"/>
      <w:lvlText w:val="%1."/>
      <w:numFmt w:val="decimal"/>
      <w:start w:val="22"/>
    </w:lvl>
    <w:lvl w:ilvl="1">
      <w:lvlJc w:val="left"/>
      <w:lvlText w:val="(%2)"/>
      <w:numFmt w:val="lowerLetter"/>
      <w:start w:val="1"/>
    </w:lvl>
  </w:abstractNum>
  <w:abstractNum w:abstractNumId="82">
    <w:nsid w:val="2E22FBB7"/>
    <w:multiLevelType w:val="hybridMultilevel"/>
    <w:lvl w:ilvl="0">
      <w:lvlJc w:val="left"/>
      <w:lvlText w:val="%1."/>
      <w:numFmt w:val="decimal"/>
      <w:start w:val="24"/>
    </w:lvl>
    <w:lvl w:ilvl="1">
      <w:lvlJc w:val="left"/>
      <w:lvlText w:val="(%2)"/>
      <w:numFmt w:val="lowerLetter"/>
      <w:start w:val="1"/>
    </w:lvl>
  </w:abstractNum>
  <w:abstractNum w:abstractNumId="83">
    <w:nsid w:val="29934699"/>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4">
    <w:nsid w:val="77485850"/>
    <w:multiLevelType w:val="hybridMultilevel"/>
    <w:lvl w:ilvl="0">
      <w:lvlJc w:val="left"/>
      <w:lvlText w:val="%1."/>
      <w:numFmt w:val="upperLetter"/>
      <w:start w:val="9"/>
    </w:lvl>
  </w:abstractNum>
  <w:abstractNum w:abstractNumId="85">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5"/>
    </w:lvl>
  </w:abstractNum>
  <w:abstractNum w:abstractNumId="86">
    <w:nsid w:val="4FA0D2E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7">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8">
    <w:nsid w:val="68B867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89">
    <w:nsid w:val="3F7F5DD9"/>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90">
    <w:nsid w:val="2AE05A34"/>
    <w:multiLevelType w:val="hybridMultilevel"/>
    <w:lvl w:ilvl="0">
      <w:lvlJc w:val="left"/>
      <w:lvlText w:val="%1"/>
      <w:numFmt w:val="decimal"/>
      <w:start w:val="1"/>
    </w:lvl>
    <w:lvl w:ilvl="1">
      <w:lvlJc w:val="left"/>
      <w:lvlText w:val="(%2)"/>
      <w:numFmt w:val="lowerLetter"/>
      <w:start w:val="3"/>
    </w:lvl>
  </w:abstractNum>
  <w:abstractNum w:abstractNumId="91">
    <w:nsid w:val="32794FF7"/>
    <w:multiLevelType w:val="hybridMultilevel"/>
    <w:lvl w:ilvl="0">
      <w:lvlJc w:val="left"/>
      <w:lvlText w:val="%1."/>
      <w:numFmt w:val="decimal"/>
      <w:start w:val="30"/>
    </w:lvl>
    <w:lvl w:ilvl="1">
      <w:lvlJc w:val="left"/>
      <w:lvlText w:val="%2"/>
      <w:numFmt w:val="lowerLetter"/>
      <w:start w:val="1"/>
    </w:lvl>
  </w:abstractNum>
  <w:abstractNum w:abstractNumId="92">
    <w:nsid w:val="5454945E"/>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93">
    <w:nsid w:val="4DEFDFA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94">
    <w:nsid w:val="2123D5F2"/>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5">
    <w:nsid w:val="135B8110"/>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96">
    <w:nsid w:val="94927A8"/>
    <w:multiLevelType w:val="hybridMultilevel"/>
    <w:lvl w:ilvl="0">
      <w:lvlJc w:val="left"/>
      <w:lvlText w:val="%1."/>
      <w:numFmt w:val="decimal"/>
      <w:start w:val="38"/>
    </w:lvl>
    <w:lvl w:ilvl="1">
      <w:lvlJc w:val="left"/>
      <w:lvlText w:val="(%2)"/>
      <w:numFmt w:val="lowerLetter"/>
      <w:start w:val="1"/>
    </w:lvl>
  </w:abstractNum>
  <w:abstractNum w:abstractNumId="97">
    <w:nsid w:val="DCDF8F6"/>
    <w:multiLevelType w:val="hybridMultilevel"/>
    <w:lvl w:ilvl="0">
      <w:lvlJc w:val="left"/>
      <w:lvlText w:val="%1."/>
      <w:numFmt w:val="decimal"/>
      <w:start w:val="40"/>
    </w:lvl>
    <w:lvl w:ilvl="1">
      <w:lvlJc w:val="left"/>
      <w:lvlText w:val="(%2)"/>
      <w:numFmt w:val="lowerLetter"/>
      <w:start w:val="1"/>
    </w:lvl>
  </w:abstractNum>
  <w:abstractNum w:abstractNumId="98">
    <w:nsid w:val="52D7B105"/>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abstractNum>
  <w:abstractNum w:abstractNumId="99">
    <w:nsid w:val="2E8A6394"/>
    <w:multiLevelType w:val="hybridMultilevel"/>
    <w:lvl w:ilvl="0">
      <w:lvlJc w:val="left"/>
      <w:lvlText w:val="%1."/>
      <w:numFmt w:val="decimal"/>
      <w:start w:val="42"/>
    </w:lvl>
  </w:abstractNum>
  <w:abstractNum w:abstractNumId="100">
    <w:nsid w:val="24E60401"/>
    <w:multiLevelType w:val="hybridMultilevel"/>
    <w:lvl w:ilvl="0">
      <w:lvlJc w:val="left"/>
      <w:lvlText w:val="(%1)"/>
      <w:numFmt w:val="lowerLetter"/>
      <w:start w:val="1"/>
    </w:lvl>
  </w:abstractNum>
  <w:abstractNum w:abstractNumId="101">
    <w:nsid w:val="2A6AD9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BAAC1B4"/>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103">
    <w:nsid w:val="36B2ACBC"/>
    <w:multiLevelType w:val="hybridMultilevel"/>
    <w:lvl w:ilvl="0">
      <w:lvlJc w:val="left"/>
      <w:lvlText w:val="(%1)"/>
      <w:numFmt w:val="lowerLetter"/>
      <w:start w:val="4"/>
    </w:lvl>
  </w:abstractNum>
  <w:abstractNum w:abstractNumId="104">
    <w:nsid w:val="779D8544"/>
    <w:multiLevelType w:val="hybridMultilevel"/>
    <w:lvl w:ilvl="0">
      <w:lvlJc w:val="left"/>
      <w:lvlText w:val="%1."/>
      <w:numFmt w:val="decimal"/>
      <w:start w:val="45"/>
    </w:lvl>
    <w:lvl w:ilvl="1">
      <w:lvlJc w:val="left"/>
      <w:lvlText w:val="(%2)"/>
      <w:numFmt w:val="lowerLetter"/>
      <w:start w:val="1"/>
    </w:lvl>
  </w:abstractNum>
  <w:abstractNum w:abstractNumId="105">
    <w:nsid w:val="4AB26E78"/>
    <w:multiLevelType w:val="hybridMultilevel"/>
    <w:lvl w:ilvl="0">
      <w:lvlJc w:val="left"/>
      <w:lvlText w:val="%1."/>
      <w:numFmt w:val="decimal"/>
      <w:start w:val="46"/>
    </w:lvl>
    <w:lvl w:ilvl="1">
      <w:lvlJc w:val="left"/>
      <w:lvlText w:val="(%2)"/>
      <w:numFmt w:val="lowerLetter"/>
      <w:start w:val="1"/>
    </w:lvl>
  </w:abstractNum>
  <w:abstractNum w:abstractNumId="106">
    <w:nsid w:val="21FAA2FA"/>
    <w:multiLevelType w:val="hybridMultilevel"/>
    <w:lvl w:ilvl="0">
      <w:lvlJc w:val="left"/>
      <w:lvlText w:val="%1."/>
      <w:numFmt w:val="decimal"/>
      <w:start w:val="49"/>
    </w:lvl>
  </w:abstractNum>
  <w:abstractNum w:abstractNumId="107">
    <w:nsid w:val="5451CF49"/>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6181EF69"/>
    <w:multiLevelType w:val="hybridMultilevel"/>
    <w:lvl w:ilvl="0">
      <w:lvlJc w:val="left"/>
      <w:lvlText w:val="%1."/>
      <w:numFmt w:val="decimal"/>
      <w:start w:val="51"/>
    </w:lvl>
    <w:lvl w:ilvl="1">
      <w:lvlJc w:val="left"/>
      <w:lvlText w:val="(%2)"/>
      <w:numFmt w:val="lowerLetter"/>
      <w:start w:val="1"/>
    </w:lvl>
  </w:abstractNum>
  <w:abstractNum w:abstractNumId="109">
    <w:nsid w:val="3E6400E6"/>
    <w:multiLevelType w:val="hybridMultilevel"/>
    <w:lvl w:ilvl="0">
      <w:lvlJc w:val="left"/>
      <w:lvlText w:val="%1."/>
      <w:numFmt w:val="decimal"/>
      <w:start w:val="56"/>
    </w:lvl>
    <w:lvl w:ilvl="1">
      <w:lvlJc w:val="left"/>
      <w:lvlText w:val="(%2)"/>
      <w:numFmt w:val="lowerLetter"/>
      <w:start w:val="1"/>
    </w:lvl>
  </w:abstractNum>
  <w:abstractNum w:abstractNumId="110">
    <w:nsid w:val="14217E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1">
    <w:nsid w:val="710757D0"/>
    <w:multiLevelType w:val="hybridMultilevel"/>
    <w:lvl w:ilvl="0">
      <w:lvlJc w:val="left"/>
      <w:lvlText w:val="%1."/>
      <w:numFmt w:val="decimal"/>
      <w:start w:val="57"/>
    </w:lvl>
    <w:lvl w:ilvl="1">
      <w:lvlJc w:val="left"/>
      <w:lvlText w:val="(%2)"/>
      <w:numFmt w:val="lowerLetter"/>
      <w:start w:val="1"/>
    </w:lvl>
    <w:lvl w:ilvl="2">
      <w:lvlJc w:val="left"/>
      <w:lvlText w:val="(%3)"/>
      <w:numFmt w:val="lowerRoman"/>
      <w:start w:val="1"/>
    </w:lvl>
  </w:abstractNum>
  <w:abstractNum w:abstractNumId="112">
    <w:nsid w:val="5015CD1A"/>
    <w:multiLevelType w:val="hybridMultilevel"/>
    <w:lvl w:ilvl="0">
      <w:lvlJc w:val="left"/>
      <w:lvlText w:val="(%1)"/>
      <w:numFmt w:val="lowerRoman"/>
      <w:start w:val="3"/>
    </w:lvl>
    <w:lvl w:ilvl="1">
      <w:lvlJc w:val="left"/>
      <w:lvlText w:val="(%2)"/>
      <w:numFmt w:val="upperLetter"/>
      <w:start w:val="1"/>
    </w:lvl>
  </w:abstractNum>
  <w:abstractNum w:abstractNumId="113">
    <w:nsid w:val="424479DA"/>
    <w:multiLevelType w:val="hybridMultilevel"/>
    <w:lvl w:ilvl="0">
      <w:lvlJc w:val="left"/>
      <w:lvlText w:val="%1"/>
      <w:numFmt w:val="decimal"/>
      <w:start w:val="1"/>
    </w:lvl>
    <w:lvl w:ilvl="1">
      <w:lvlJc w:val="left"/>
      <w:lvlText w:val="(%2)"/>
      <w:numFmt w:val="lowerLetter"/>
      <w:start w:val="2"/>
    </w:lvl>
  </w:abstractNum>
  <w:abstractNum w:abstractNumId="114">
    <w:nsid w:val="1A9A9E69"/>
    <w:multiLevelType w:val="hybridMultilevel"/>
    <w:lvl w:ilvl="0">
      <w:lvlJc w:val="left"/>
      <w:lvlText w:val="%1."/>
      <w:numFmt w:val="decimal"/>
      <w:start w:val="59"/>
    </w:lvl>
    <w:lvl w:ilvl="1">
      <w:lvlJc w:val="left"/>
      <w:lvlText w:val="(%2)"/>
      <w:numFmt w:val="lowerLetter"/>
      <w:start w:val="1"/>
    </w:lvl>
  </w:abstractNum>
  <w:abstractNum w:abstractNumId="115">
    <w:nsid w:val="475E256A"/>
    <w:multiLevelType w:val="hybridMultilevel"/>
    <w:lvl w:ilvl="0">
      <w:lvlJc w:val="left"/>
      <w:lvlText w:val="%1."/>
      <w:numFmt w:val="decimal"/>
      <w:start w:val="60"/>
    </w:lvl>
    <w:lvl w:ilvl="1">
      <w:lvlJc w:val="left"/>
      <w:lvlText w:val="(%2)"/>
      <w:numFmt w:val="lowerLetter"/>
      <w:start w:val="1"/>
    </w:lvl>
  </w:abstractNum>
  <w:abstractNum w:abstractNumId="116">
    <w:nsid w:val="368DB37E"/>
    <w:multiLevelType w:val="hybridMultilevel"/>
    <w:lvl w:ilvl="0">
      <w:lvlJc w:val="left"/>
      <w:lvlText w:val="%1."/>
      <w:numFmt w:val="decimal"/>
      <w:start w:val="62"/>
    </w:lvl>
    <w:lvl w:ilvl="1">
      <w:lvlJc w:val="left"/>
      <w:lvlText w:val="(%2)"/>
      <w:numFmt w:val="lowerLetter"/>
      <w:start w:val="1"/>
    </w:lvl>
    <w:lvl w:ilvl="2">
      <w:lvlJc w:val="left"/>
      <w:lvlText w:val="(%3)"/>
      <w:numFmt w:val="lowerRoman"/>
      <w:start w:val="1"/>
    </w:lvl>
  </w:abstractNum>
  <w:abstractNum w:abstractNumId="117">
    <w:nsid w:val="6A3B714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5"/>
    </w:lvl>
  </w:abstractNum>
  <w:abstractNum w:abstractNumId="118">
    <w:nsid w:val="327B517E"/>
    <w:multiLevelType w:val="hybridMultilevel"/>
    <w:lvl w:ilvl="0">
      <w:lvlJc w:val="left"/>
      <w:lvlText w:val="%1."/>
      <w:numFmt w:val="decimal"/>
      <w:start w:val="63"/>
    </w:lvl>
    <w:lvl w:ilvl="1">
      <w:lvlJc w:val="left"/>
      <w:lvlText w:val="(%2)"/>
      <w:numFmt w:val="lowerLetter"/>
      <w:start w:val="1"/>
    </w:lvl>
    <w:lvl w:ilvl="2">
      <w:lvlJc w:val="left"/>
      <w:lvlText w:val="%3"/>
      <w:numFmt w:val="lowerLetter"/>
      <w:start w:val="1"/>
    </w:lvl>
  </w:abstractNum>
  <w:abstractNum w:abstractNumId="119">
    <w:nsid w:val="1F461B51"/>
    <w:multiLevelType w:val="hybridMultilevel"/>
    <w:lvl w:ilvl="0">
      <w:lvlJc w:val="left"/>
      <w:lvlText w:val="(%1)"/>
      <w:numFmt w:val="lowerRoman"/>
      <w:start w:val="1"/>
    </w:lvl>
  </w:abstractNum>
  <w:abstractNum w:abstractNumId="120">
    <w:nsid w:val="29BACF25"/>
    <w:multiLevelType w:val="hybridMultilevel"/>
    <w:lvl w:ilvl="0">
      <w:lvlJc w:val="left"/>
      <w:lvlText w:val="(%1)"/>
      <w:numFmt w:val="lowerLetter"/>
      <w:start w:val="1"/>
    </w:lvl>
    <w:lvl w:ilvl="1">
      <w:lvlJc w:val="left"/>
      <w:lvlText w:val="a"/>
      <w:numFmt w:val="bullet"/>
      <w:start w:val="1"/>
    </w:lvl>
  </w:abstractNum>
  <w:abstractNum w:abstractNumId="121">
    <w:nsid w:val="5D5BABB3"/>
    <w:multiLevelType w:val="hybridMultilevel"/>
    <w:lvl w:ilvl="0">
      <w:lvlJc w:val="left"/>
      <w:lvlText w:val="%1."/>
      <w:numFmt w:val="decimal"/>
      <w:start w:val="66"/>
    </w:lvl>
    <w:lvl w:ilvl="1">
      <w:lvlJc w:val="left"/>
      <w:lvlText w:val="(%2)"/>
      <w:numFmt w:val="lowerLetter"/>
      <w:start w:val="1"/>
    </w:lvl>
    <w:lvl w:ilvl="2">
      <w:lvlJc w:val="left"/>
      <w:lvlText w:val="(%3)"/>
      <w:numFmt w:val="lowerRoman"/>
      <w:start w:val="1"/>
    </w:lvl>
  </w:abstractNum>
  <w:abstractNum w:abstractNumId="122">
    <w:nsid w:val="51BF6B48"/>
    <w:multiLevelType w:val="hybridMultilevel"/>
    <w:lvl w:ilvl="0">
      <w:lvlJc w:val="left"/>
      <w:lvlText w:val="%1"/>
      <w:numFmt w:val="decimal"/>
      <w:start w:val="1"/>
    </w:lvl>
    <w:lvl w:ilvl="1">
      <w:lvlJc w:val="left"/>
      <w:lvlText w:val="(%2)"/>
      <w:numFmt w:val="lowerLetter"/>
      <w:start w:val="3"/>
    </w:lvl>
  </w:abstractNum>
  <w:abstractNum w:abstractNumId="123">
    <w:nsid w:val="7E0F6384"/>
    <w:multiLevelType w:val="hybridMultilevel"/>
    <w:lvl w:ilvl="0">
      <w:lvlJc w:val="left"/>
      <w:lvlText w:val="%1."/>
      <w:numFmt w:val="decimal"/>
      <w:start w:val="69"/>
    </w:lvl>
    <w:lvl w:ilvl="1">
      <w:lvlJc w:val="left"/>
      <w:lvlText w:val="(%2)"/>
      <w:numFmt w:val="lowerLetter"/>
      <w:start w:val="1"/>
    </w:lvl>
  </w:abstractNum>
  <w:abstractNum w:abstractNumId="124">
    <w:nsid w:val="2B4B8B53"/>
    <w:multiLevelType w:val="hybridMultilevel"/>
    <w:lvl w:ilvl="0">
      <w:lvlJc w:val="left"/>
      <w:lvlText w:val="%1."/>
      <w:numFmt w:val="decimal"/>
      <w:start w:val="70"/>
    </w:lvl>
    <w:lvl w:ilvl="1">
      <w:lvlJc w:val="left"/>
      <w:lvlText w:val="(%2)"/>
      <w:numFmt w:val="lowerLetter"/>
      <w:start w:val="1"/>
    </w:lvl>
  </w:abstractNum>
  <w:abstractNum w:abstractNumId="125">
    <w:nsid w:val="72E3413A"/>
    <w:multiLevelType w:val="hybridMultilevel"/>
    <w:lvl w:ilvl="0">
      <w:lvlJc w:val="left"/>
      <w:lvlText w:val="%1."/>
      <w:numFmt w:val="decimal"/>
      <w:start w:val="74"/>
    </w:lvl>
  </w:abstractNum>
  <w:abstractNum w:abstractNumId="126">
    <w:nsid w:val="116AE494"/>
    <w:multiLevelType w:val="hybridMultilevel"/>
    <w:lvl w:ilvl="0">
      <w:lvlJc w:val="left"/>
      <w:lvlText w:val="%1."/>
      <w:numFmt w:val="decimal"/>
      <w:start w:val="75"/>
    </w:lvl>
    <w:lvl w:ilvl="1">
      <w:lvlJc w:val="left"/>
      <w:lvlText w:val="(%2)"/>
      <w:numFmt w:val="lowerLetter"/>
      <w:start w:val="1"/>
    </w:lvl>
  </w:abstractNum>
  <w:abstractNum w:abstractNumId="127">
    <w:nsid w:val="3494B2FB"/>
    <w:multiLevelType w:val="hybridMultilevel"/>
    <w:lvl w:ilvl="0">
      <w:lvlJc w:val="left"/>
      <w:lvlText w:val="(%1)"/>
      <w:numFmt w:val="lowerLetter"/>
      <w:start w:val="2"/>
    </w:lvl>
  </w:abstractNum>
  <w:abstractNum w:abstractNumId="128">
    <w:nsid w:val="B13A31"/>
    <w:multiLevelType w:val="hybridMultilevel"/>
    <w:lvl w:ilvl="0">
      <w:lvlJc w:val="left"/>
      <w:lvlText w:val="%1."/>
      <w:numFmt w:val="decimal"/>
      <w:start w:val="78"/>
    </w:lvl>
    <w:lvl w:ilvl="1">
      <w:lvlJc w:val="left"/>
      <w:lvlText w:val="(%2)"/>
      <w:numFmt w:val="lowerLetter"/>
      <w:start w:val="1"/>
    </w:lvl>
  </w:abstractNum>
  <w:abstractNum w:abstractNumId="129">
    <w:nsid w:val="64429599"/>
    <w:multiLevelType w:val="hybridMultilevel"/>
    <w:lvl w:ilvl="0">
      <w:lvlJc w:val="left"/>
      <w:lvlText w:val="%1."/>
      <w:numFmt w:val="decimal"/>
      <w:start w:val="82"/>
    </w:lvl>
  </w:abstractNum>
  <w:abstractNum w:abstractNumId="130">
    <w:nsid w:val="631F1690"/>
    <w:multiLevelType w:val="hybridMultilevel"/>
    <w:lvl w:ilvl="0">
      <w:lvlJc w:val="left"/>
      <w:lvlText w:val="%1."/>
      <w:numFmt w:val="decimal"/>
      <w:start w:val="83"/>
    </w:lvl>
    <w:lvl w:ilvl="1">
      <w:lvlJc w:val="left"/>
      <w:lvlText w:val="(%2)"/>
      <w:numFmt w:val="lowerLetter"/>
      <w:start w:val="1"/>
    </w:lvl>
    <w:lvl w:ilvl="2">
      <w:lvlJc w:val="left"/>
      <w:lvlText w:val="(%3)"/>
      <w:numFmt w:val="lowerRoman"/>
      <w:start w:val="1"/>
    </w:lvl>
  </w:abstractNum>
  <w:abstractNum w:abstractNumId="131">
    <w:nsid w:val="25973E32"/>
    <w:multiLevelType w:val="hybridMultilevel"/>
    <w:lvl w:ilvl="0">
      <w:lvlJc w:val="left"/>
      <w:lvlText w:val="%1."/>
      <w:numFmt w:val="decimal"/>
      <w:start w:val="86"/>
    </w:lvl>
  </w:abstractNum>
  <w:abstractNum w:abstractNumId="132">
    <w:nsid w:val="EAD6F57"/>
    <w:multiLevelType w:val="hybridMultilevel"/>
    <w:lvl w:ilvl="0">
      <w:lvlJc w:val="left"/>
      <w:lvlText w:val="%1."/>
      <w:numFmt w:val="decimal"/>
      <w:start w:val="87"/>
    </w:lvl>
    <w:lvl w:ilvl="1">
      <w:lvlJc w:val="left"/>
      <w:lvlText w:val="(%2)"/>
      <w:numFmt w:val="lowerLetter"/>
      <w:start w:val="1"/>
    </w:lvl>
    <w:lvl w:ilvl="2">
      <w:lvlJc w:val="left"/>
      <w:lvlText w:val="(%3)"/>
      <w:numFmt w:val="lowerRoman"/>
      <w:start w:val="1"/>
    </w:lvl>
  </w:abstractNum>
  <w:abstractNum w:abstractNumId="133">
    <w:nsid w:val="6EC9D84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5C49EAEE"/>
    <w:multiLevelType w:val="hybridMultilevel"/>
    <w:lvl w:ilvl="0">
      <w:lvlJc w:val="left"/>
      <w:lvlText w:val="%1."/>
      <w:numFmt w:val="decimal"/>
      <w:start w:val="89"/>
    </w:lvl>
    <w:lvl w:ilvl="1">
      <w:lvlJc w:val="left"/>
      <w:lvlText w:val="(%2)"/>
      <w:numFmt w:val="lowerLetter"/>
      <w:start w:val="1"/>
    </w:lvl>
    <w:lvl w:ilvl="2">
      <w:lvlJc w:val="left"/>
      <w:lvlText w:val="(%3)"/>
      <w:numFmt w:val="lowerRoman"/>
      <w:start w:val="1"/>
    </w:lvl>
  </w:abstractNum>
  <w:abstractNum w:abstractNumId="135">
    <w:nsid w:val="64AF49B"/>
    <w:multiLevelType w:val="hybridMultilevel"/>
    <w:lvl w:ilvl="0">
      <w:lvlJc w:val="left"/>
      <w:lvlText w:val="%1."/>
      <w:numFmt w:val="decimal"/>
      <w:start w:val="9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6">
    <w:nsid w:val="397C46B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7">
    <w:nsid w:val="7E448DE9"/>
    <w:multiLevelType w:val="hybridMultilevel"/>
    <w:lvl w:ilvl="0">
      <w:lvlJc w:val="left"/>
      <w:lvlText w:val="%1"/>
      <w:numFmt w:val="decimal"/>
      <w:start w:val="1"/>
    </w:lvl>
    <w:lvl w:ilvl="1">
      <w:lvlJc w:val="left"/>
      <w:lvlText w:val="(%2)"/>
      <w:numFmt w:val="lowerLetter"/>
      <w:start w:val="5"/>
    </w:lvl>
  </w:abstractNum>
  <w:abstractNum w:abstractNumId="138">
    <w:nsid w:val="5A9CC3E5"/>
    <w:multiLevelType w:val="hybridMultilevel"/>
    <w:lvl w:ilvl="0">
      <w:lvlJc w:val="left"/>
      <w:lvlText w:val="%1."/>
      <w:numFmt w:val="decimal"/>
      <w:start w:val="91"/>
    </w:lvl>
    <w:lvl w:ilvl="1">
      <w:lvlJc w:val="left"/>
      <w:lvlText w:val="(%2)"/>
      <w:numFmt w:val="lowerLetter"/>
      <w:start w:val="1"/>
    </w:lvl>
  </w:abstractNum>
  <w:abstractNum w:abstractNumId="139">
    <w:nsid w:val="1AFE3625"/>
    <w:multiLevelType w:val="hybridMultilevel"/>
    <w:lvl w:ilvl="0">
      <w:lvlJc w:val="left"/>
      <w:lvlText w:val="%1."/>
      <w:numFmt w:val="decimal"/>
      <w:start w:val="92"/>
    </w:lvl>
  </w:abstractNum>
  <w:abstractNum w:abstractNumId="140">
    <w:nsid w:val="3CA88ECF"/>
    <w:multiLevelType w:val="hybridMultilevel"/>
    <w:lvl w:ilvl="0">
      <w:lvlJc w:val="left"/>
      <w:lvlText w:val="%1."/>
      <w:numFmt w:val="decimal"/>
      <w:start w:val="93"/>
    </w:lvl>
    <w:lvl w:ilvl="1">
      <w:lvlJc w:val="left"/>
      <w:lvlText w:val="(%2)"/>
      <w:numFmt w:val="lowerLetter"/>
      <w:start w:val="1"/>
    </w:lvl>
  </w:abstractNum>
  <w:abstractNum w:abstractNumId="141">
    <w:nsid w:val="6EBE4208"/>
    <w:multiLevelType w:val="hybridMultilevel"/>
    <w:lvl w:ilvl="0">
      <w:lvlJc w:val="left"/>
      <w:lvlText w:val="%1."/>
      <w:numFmt w:val="decimal"/>
      <w:start w:val="98"/>
    </w:lvl>
    <w:lvl w:ilvl="1">
      <w:lvlJc w:val="left"/>
      <w:lvlText w:val="(%2)"/>
      <w:numFmt w:val="lowerLetter"/>
      <w:start w:val="1"/>
    </w:lvl>
    <w:lvl w:ilvl="2">
      <w:lvlJc w:val="left"/>
      <w:lvlText w:val="(%3)"/>
      <w:numFmt w:val="lowerRoman"/>
      <w:start w:val="1"/>
    </w:lvl>
  </w:abstractNum>
  <w:abstractNum w:abstractNumId="142">
    <w:nsid w:val="C058DF5"/>
    <w:multiLevelType w:val="hybridMultilevel"/>
    <w:lvl w:ilvl="0">
      <w:lvlJc w:val="left"/>
      <w:lvlText w:val="%1."/>
      <w:numFmt w:val="decimal"/>
      <w:start w:val="102"/>
    </w:lvl>
    <w:lvl w:ilvl="1">
      <w:lvlJc w:val="left"/>
      <w:lvlText w:val="(%2)"/>
      <w:numFmt w:val="lowerLetter"/>
      <w:start w:val="1"/>
    </w:lvl>
    <w:lvl w:ilvl="2">
      <w:lvlJc w:val="left"/>
      <w:lvlText w:val="(%3)"/>
      <w:numFmt w:val="lowerRoman"/>
      <w:start w:val="1"/>
    </w:lvl>
  </w:abstractNum>
  <w:abstractNum w:abstractNumId="143">
    <w:nsid w:val="CBE5BE9"/>
    <w:multiLevelType w:val="hybridMultilevel"/>
    <w:lvl w:ilvl="0">
      <w:lvlJc w:val="left"/>
      <w:lvlText w:val="%1."/>
      <w:numFmt w:val="decimal"/>
      <w:start w:val="104"/>
    </w:lvl>
    <w:lvl w:ilvl="1">
      <w:lvlJc w:val="left"/>
      <w:lvlText w:val="(%2)"/>
      <w:numFmt w:val="lowerLetter"/>
      <w:start w:val="1"/>
    </w:lvl>
  </w:abstractNum>
  <w:abstractNum w:abstractNumId="144">
    <w:nsid w:val="3102BBE2"/>
    <w:multiLevelType w:val="hybridMultilevel"/>
    <w:lvl w:ilvl="0">
      <w:lvlJc w:val="left"/>
      <w:lvlText w:val="%1"/>
      <w:numFmt w:val="decimal"/>
      <w:start w:val="1"/>
    </w:lvl>
    <w:lvl w:ilvl="1">
      <w:lvlJc w:val="left"/>
      <w:lvlText w:val="(%2)"/>
      <w:numFmt w:val="lowerLetter"/>
      <w:start w:val="3"/>
    </w:lvl>
  </w:abstractNum>
  <w:abstractNum w:abstractNumId="145">
    <w:nsid w:val="26A02C5E"/>
    <w:multiLevelType w:val="hybridMultilevel"/>
    <w:lvl w:ilvl="0">
      <w:lvlJc w:val="left"/>
      <w:lvlText w:val="%1."/>
      <w:numFmt w:val="decimal"/>
      <w:start w:val="105"/>
    </w:lvl>
    <w:lvl w:ilvl="1">
      <w:lvlJc w:val="left"/>
      <w:lvlText w:val="(%2)"/>
      <w:numFmt w:val="lowerLetter"/>
      <w:start w:val="1"/>
    </w:lvl>
  </w:abstractNum>
  <w:abstractNum w:abstractNumId="146">
    <w:nsid w:val="541C8153"/>
    <w:multiLevelType w:val="hybridMultilevel"/>
    <w:lvl w:ilvl="0">
      <w:lvlJc w:val="left"/>
      <w:lvlText w:val="%1."/>
      <w:numFmt w:val="decimal"/>
      <w:start w:val="106"/>
    </w:lvl>
    <w:lvl w:ilvl="1">
      <w:lvlJc w:val="left"/>
      <w:lvlText w:val="(%2)"/>
      <w:numFmt w:val="lowerLetter"/>
      <w:start w:val="1"/>
    </w:lvl>
  </w:abstractNum>
  <w:abstractNum w:abstractNumId="147">
    <w:nsid w:val="67906F60"/>
    <w:multiLevelType w:val="hybridMultilevel"/>
    <w:lvl w:ilvl="0">
      <w:lvlJc w:val="left"/>
      <w:lvlText w:val="%1."/>
      <w:numFmt w:val="decimal"/>
      <w:start w:val="107"/>
    </w:lvl>
    <w:lvl w:ilvl="1">
      <w:lvlJc w:val="left"/>
      <w:lvlText w:val="(%2)"/>
      <w:numFmt w:val="lowerLetter"/>
      <w:start w:val="1"/>
    </w:lvl>
  </w:abstractNum>
  <w:abstractNum w:abstractNumId="148">
    <w:nsid w:val="10DB9DAA"/>
    <w:multiLevelType w:val="hybridMultilevel"/>
    <w:lvl w:ilvl="0">
      <w:lvlJc w:val="left"/>
      <w:lvlText w:val="%1"/>
      <w:numFmt w:val="decimal"/>
      <w:start w:val="1"/>
    </w:lvl>
    <w:lvl w:ilvl="1">
      <w:lvlJc w:val="left"/>
      <w:lvlText w:val="(%2)"/>
      <w:numFmt w:val="lowerLetter"/>
      <w:start w:val="1"/>
    </w:lvl>
  </w:abstractNum>
  <w:abstractNum w:abstractNumId="149">
    <w:nsid w:val="697D2D2"/>
    <w:multiLevelType w:val="hybridMultilevel"/>
    <w:lvl w:ilvl="0">
      <w:lvlJc w:val="left"/>
      <w:lvlText w:val="%1."/>
      <w:numFmt w:val="decimal"/>
      <w:start w:val="109"/>
    </w:lvl>
    <w:lvl w:ilvl="1">
      <w:lvlJc w:val="left"/>
      <w:lvlText w:val="%2"/>
      <w:numFmt w:val="lowerLetter"/>
      <w:start w:val="1"/>
    </w:lvl>
  </w:abstractNum>
  <w:abstractNum w:abstractNumId="150">
    <w:nsid w:val="6D68AB2"/>
    <w:multiLevelType w:val="hybridMultilevel"/>
    <w:lvl w:ilvl="0">
      <w:lvlJc w:val="left"/>
      <w:lvlText w:val="%1."/>
      <w:numFmt w:val="decimal"/>
      <w:start w:val="110"/>
    </w:lvl>
  </w:abstractNum>
  <w:abstractNum w:abstractNumId="151">
    <w:nsid w:val="3A966CD0"/>
    <w:multiLevelType w:val="hybridMultilevel"/>
    <w:lvl w:ilvl="0">
      <w:lvlJc w:val="left"/>
      <w:lvlText w:val="%1."/>
      <w:numFmt w:val="decimal"/>
      <w:start w:val="113"/>
    </w:lvl>
    <w:lvl w:ilvl="1">
      <w:lvlJc w:val="left"/>
      <w:lvlText w:val="(%2)"/>
      <w:numFmt w:val="lowerLetter"/>
      <w:start w:val="1"/>
    </w:lvl>
  </w:abstractNum>
  <w:abstractNum w:abstractNumId="152">
    <w:nsid w:val="63F37E85"/>
    <w:multiLevelType w:val="hybridMultilevel"/>
    <w:lvl w:ilvl="0">
      <w:lvlJc w:val="left"/>
      <w:lvlText w:val="%1."/>
      <w:numFmt w:val="decimal"/>
      <w:start w:val="115"/>
    </w:lvl>
    <w:lvl w:ilvl="1">
      <w:lvlJc w:val="left"/>
      <w:lvlText w:val="(%2)"/>
      <w:numFmt w:val="lowerLetter"/>
      <w:start w:val="1"/>
    </w:lvl>
  </w:abstractNum>
  <w:abstractNum w:abstractNumId="153">
    <w:nsid w:val="5895F5FA"/>
    <w:multiLevelType w:val="hybridMultilevel"/>
    <w:lvl w:ilvl="0">
      <w:lvlJc w:val="left"/>
      <w:lvlText w:val="(%1)"/>
      <w:numFmt w:val="lowerLetter"/>
      <w:start w:val="1"/>
    </w:lvl>
  </w:abstractNum>
  <w:abstractNum w:abstractNumId="154">
    <w:nsid w:val="38A5D054"/>
    <w:multiLevelType w:val="hybridMultilevel"/>
    <w:lvl w:ilvl="0">
      <w:lvlJc w:val="left"/>
      <w:lvlText w:val="(%1)"/>
      <w:numFmt w:val="lowerLetter"/>
      <w:start w:val="3"/>
    </w:lvl>
    <w:lvl w:ilvl="1">
      <w:lvlJc w:val="left"/>
      <w:lvlText w:val="(%2)"/>
      <w:numFmt w:val="lowerRoman"/>
      <w:start w:val="1"/>
    </w:lvl>
  </w:abstractNum>
  <w:abstractNum w:abstractNumId="155">
    <w:nsid w:val="F3F09D8"/>
    <w:multiLevelType w:val="hybridMultilevel"/>
    <w:lvl w:ilvl="0">
      <w:lvlJc w:val="left"/>
      <w:lvlText w:val="%1."/>
      <w:numFmt w:val="decimal"/>
      <w:start w:val="119"/>
    </w:lvl>
    <w:lvl w:ilvl="1">
      <w:lvlJc w:val="left"/>
      <w:lvlText w:val="(%2)"/>
      <w:numFmt w:val="lowerLetter"/>
      <w:start w:val="1"/>
    </w:lvl>
    <w:lvl w:ilvl="2">
      <w:lvlJc w:val="left"/>
      <w:lvlText w:val="(%3)"/>
      <w:numFmt w:val="lowerRoman"/>
      <w:start w:val="1"/>
    </w:lvl>
  </w:abstractNum>
  <w:abstractNum w:abstractNumId="156">
    <w:nsid w:val="4B7937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7">
    <w:nsid w:val="4A10B4E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58">
    <w:nsid w:val="43D3BCD4"/>
    <w:multiLevelType w:val="hybridMultilevel"/>
    <w:lvl w:ilvl="0">
      <w:lvlJc w:val="left"/>
      <w:lvlText w:val="%1."/>
      <w:numFmt w:val="decimal"/>
      <w:start w:val="122"/>
    </w:lvl>
    <w:lvl w:ilvl="1">
      <w:lvlJc w:val="left"/>
      <w:lvlText w:val="(%2)"/>
      <w:numFmt w:val="lowerLetter"/>
      <w:start w:val="1"/>
    </w:lvl>
    <w:lvl w:ilvl="2">
      <w:lvlJc w:val="left"/>
      <w:lvlText w:val="(%3)"/>
      <w:numFmt w:val="lowerLetter"/>
      <w:start w:val="9"/>
    </w:lvl>
  </w:abstractNum>
  <w:abstractNum w:abstractNumId="159">
    <w:nsid w:val="4C2A7166"/>
    <w:multiLevelType w:val="hybridMultilevel"/>
    <w:lvl w:ilvl="0">
      <w:lvlJc w:val="left"/>
      <w:lvlText w:val="%1"/>
      <w:numFmt w:val="lowerLetter"/>
      <w:start w:val="1"/>
    </w:lvl>
    <w:lvl w:ilvl="1">
      <w:lvlJc w:val="left"/>
      <w:lvlText w:val="(%2)"/>
      <w:numFmt w:val="lowerRoman"/>
      <w:start w:val="2"/>
    </w:lvl>
  </w:abstractNum>
  <w:abstractNum w:abstractNumId="160">
    <w:nsid w:val="2E534A82"/>
    <w:multiLevelType w:val="hybridMultilevel"/>
    <w:lvl w:ilvl="0">
      <w:lvlJc w:val="left"/>
      <w:lvlText w:val="(%1)"/>
      <w:numFmt w:val="lowerLetter"/>
      <w:start w:val="2"/>
    </w:lvl>
    <w:lvl w:ilvl="1">
      <w:lvlJc w:val="left"/>
      <w:lvlText w:val="%2"/>
      <w:numFmt w:val="lowerRoman"/>
      <w:start w:val="1"/>
    </w:lvl>
  </w:abstractNum>
  <w:abstractNum w:abstractNumId="161">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62">
    <w:nsid w:val="71C1AF98"/>
    <w:multiLevelType w:val="hybridMultilevel"/>
    <w:lvl w:ilvl="0">
      <w:lvlJc w:val="left"/>
      <w:lvlText w:val="%1."/>
      <w:numFmt w:val="decimal"/>
      <w:start w:val="123"/>
    </w:lvl>
    <w:lvl w:ilvl="1">
      <w:lvlJc w:val="left"/>
      <w:lvlText w:val="(%2)"/>
      <w:numFmt w:val="lowerLetter"/>
      <w:start w:val="1"/>
    </w:lvl>
    <w:lvl w:ilvl="2">
      <w:lvlJc w:val="left"/>
      <w:lvlText w:val="(%3)"/>
      <w:numFmt w:val="lowerLetter"/>
      <w:start w:val="9"/>
    </w:lvl>
  </w:abstractNum>
  <w:abstractNum w:abstractNumId="163">
    <w:nsid w:val="3D00B9D9"/>
    <w:multiLevelType w:val="hybridMultilevel"/>
    <w:lvl w:ilvl="0">
      <w:lvlJc w:val="left"/>
      <w:lvlText w:val="(%1)"/>
      <w:numFmt w:val="lowerRoman"/>
      <w:start w:val="2"/>
    </w:lvl>
  </w:abstractNum>
  <w:abstractNum w:abstractNumId="164">
    <w:nsid w:val="15BCABA8"/>
    <w:multiLevelType w:val="hybridMultilevel"/>
    <w:lvl w:ilvl="0">
      <w:lvlJc w:val="left"/>
      <w:lvlText w:val="%1."/>
      <w:numFmt w:val="decimal"/>
      <w:start w:val="127"/>
    </w:lvl>
    <w:lvl w:ilvl="1">
      <w:lvlJc w:val="left"/>
      <w:lvlText w:val="(%2)"/>
      <w:numFmt w:val="lowerLetter"/>
      <w:start w:val="1"/>
    </w:lvl>
    <w:lvl w:ilvl="2">
      <w:lvlJc w:val="left"/>
      <w:lvlText w:val="(%3)"/>
      <w:numFmt w:val="lowerRoman"/>
      <w:start w:val="1"/>
    </w:lvl>
  </w:abstractNum>
  <w:abstractNum w:abstractNumId="165">
    <w:nsid w:val="4E0B9A87"/>
    <w:multiLevelType w:val="hybridMultilevel"/>
    <w:lvl w:ilvl="0">
      <w:lvlJc w:val="left"/>
      <w:lvlText w:val="%1"/>
      <w:numFmt w:val="lowerLetter"/>
      <w:start w:val="1"/>
    </w:lvl>
    <w:lvl w:ilvl="1">
      <w:lvlJc w:val="left"/>
      <w:lvlText w:val="(%2)"/>
      <w:numFmt w:val="lowerLetter"/>
      <w:start w:val="35"/>
    </w:lvl>
  </w:abstractNum>
  <w:abstractNum w:abstractNumId="166">
    <w:nsid w:val="434BAE75"/>
    <w:multiLevelType w:val="hybridMultilevel"/>
    <w:lvl w:ilvl="0">
      <w:lvlJc w:val="left"/>
      <w:lvlText w:val="(%1)"/>
      <w:numFmt w:val="lowerLetter"/>
      <w:start w:val="5"/>
    </w:lvl>
    <w:lvl w:ilvl="1">
      <w:lvlJc w:val="left"/>
      <w:lvlText w:val="%2"/>
      <w:numFmt w:val="lowerLetter"/>
      <w:start w:val="1"/>
    </w:lvl>
  </w:abstractNum>
  <w:abstractNum w:abstractNumId="167">
    <w:nsid w:val="4F38F265"/>
    <w:multiLevelType w:val="hybridMultilevel"/>
    <w:lvl w:ilvl="0">
      <w:lvlJc w:val="left"/>
      <w:lvlText w:val="%1."/>
      <w:numFmt w:val="decimal"/>
      <w:start w:val="129"/>
    </w:lvl>
    <w:lvl w:ilvl="1">
      <w:lvlJc w:val="left"/>
      <w:lvlText w:val="(%2)"/>
      <w:numFmt w:val="lowerLetter"/>
      <w:start w:val="1"/>
    </w:lvl>
    <w:lvl w:ilvl="2">
      <w:lvlJc w:val="left"/>
      <w:lvlText w:val="(%3)"/>
      <w:numFmt w:val="lowerRoman"/>
      <w:start w:val="1"/>
    </w:lvl>
  </w:abstractNum>
  <w:abstractNum w:abstractNumId="168">
    <w:nsid w:val="4C502870"/>
    <w:multiLevelType w:val="hybridMultilevel"/>
    <w:lvl w:ilvl="0">
      <w:lvlJc w:val="left"/>
      <w:lvlText w:val="(%1)"/>
      <w:numFmt w:val="lowerLetter"/>
      <w:start w:val="2"/>
    </w:lvl>
  </w:abstractNum>
  <w:abstractNum w:abstractNumId="169">
    <w:nsid w:val="1DE8725A"/>
    <w:multiLevelType w:val="hybridMultilevel"/>
    <w:lvl w:ilvl="0">
      <w:lvlJc w:val="left"/>
      <w:lvlText w:val="%1."/>
      <w:numFmt w:val="decimal"/>
      <w:start w:val="130"/>
    </w:lvl>
    <w:lvl w:ilvl="1">
      <w:lvlJc w:val="left"/>
      <w:lvlText w:val="(%2)"/>
      <w:numFmt w:val="lowerLetter"/>
      <w:start w:val="1"/>
    </w:lvl>
  </w:abstractNum>
  <w:abstractNum w:abstractNumId="170">
    <w:nsid w:val="6A37288A"/>
    <w:multiLevelType w:val="hybridMultilevel"/>
    <w:lvl w:ilvl="0">
      <w:lvlJc w:val="left"/>
      <w:lvlText w:val="%1."/>
      <w:numFmt w:val="decimal"/>
      <w:start w:val="131"/>
    </w:lvl>
    <w:lvl w:ilvl="1">
      <w:lvlJc w:val="left"/>
      <w:lvlText w:val="(%2)"/>
      <w:numFmt w:val="lowerLetter"/>
      <w:start w:val="1"/>
    </w:lvl>
  </w:abstractNum>
  <w:abstractNum w:abstractNumId="171">
    <w:nsid w:val="8F8B73F"/>
    <w:multiLevelType w:val="hybridMultilevel"/>
    <w:lvl w:ilvl="0">
      <w:lvlJc w:val="left"/>
      <w:lvlText w:val="%1."/>
      <w:numFmt w:val="decimal"/>
      <w:start w:val="132"/>
    </w:lvl>
  </w:abstractNum>
  <w:abstractNum w:abstractNumId="172">
    <w:nsid w:val="CA6B462"/>
    <w:multiLevelType w:val="hybridMultilevel"/>
    <w:lvl w:ilvl="0">
      <w:lvlJc w:val="left"/>
      <w:lvlText w:val="%1."/>
      <w:numFmt w:val="decimal"/>
      <w:start w:val="133"/>
    </w:lvl>
  </w:abstractNum>
  <w:abstractNum w:abstractNumId="173">
    <w:nsid w:val="763CB680"/>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4">
    <w:nsid w:val="15B71329"/>
    <w:multiLevelType w:val="hybridMultilevel"/>
    <w:lvl w:ilvl="0">
      <w:lvlJc w:val="left"/>
      <w:lvlText w:val="%1"/>
      <w:numFmt w:val="lowerLetter"/>
      <w:start w:val="1"/>
    </w:lvl>
    <w:lvl w:ilvl="1">
      <w:lvlJc w:val="left"/>
      <w:lvlText w:val="(%2)"/>
      <w:numFmt w:val="lowerRoman"/>
      <w:start w:val="4"/>
    </w:lvl>
  </w:abstractNum>
  <w:abstractNum w:abstractNumId="175">
    <w:nsid w:val="3DA97044"/>
    <w:multiLevelType w:val="hybridMultilevel"/>
    <w:lvl w:ilvl="0">
      <w:lvlJc w:val="left"/>
      <w:lvlText w:val="(%1)"/>
      <w:numFmt w:val="lowerLetter"/>
      <w:start w:val="4"/>
    </w:lvl>
    <w:lvl w:ilvl="1">
      <w:lvlJc w:val="left"/>
      <w:lvlText w:val="(%2)"/>
      <w:numFmt w:val="lowerRoman"/>
      <w:start w:val="1"/>
    </w:lvl>
  </w:abstractNum>
  <w:abstractNum w:abstractNumId="176">
    <w:nsid w:val="1CDCE2DE"/>
    <w:multiLevelType w:val="hybridMultilevel"/>
    <w:lvl w:ilvl="0">
      <w:lvlJc w:val="left"/>
      <w:lvlText w:val="%1"/>
      <w:numFmt w:val="decimal"/>
      <w:start w:val="1"/>
    </w:lvl>
    <w:lvl w:ilvl="1">
      <w:lvlJc w:val="left"/>
      <w:lvlText w:val="(%2)"/>
      <w:numFmt w:val="lowerLetter"/>
      <w:start w:val="7"/>
    </w:lvl>
  </w:abstractNum>
  <w:abstractNum w:abstractNumId="177">
    <w:nsid w:val="69D3947C"/>
    <w:multiLevelType w:val="hybridMultilevel"/>
    <w:lvl w:ilvl="0">
      <w:lvlJc w:val="left"/>
      <w:lvlText w:val="%1."/>
      <w:numFmt w:val="decimal"/>
      <w:start w:val="135"/>
    </w:lvl>
    <w:lvl w:ilvl="1">
      <w:lvlJc w:val="left"/>
      <w:lvlText w:val="(%2)"/>
      <w:numFmt w:val="lowerLetter"/>
      <w:start w:val="1"/>
    </w:lvl>
  </w:abstractNum>
  <w:abstractNum w:abstractNumId="178">
    <w:nsid w:val="2539DFA5"/>
    <w:multiLevelType w:val="hybridMultilevel"/>
    <w:lvl w:ilvl="0">
      <w:lvlJc w:val="left"/>
      <w:lvlText w:val="%1."/>
      <w:numFmt w:val="decimal"/>
      <w:start w:val="138"/>
    </w:lvl>
    <w:lvl w:ilvl="1">
      <w:lvlJc w:val="left"/>
      <w:lvlText w:val="(%2)"/>
      <w:numFmt w:val="lowerLetter"/>
      <w:start w:val="1"/>
    </w:lvl>
  </w:abstractNum>
  <w:abstractNum w:abstractNumId="179">
    <w:nsid w:val="2DB88089"/>
    <w:multiLevelType w:val="hybridMultilevel"/>
    <w:lvl w:ilvl="0">
      <w:lvlJc w:val="left"/>
      <w:lvlText w:val="%1."/>
      <w:numFmt w:val="decimal"/>
      <w:start w:val="144"/>
    </w:lvl>
    <w:lvl w:ilvl="1">
      <w:lvlJc w:val="left"/>
      <w:lvlText w:val="(%2)"/>
      <w:numFmt w:val="lowerLetter"/>
      <w:start w:val="1"/>
    </w:lvl>
  </w:abstractNum>
  <w:abstractNum w:abstractNumId="180">
    <w:nsid w:val="706B674E"/>
    <w:multiLevelType w:val="hybridMultilevel"/>
    <w:lvl w:ilvl="0">
      <w:lvlJc w:val="left"/>
      <w:lvlText w:val="%1."/>
      <w:numFmt w:val="decimal"/>
      <w:start w:val="145"/>
    </w:lvl>
    <w:lvl w:ilvl="1">
      <w:lvlJc w:val="left"/>
      <w:lvlText w:val="(%2)"/>
      <w:numFmt w:val="lowerLetter"/>
      <w:start w:val="1"/>
    </w:lvl>
    <w:lvl w:ilvl="2">
      <w:lvlJc w:val="left"/>
      <w:lvlText w:val="(%3)"/>
      <w:numFmt w:val="lowerRoman"/>
      <w:start w:val="1"/>
    </w:lvl>
  </w:abstractNum>
  <w:abstractNum w:abstractNumId="181">
    <w:nsid w:val="2C106A57"/>
    <w:multiLevelType w:val="hybridMultilevel"/>
    <w:lvl w:ilvl="0">
      <w:lvlJc w:val="left"/>
      <w:lvlText w:val="(%1)"/>
      <w:numFmt w:val="lowerLetter"/>
      <w:start w:val="2"/>
    </w:lvl>
    <w:lvl w:ilvl="1">
      <w:lvlJc w:val="left"/>
      <w:lvlText w:val="(%2)"/>
      <w:numFmt w:val="lowerRoman"/>
      <w:start w:val="1"/>
    </w:lvl>
  </w:abstractNum>
  <w:abstractNum w:abstractNumId="182">
    <w:nsid w:val="684EED59"/>
    <w:multiLevelType w:val="hybridMultilevel"/>
    <w:lvl w:ilvl="0">
      <w:lvlJc w:val="left"/>
      <w:lvlText w:val="%1."/>
      <w:numFmt w:val="decimal"/>
      <w:start w:val="146"/>
    </w:lvl>
  </w:abstractNum>
  <w:abstractNum w:abstractNumId="183">
    <w:nsid w:val="545EE5D3"/>
    <w:multiLevelType w:val="hybridMultilevel"/>
    <w:lvl w:ilvl="0">
      <w:lvlJc w:val="left"/>
      <w:lvlText w:val="%1."/>
      <w:numFmt w:val="decimal"/>
      <w:start w:val="147"/>
    </w:lvl>
    <w:lvl w:ilvl="1">
      <w:lvlJc w:val="left"/>
      <w:lvlText w:val="(%2)"/>
      <w:numFmt w:val="lowerLetter"/>
      <w:start w:val="1"/>
    </w:lvl>
    <w:lvl w:ilvl="2">
      <w:lvlJc w:val="left"/>
      <w:lvlText w:val="(%3)"/>
      <w:numFmt w:val="lowerRoman"/>
      <w:start w:val="1"/>
    </w:lvl>
  </w:abstractNum>
  <w:abstractNum w:abstractNumId="184">
    <w:nsid w:val="4A66051"/>
    <w:multiLevelType w:val="hybridMultilevel"/>
    <w:lvl w:ilvl="0">
      <w:lvlJc w:val="left"/>
      <w:lvlText w:val="%1"/>
      <w:numFmt w:val="lowerLetter"/>
      <w:start w:val="1"/>
    </w:lvl>
    <w:lvl w:ilvl="1">
      <w:lvlJc w:val="left"/>
      <w:lvlText w:val="(%2)"/>
      <w:numFmt w:val="lowerRoman"/>
      <w:start w:val="4"/>
    </w:lvl>
  </w:abstractNum>
  <w:abstractNum w:abstractNumId="185">
    <w:nsid w:val="20F4BDAD"/>
    <w:multiLevelType w:val="hybridMultilevel"/>
    <w:lvl w:ilvl="0">
      <w:lvlJc w:val="left"/>
      <w:lvlText w:val="(%1)"/>
      <w:numFmt w:val="lowerLetter"/>
      <w:start w:val="2"/>
    </w:lvl>
    <w:lvl w:ilvl="1">
      <w:lvlJc w:val="left"/>
      <w:lvlText w:val="(%2)"/>
      <w:numFmt w:val="lowerRoman"/>
      <w:start w:val="1"/>
    </w:lvl>
  </w:abstractNum>
  <w:abstractNum w:abstractNumId="186">
    <w:nsid w:val="639DEFAC"/>
    <w:multiLevelType w:val="hybridMultilevel"/>
    <w:lvl w:ilvl="0">
      <w:lvlJc w:val="left"/>
      <w:lvlText w:val="%1."/>
      <w:numFmt w:val="decimal"/>
      <w:start w:val="148"/>
    </w:lvl>
  </w:abstractNum>
  <w:abstractNum w:abstractNumId="187">
    <w:nsid w:val="501F9786"/>
    <w:multiLevelType w:val="hybridMultilevel"/>
    <w:lvl w:ilvl="0">
      <w:lvlJc w:val="left"/>
      <w:lvlText w:val="(%1)"/>
      <w:numFmt w:val="lowerRoman"/>
      <w:start w:val="1"/>
    </w:lvl>
  </w:abstractNum>
  <w:abstractNum w:abstractNumId="188">
    <w:nsid w:val="6B057295"/>
    <w:multiLevelType w:val="hybridMultilevel"/>
    <w:lvl w:ilvl="0">
      <w:lvlJc w:val="left"/>
      <w:lvlText w:val="%1."/>
      <w:numFmt w:val="decimal"/>
      <w:start w:val="149"/>
    </w:lvl>
    <w:lvl w:ilvl="1">
      <w:lvlJc w:val="left"/>
      <w:lvlText w:val="(%2)"/>
      <w:numFmt w:val="lowerLetter"/>
      <w:start w:val="1"/>
    </w:lvl>
    <w:lvl w:ilvl="2">
      <w:lvlJc w:val="left"/>
      <w:lvlText w:val="(%3)"/>
      <w:numFmt w:val="lowerRoman"/>
      <w:start w:val="1"/>
    </w:lvl>
  </w:abstractNum>
  <w:abstractNum w:abstractNumId="189">
    <w:nsid w:val="2771AC80"/>
    <w:multiLevelType w:val="hybridMultilevel"/>
    <w:lvl w:ilvl="0">
      <w:lvlJc w:val="left"/>
      <w:lvlText w:val="%1."/>
      <w:numFmt w:val="decimal"/>
      <w:start w:val="150"/>
    </w:lvl>
    <w:lvl w:ilvl="1">
      <w:lvlJc w:val="left"/>
      <w:lvlText w:val="(%2)"/>
      <w:numFmt w:val="lowerLetter"/>
      <w:start w:val="1"/>
    </w:lvl>
    <w:lvl w:ilvl="2">
      <w:lvlJc w:val="left"/>
      <w:lvlText w:val="(%3)"/>
      <w:numFmt w:val="lowerRoman"/>
      <w:start w:val="1"/>
    </w:lvl>
  </w:abstractNum>
  <w:abstractNum w:abstractNumId="190">
    <w:nsid w:val="1C4A08EC"/>
    <w:multiLevelType w:val="hybridMultilevel"/>
    <w:lvl w:ilvl="0">
      <w:lvlJc w:val="left"/>
      <w:lvlText w:val="-"/>
      <w:numFmt w:val="bullet"/>
      <w:start w:val="1"/>
    </w:lvl>
  </w:abstractNum>
  <w:abstractNum w:abstractNumId="191">
    <w:nsid w:val="1958BD17"/>
    <w:multiLevelType w:val="hybridMultilevel"/>
    <w:lvl w:ilvl="0">
      <w:lvlJc w:val="left"/>
      <w:lvlText w:val="(%1)"/>
      <w:numFmt w:val="lowerRoman"/>
      <w:start w:val="1"/>
    </w:lvl>
  </w:abstractNum>
  <w:abstractNum w:abstractNumId="192">
    <w:nsid w:val="4E647FE4"/>
    <w:multiLevelType w:val="hybridMultilevel"/>
    <w:lvl w:ilvl="0">
      <w:lvlJc w:val="left"/>
      <w:lvlText w:val="%1."/>
      <w:numFmt w:val="decimal"/>
      <w:start w:val="1"/>
    </w:lvl>
  </w:abstractNum>
  <w:abstractNum w:abstractNumId="193">
    <w:nsid w:val="E0BB885"/>
    <w:multiLevelType w:val="hybridMultilevel"/>
    <w:lvl w:ilvl="0">
      <w:lvlJc w:val="left"/>
      <w:lvlText w:val="%1."/>
      <w:numFmt w:val="decimal"/>
      <w:start w:val="3"/>
    </w:lvl>
  </w:abstractNum>
  <w:abstractNum w:abstractNumId="194">
    <w:nsid w:val="565976F1"/>
    <w:multiLevelType w:val="hybridMultilevel"/>
    <w:lvl w:ilvl="0">
      <w:lvlJc w:val="left"/>
      <w:lvlText w:val="(%1)"/>
      <w:numFmt w:val="decimal"/>
      <w:start w:val="20"/>
    </w:lvl>
  </w:abstractNum>
  <w:abstractNum w:abstractNumId="195">
    <w:nsid w:val="64212B8C"/>
    <w:multiLevelType w:val="hybridMultilevel"/>
    <w:lvl w:ilvl="0">
      <w:lvlJc w:val="left"/>
      <w:lvlText w:val="%1."/>
      <w:numFmt w:val="decimal"/>
      <w:start w:val="4"/>
    </w:lvl>
  </w:abstractNum>
  <w:abstractNum w:abstractNumId="196">
    <w:nsid w:val="5C17530C"/>
    <w:multiLevelType w:val="hybridMultilevel"/>
    <w:lvl w:ilvl="0">
      <w:lvlJc w:val="left"/>
      <w:lvlText w:val="%1."/>
      <w:numFmt w:val="decimal"/>
      <w:start w:val="5"/>
    </w:lvl>
  </w:abstractNum>
  <w:abstractNum w:abstractNumId="197">
    <w:nsid w:val="19A52566"/>
    <w:multiLevelType w:val="hybridMultilevel"/>
    <w:lvl w:ilvl="0">
      <w:lvlJc w:val="left"/>
      <w:lvlText w:val="%1."/>
      <w:numFmt w:val="decimal"/>
      <w:start w:val="6"/>
    </w:lvl>
  </w:abstractNum>
  <w:abstractNum w:abstractNumId="198">
    <w:nsid w:val="335A1DF1"/>
    <w:multiLevelType w:val="hybridMultilevel"/>
    <w:lvl w:ilvl="0">
      <w:lvlJc w:val="left"/>
      <w:lvlText w:val="(%1)"/>
      <w:numFmt w:val="decimal"/>
      <w:start w:val="20"/>
    </w:lvl>
  </w:abstractNum>
  <w:abstractNum w:abstractNumId="199">
    <w:nsid w:val="28677B7C"/>
    <w:multiLevelType w:val="hybridMultilevel"/>
    <w:lvl w:ilvl="0">
      <w:lvlJc w:val="left"/>
      <w:lvlText w:val="%1."/>
      <w:numFmt w:val="decimal"/>
      <w:start w:val="7"/>
    </w:lvl>
  </w:abstractNum>
  <w:abstractNum w:abstractNumId="200">
    <w:nsid w:val="378D97C0"/>
    <w:multiLevelType w:val="hybridMultilevel"/>
    <w:lvl w:ilvl="0">
      <w:lvlJc w:val="left"/>
      <w:lvlText w:val="%1."/>
      <w:numFmt w:val="decimal"/>
      <w:start w:val="8"/>
    </w:lvl>
  </w:abstractNum>
  <w:abstractNum w:abstractNumId="201">
    <w:nsid w:val="1D91467C"/>
    <w:multiLevelType w:val="hybridMultilevel"/>
    <w:lvl w:ilvl="0">
      <w:lvlJc w:val="left"/>
      <w:lvlText w:val="%1."/>
      <w:numFmt w:val="decimal"/>
      <w:start w:val="9"/>
    </w:lvl>
  </w:abstractNum>
  <w:abstractNum w:abstractNumId="202">
    <w:nsid w:val="316032BB"/>
    <w:multiLevelType w:val="hybridMultilevel"/>
    <w:lvl w:ilvl="0">
      <w:lvlJc w:val="left"/>
      <w:lvlText w:val="(%1)"/>
      <w:numFmt w:val="lowerLetter"/>
      <w:start w:val="4"/>
    </w:lvl>
  </w:abstractNum>
  <w:abstractNum w:abstractNumId="203">
    <w:nsid w:val="44344C22"/>
    <w:multiLevelType w:val="hybridMultilevel"/>
    <w:lvl w:ilvl="0">
      <w:lvlJc w:val="left"/>
      <w:lvlText w:val="(%1)"/>
      <w:numFmt w:val="decimal"/>
      <w:start w:val="20"/>
    </w:lvl>
  </w:abstractNum>
  <w:abstractNum w:abstractNumId="204">
    <w:nsid w:val="13CDFCFC"/>
    <w:multiLevelType w:val="hybridMultilevel"/>
    <w:lvl w:ilvl="0">
      <w:lvlJc w:val="left"/>
      <w:lvlText w:val="(%1)"/>
      <w:numFmt w:val="lowerRoman"/>
      <w:start w:val="1"/>
    </w:lvl>
  </w:abstractNum>
  <w:abstractNum w:abstractNumId="205">
    <w:nsid w:val="471745E4"/>
    <w:multiLevelType w:val="hybridMultilevel"/>
    <w:lvl w:ilvl="0">
      <w:lvlJc w:val="left"/>
      <w:lvlText w:val="(%1)"/>
      <w:numFmt w:val="lowerRoman"/>
      <w:start w:val="1"/>
    </w:lvl>
  </w:abstractNum>
  <w:abstractNum w:abstractNumId="206">
    <w:nsid w:val="1DDBC66"/>
    <w:multiLevelType w:val="hybridMultilevel"/>
    <w:lvl w:ilvl="0">
      <w:lvlJc w:val="left"/>
      <w:lvlText w:val="(%1)"/>
      <w:numFmt w:val="lowerRoman"/>
      <w:start w:val="2"/>
    </w:lvl>
  </w:abstractNum>
  <w:abstractNum w:abstractNumId="207">
    <w:nsid w:val="30AADFDA"/>
    <w:multiLevelType w:val="hybridMultilevel"/>
    <w:lvl w:ilvl="0">
      <w:lvlJc w:val="left"/>
      <w:lvlText w:val="(%1)"/>
      <w:numFmt w:val="lowerLetter"/>
      <w:start w:val="4"/>
    </w:lvl>
  </w:abstractNum>
  <w:abstractNum w:abstractNumId="208">
    <w:nsid w:val="30EADA61"/>
    <w:multiLevelType w:val="hybridMultilevel"/>
    <w:lvl w:ilvl="0">
      <w:lvlJc w:val="left"/>
      <w:lvlText w:val="%1)"/>
      <w:numFmt w:val="decimal"/>
      <w:start w:val="103"/>
    </w:lvl>
  </w:abstractNum>
  <w:abstractNum w:abstractNumId="209">
    <w:nsid w:val="27179C0B"/>
    <w:multiLevelType w:val="hybridMultilevel"/>
    <w:lvl w:ilvl="0">
      <w:lvlJc w:val="left"/>
      <w:lvlText w:val="(%1)"/>
      <w:numFmt w:val="lowerLetter"/>
      <w:start w:val="3"/>
    </w:lvl>
  </w:abstractNum>
  <w:abstractNum w:abstractNumId="210">
    <w:nsid w:val="5E636063"/>
    <w:multiLevelType w:val="hybridMultilevel"/>
    <w:lvl w:ilvl="0">
      <w:lvlJc w:val="left"/>
      <w:lvlText w:val="(%1)"/>
      <w:numFmt w:val="upperLetter"/>
      <w:start w:val="1"/>
    </w:lvl>
  </w:abstractNum>
  <w:abstractNum w:abstractNumId="211">
    <w:nsid w:val="215641AF"/>
    <w:multiLevelType w:val="hybridMultilevel"/>
    <w:lvl w:ilvl="0">
      <w:lvlJc w:val="left"/>
      <w:lvlText w:val="(%1)"/>
      <w:numFmt w:val="lowerRoman"/>
      <w:start w:val="1"/>
    </w:lvl>
  </w:abstractNum>
  <w:abstractNum w:abstractNumId="212">
    <w:nsid w:val="53280662"/>
    <w:multiLevelType w:val="hybridMultilevel"/>
    <w:lvl w:ilvl="0">
      <w:lvlJc w:val="left"/>
      <w:lvlText w:val="(%1)"/>
      <w:numFmt w:val="lowerRoman"/>
      <w:start w:val="5"/>
    </w:lvl>
  </w:abstractNum>
  <w:abstractNum w:abstractNumId="213">
    <w:nsid w:val="46B24DBC"/>
    <w:multiLevelType w:val="hybridMultilevel"/>
    <w:lvl w:ilvl="0">
      <w:lvlJc w:val="left"/>
      <w:lvlText w:val="%1"/>
      <w:numFmt w:val="upperLetter"/>
      <w:start w:val="1"/>
    </w:lvl>
    <w:lvl w:ilvl="1">
      <w:lvlJc w:val="left"/>
      <w:lvlText w:val="(%2)"/>
      <w:numFmt w:val="lowerRoman"/>
      <w:start w:val="1"/>
    </w:lvl>
  </w:abstractNum>
  <w:abstractNum w:abstractNumId="214">
    <w:nsid w:val="75B52783"/>
    <w:multiLevelType w:val="hybridMultilevel"/>
    <w:lvl w:ilvl="0">
      <w:lvlJc w:val="left"/>
      <w:lvlText w:val="(%1)"/>
      <w:numFmt w:val="upperLetter"/>
      <w:start w:val="2"/>
    </w:lvl>
    <w:lvl w:ilvl="1">
      <w:lvlJc w:val="left"/>
      <w:lvlText w:val="(%2)"/>
      <w:numFmt w:val="lowerRoman"/>
      <w:start w:val="2"/>
    </w:lvl>
  </w:abstractNum>
  <w:abstractNum w:abstractNumId="215">
    <w:nsid w:val="57CE66B4"/>
    <w:multiLevelType w:val="hybridMultilevel"/>
    <w:lvl w:ilvl="0">
      <w:lvlJc w:val="left"/>
      <w:lvlText w:val="(%1)"/>
      <w:numFmt w:val="decimal"/>
      <w:start w:val="60"/>
    </w:lvl>
  </w:abstractNum>
  <w:abstractNum w:abstractNumId="216">
    <w:nsid w:val="67A70B69"/>
    <w:multiLevelType w:val="hybridMultilevel"/>
    <w:lvl w:ilvl="0">
      <w:lvlJc w:val="left"/>
      <w:lvlText w:val="(%1)"/>
      <w:numFmt w:val="lowerLetter"/>
      <w:start w:val="1"/>
    </w:lvl>
  </w:abstractNum>
  <w:abstractNum w:abstractNumId="217">
    <w:nsid w:val="5953172F"/>
    <w:multiLevelType w:val="hybridMultilevel"/>
    <w:lvl w:ilvl="0">
      <w:lvlJc w:val="left"/>
      <w:lvlText w:val="(%1)"/>
      <w:numFmt w:val="lowerLetter"/>
      <w:start w:val="3"/>
    </w:lvl>
  </w:abstractNum>
  <w:abstractNum w:abstractNumId="218">
    <w:nsid w:val="27EDFE3A"/>
    <w:multiLevelType w:val="hybridMultilevel"/>
    <w:lvl w:ilvl="0">
      <w:lvlJc w:val="left"/>
      <w:lvlText w:val="(%1)"/>
      <w:numFmt w:val="lowerLetter"/>
      <w:start w:val="1"/>
    </w:lvl>
  </w:abstractNum>
  <w:abstractNum w:abstractNumId="219">
    <w:nsid w:val="52AC7DFF"/>
    <w:multiLevelType w:val="hybridMultilevel"/>
    <w:lvl w:ilvl="0">
      <w:lvlJc w:val="left"/>
      <w:lvlText w:val="(%1)"/>
      <w:numFmt w:val="lowerLetter"/>
      <w:start w:val="3"/>
    </w:lvl>
  </w:abstractNum>
  <w:abstractNum w:abstractNumId="220">
    <w:nsid w:val="C4C3AF"/>
    <w:multiLevelType w:val="hybridMultilevel"/>
    <w:lvl w:ilvl="0">
      <w:lvlJc w:val="left"/>
      <w:lvlText w:val="(%1)"/>
      <w:numFmt w:val="upperLetter"/>
      <w:start w:val="35"/>
    </w:lvl>
  </w:abstractNum>
  <w:abstractNum w:abstractNumId="221">
    <w:nsid w:val="44380727"/>
    <w:multiLevelType w:val="hybridMultilevel"/>
    <w:lvl w:ilvl="0">
      <w:lvlJc w:val="left"/>
      <w:lvlText w:val="(%1)"/>
      <w:numFmt w:val="lowerRoman"/>
      <w:start w:val="3"/>
    </w:lvl>
  </w:abstractNum>
  <w:abstractNum w:abstractNumId="222">
    <w:nsid w:val="6C053B16"/>
    <w:multiLevelType w:val="hybridMultilevel"/>
    <w:lvl w:ilvl="0">
      <w:lvlJc w:val="left"/>
      <w:lvlText w:val="*"/>
      <w:numFmt w:val="bullet"/>
      <w:start w:val="1"/>
    </w:lvl>
  </w:abstractNum>
  <w:abstractNum w:abstractNumId="223">
    <w:nsid w:val="4F294393"/>
    <w:multiLevelType w:val="hybridMultilevel"/>
    <w:lvl w:ilvl="0">
      <w:lvlJc w:val="left"/>
      <w:lvlText w:val="(%1)"/>
      <w:numFmt w:val="lowerLetter"/>
      <w:start w:val="1"/>
    </w:lvl>
  </w:abstractNum>
  <w:abstractNum w:abstractNumId="224">
    <w:nsid w:val="5243BFAC"/>
    <w:multiLevelType w:val="hybridMultilevel"/>
    <w:lvl w:ilvl="0">
      <w:lvlJc w:val="left"/>
      <w:lvlText w:val="(%1)"/>
      <w:numFmt w:val="lowerLetter"/>
      <w:start w:val="3"/>
    </w:lvl>
  </w:abstractNum>
  <w:abstractNum w:abstractNumId="225">
    <w:nsid w:val="425EB207"/>
    <w:multiLevelType w:val="hybridMultilevel"/>
    <w:lvl w:ilvl="0">
      <w:lvlJc w:val="left"/>
      <w:lvlText w:val="•"/>
      <w:numFmt w:val="bullet"/>
      <w:start w:val="1"/>
    </w:lvl>
  </w:abstractNum>
  <w:abstractNum w:abstractNumId="226">
    <w:nsid w:val="334A6F1F"/>
    <w:multiLevelType w:val="hybridMultilevel"/>
    <w:lvl w:ilvl="0">
      <w:lvlJc w:val="left"/>
      <w:lvlText w:val="•"/>
      <w:numFmt w:val="bullet"/>
      <w:start w:val="1"/>
    </w:lvl>
  </w:abstractNum>
  <w:abstractNum w:abstractNumId="227">
    <w:nsid w:val="2E5B12B8"/>
    <w:multiLevelType w:val="hybridMultilevel"/>
    <w:lvl w:ilvl="0">
      <w:lvlJc w:val="left"/>
      <w:lvlText w:val="•"/>
      <w:numFmt w:val="bullet"/>
      <w:start w:val="1"/>
    </w:lvl>
  </w:abstractNum>
  <w:abstractNum w:abstractNumId="228">
    <w:nsid w:val="5C03D76D"/>
    <w:multiLevelType w:val="hybridMultilevel"/>
    <w:lvl w:ilvl="0">
      <w:lvlJc w:val="left"/>
      <w:lvlText w:val="•"/>
      <w:numFmt w:val="bullet"/>
      <w:start w:val="1"/>
    </w:lvl>
  </w:abstractNum>
  <w:abstractNum w:abstractNumId="229">
    <w:nsid w:val="66A48D11"/>
    <w:multiLevelType w:val="hybridMultilevel"/>
    <w:lvl w:ilvl="0">
      <w:lvlJc w:val="left"/>
      <w:lvlText w:val="•"/>
      <w:numFmt w:val="bullet"/>
      <w:start w:val="1"/>
    </w:lvl>
  </w:abstractNum>
  <w:abstractNum w:abstractNumId="230">
    <w:nsid w:val="56C28E34"/>
    <w:multiLevelType w:val="hybridMultilevel"/>
    <w:lvl w:ilvl="0">
      <w:lvlJc w:val="left"/>
      <w:lvlText w:val="•"/>
      <w:numFmt w:val="bullet"/>
      <w:start w:val="1"/>
    </w:lvl>
  </w:abstractNum>
  <w:abstractNum w:abstractNumId="231">
    <w:nsid w:val="13916F2D"/>
    <w:multiLevelType w:val="hybridMultilevel"/>
    <w:lvl w:ilvl="0">
      <w:lvlJc w:val="left"/>
      <w:lvlText w:val="%1."/>
      <w:numFmt w:val="decimal"/>
      <w:start w:val="1"/>
    </w:lvl>
  </w:abstractNum>
  <w:abstractNum w:abstractNumId="232">
    <w:nsid w:val="435D38D"/>
    <w:multiLevelType w:val="hybridMultilevel"/>
    <w:lvl w:ilvl="0">
      <w:lvlJc w:val="left"/>
      <w:lvlText w:val="•"/>
      <w:numFmt w:val="bullet"/>
      <w:start w:val="1"/>
    </w:lvl>
  </w:abstractNum>
  <w:abstractNum w:abstractNumId="233">
    <w:nsid w:val="822C0EF"/>
    <w:multiLevelType w:val="hybridMultilevel"/>
    <w:lvl w:ilvl="0">
      <w:lvlJc w:val="left"/>
      <w:lvlText w:val="•"/>
      <w:numFmt w:val="bullet"/>
      <w:start w:val="1"/>
    </w:lvl>
  </w:abstractNum>
  <w:abstractNum w:abstractNumId="234">
    <w:nsid w:val="57C5BB4F"/>
    <w:multiLevelType w:val="hybridMultilevel"/>
    <w:lvl w:ilvl="0">
      <w:lvlJc w:val="left"/>
      <w:lvlText w:val="•"/>
      <w:numFmt w:val="bullet"/>
      <w:start w:val="1"/>
    </w:lvl>
  </w:abstractNum>
  <w:abstractNum w:abstractNumId="235">
    <w:nsid w:val="1803D089"/>
    <w:multiLevelType w:val="hybridMultilevel"/>
    <w:lvl w:ilvl="0">
      <w:lvlJc w:val="left"/>
      <w:lvlText w:val="•"/>
      <w:numFmt w:val="bullet"/>
      <w:start w:val="1"/>
    </w:lvl>
  </w:abstractNum>
  <w:abstractNum w:abstractNumId="236">
    <w:nsid w:val="4F3A06D4"/>
    <w:multiLevelType w:val="hybridMultilevel"/>
    <w:lvl w:ilvl="0">
      <w:lvlJc w:val="left"/>
      <w:lvlText w:val="•"/>
      <w:numFmt w:val="bullet"/>
      <w:start w:val="1"/>
    </w:lvl>
  </w:abstractNum>
  <w:abstractNum w:abstractNumId="237">
    <w:nsid w:val="59A377B6"/>
    <w:multiLevelType w:val="hybridMultilevel"/>
    <w:lvl w:ilvl="0">
      <w:lvlJc w:val="left"/>
      <w:lvlText w:val="•"/>
      <w:numFmt w:val="bullet"/>
      <w:start w:val="1"/>
    </w:lvl>
  </w:abstractNum>
  <w:abstractNum w:abstractNumId="238">
    <w:nsid w:val="48AEB063"/>
    <w:multiLevelType w:val="hybridMultilevel"/>
    <w:lvl w:ilvl="0">
      <w:lvlJc w:val="left"/>
      <w:lvlText w:val="•"/>
      <w:numFmt w:val="bullet"/>
      <w:start w:val="1"/>
    </w:lvl>
  </w:abstractNum>
  <w:abstractNum w:abstractNumId="239">
    <w:nsid w:val="24E135"/>
    <w:multiLevelType w:val="hybridMultilevel"/>
    <w:lvl w:ilvl="0">
      <w:lvlJc w:val="left"/>
      <w:lvlText w:val="(%1)"/>
      <w:numFmt w:val="lowerRoman"/>
      <w:start w:val="3"/>
    </w:lvl>
  </w:abstractNum>
  <w:abstractNum w:abstractNumId="240">
    <w:nsid w:val="BB13C1"/>
    <w:multiLevelType w:val="hybridMultilevel"/>
    <w:lvl w:ilvl="0">
      <w:lvlJc w:val="left"/>
      <w:lvlText w:val="•"/>
      <w:numFmt w:val="bullet"/>
      <w:start w:val="1"/>
    </w:lvl>
  </w:abstractNum>
  <w:abstractNum w:abstractNumId="241">
    <w:nsid w:val="271210C7"/>
    <w:multiLevelType w:val="hybridMultilevel"/>
    <w:lvl w:ilvl="0">
      <w:lvlJc w:val="left"/>
      <w:lvlText w:val="(%1)"/>
      <w:numFmt w:val="lowerLetter"/>
      <w:start w:val="1"/>
    </w:lvl>
    <w:lvl w:ilvl="1">
      <w:lvlJc w:val="left"/>
      <w:lvlText w:val="•"/>
      <w:numFmt w:val="bullet"/>
      <w:start w:val="1"/>
    </w:lvl>
  </w:abstractNum>
  <w:abstractNum w:abstractNumId="242">
    <w:nsid w:val="217B22E4"/>
    <w:multiLevelType w:val="hybridMultilevel"/>
    <w:lvl w:ilvl="0">
      <w:lvlJc w:val="left"/>
      <w:lvlText w:val="(%1)"/>
      <w:numFmt w:val="lowerLetter"/>
      <w:start w:val="6"/>
    </w:lvl>
  </w:abstractNum>
  <w:abstractNum w:abstractNumId="243">
    <w:nsid w:val="53E31A24"/>
    <w:multiLevelType w:val="hybridMultilevel"/>
    <w:lvl w:ilvl="0">
      <w:lvlJc w:val="left"/>
      <w:lvlText w:val="(%1)"/>
      <w:numFmt w:val="lowerLetter"/>
      <w:start w:val="27"/>
    </w:lvl>
  </w:abstractNum>
  <w:abstractNum w:abstractNumId="244">
    <w:nsid w:val="6DC45E83"/>
    <w:multiLevelType w:val="hybridMultilevel"/>
    <w:lvl w:ilvl="0">
      <w:lvlJc w:val="left"/>
      <w:lvlText w:val="(%1)"/>
      <w:numFmt w:val="lowerLetter"/>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jpe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jpeg"/><Relationship Id="rId322" Type="http://schemas.openxmlformats.org/officeDocument/2006/relationships/image" Target="media/image313.png"/><Relationship Id="rId323" Type="http://schemas.openxmlformats.org/officeDocument/2006/relationships/image" Target="media/image314.jpeg"/><Relationship Id="rId324" Type="http://schemas.openxmlformats.org/officeDocument/2006/relationships/image" Target="media/image315.png"/><Relationship Id="rId325" Type="http://schemas.openxmlformats.org/officeDocument/2006/relationships/image" Target="media/image316.jpeg"/><Relationship Id="rId326" Type="http://schemas.openxmlformats.org/officeDocument/2006/relationships/image" Target="media/image317.png"/><Relationship Id="rId327" Type="http://schemas.openxmlformats.org/officeDocument/2006/relationships/image" Target="media/image318.jpeg"/><Relationship Id="rId328" Type="http://schemas.openxmlformats.org/officeDocument/2006/relationships/image" Target="media/image319.png"/><Relationship Id="rId329" Type="http://schemas.openxmlformats.org/officeDocument/2006/relationships/image" Target="media/image320.jpe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71" Type="http://schemas.openxmlformats.org/officeDocument/2006/relationships/hyperlink" Target="http://www.sec.gov/Archives/edgar/data/1920294/000119312524167081/d309194df4a.htm#toc309194_35" TargetMode="External"/><Relationship Id="rId72" Type="http://schemas.openxmlformats.org/officeDocument/2006/relationships/hyperlink" Target="http://www.sec.gov/Archives/edgar/data/1920294/000119312524167081/d309194df4a.htm#toc309194_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2024-08-21T16:26:49Z</dcterms:created>
  <dcterms:modified xsi:type="dcterms:W3CDTF">2024-08-21T16:26:49Z</dcterms:modified>
</cp:coreProperties>
</file>