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30,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UNITED STATES</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tc>
      </w:tr>
      <w:tr>
        <w:trPr>
          <w:trHeight w:val="212"/>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Washington, D.C. 20549</w:t>
            </w:r>
          </w:p>
        </w:tc>
      </w:tr>
      <w:tr>
        <w:trPr>
          <w:trHeight w:val="355"/>
        </w:trPr>
        <w:tc>
          <w:tcPr>
            <w:tcW w:w="3160" w:type="dxa"/>
            <w:vAlign w:val="bottom"/>
          </w:tcPr>
          <w:p>
            <w:pPr>
              <w:spacing w:after="0"/>
              <w:rPr>
                <w:sz w:val="24"/>
                <w:szCs w:val="24"/>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w w:val="99"/>
              </w:rPr>
              <w:t>FORM F-3</w:t>
            </w:r>
          </w:p>
        </w:tc>
      </w:tr>
      <w:tr>
        <w:trPr>
          <w:trHeight w:val="201"/>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REGISTRATION STATEMENT</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i w:val="1"/>
                <w:iCs w:val="1"/>
                <w:color w:val="auto"/>
                <w:w w:val="99"/>
              </w:rPr>
              <w:t>UNDER</w:t>
            </w:r>
          </w:p>
        </w:tc>
      </w:tr>
      <w:tr>
        <w:trPr>
          <w:trHeight w:val="214"/>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119"/>
              <w:spacing w:after="0"/>
              <w:rPr>
                <w:sz w:val="20"/>
                <w:szCs w:val="20"/>
                <w:color w:val="auto"/>
              </w:rPr>
            </w:pPr>
            <w:r>
              <w:rPr>
                <w:rFonts w:ascii="Times New Roman" w:cs="Times New Roman" w:eastAsia="Times New Roman" w:hAnsi="Times New Roman"/>
                <w:sz w:val="16"/>
                <w:szCs w:val="16"/>
                <w:b w:val="1"/>
                <w:bCs w:val="1"/>
                <w:color w:val="auto"/>
              </w:rPr>
              <w:t>Rezolve AI plc</w:t>
            </w:r>
          </w:p>
        </w:tc>
      </w:tr>
      <w:tr>
        <w:trPr>
          <w:trHeight w:val="212"/>
        </w:trPr>
        <w:tc>
          <w:tcPr>
            <w:tcW w:w="3160" w:type="dxa"/>
            <w:vAlign w:val="bottom"/>
          </w:tcPr>
          <w:p>
            <w:pPr>
              <w:spacing w:after="0"/>
              <w:rPr>
                <w:sz w:val="18"/>
                <w:szCs w:val="18"/>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8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506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88"/>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06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6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4"/>
        </w:trPr>
        <w:tc>
          <w:tcPr>
            <w:tcW w:w="3160" w:type="dxa"/>
            <w:vAlign w:val="bottom"/>
          </w:tcPr>
          <w:p>
            <w:pPr>
              <w:spacing w:after="0"/>
              <w:rPr>
                <w:sz w:val="23"/>
                <w:szCs w:val="23"/>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21 Sackville Street</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London, W1S 3DN</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United Kingdom</w:t>
            </w:r>
          </w:p>
        </w:tc>
      </w:tr>
      <w:tr>
        <w:trPr>
          <w:trHeight w:val="204"/>
        </w:trPr>
        <w:tc>
          <w:tcPr>
            <w:tcW w:w="3160" w:type="dxa"/>
            <w:vAlign w:val="bottom"/>
          </w:tcPr>
          <w:p>
            <w:pPr>
              <w:spacing w:after="0"/>
              <w:rPr>
                <w:sz w:val="17"/>
                <w:szCs w:val="17"/>
                <w:color w:val="auto"/>
              </w:rPr>
            </w:pPr>
          </w:p>
        </w:tc>
        <w:tc>
          <w:tcPr>
            <w:tcW w:w="5060" w:type="dxa"/>
            <w:vAlign w:val="bottom"/>
          </w:tcPr>
          <w:p>
            <w:pPr>
              <w:jc w:val="right"/>
              <w:ind w:right="1859"/>
              <w:spacing w:after="0"/>
              <w:rPr>
                <w:sz w:val="20"/>
                <w:szCs w:val="20"/>
                <w:color w:val="auto"/>
              </w:rPr>
            </w:pPr>
            <w:r>
              <w:rPr>
                <w:rFonts w:ascii="Times New Roman" w:cs="Times New Roman" w:eastAsia="Times New Roman" w:hAnsi="Times New Roman"/>
                <w:sz w:val="16"/>
                <w:szCs w:val="16"/>
                <w:b w:val="1"/>
                <w:bCs w:val="1"/>
                <w:color w:val="auto"/>
              </w:rPr>
              <w:t>(+44 204 625 9700)</w:t>
            </w:r>
          </w:p>
        </w:tc>
        <w:tc>
          <w:tcPr>
            <w:tcW w:w="3020" w:type="dxa"/>
            <w:vAlign w:val="bottom"/>
          </w:tcPr>
          <w:p>
            <w:pPr>
              <w:spacing w:after="0"/>
              <w:rPr>
                <w:sz w:val="17"/>
                <w:szCs w:val="17"/>
                <w:color w:val="auto"/>
              </w:rPr>
            </w:pPr>
          </w:p>
        </w:tc>
      </w:tr>
      <w:tr>
        <w:trPr>
          <w:trHeight w:val="210"/>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color w:val="auto"/>
              </w:rPr>
              <w:t>(Address and telephone number of Registrant’s principal executive offices)</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Cogency Global Inc.</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122 East 42nd Street, 18th Floor</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New York, N.Y. 10016</w:t>
            </w:r>
          </w:p>
        </w:tc>
      </w:tr>
      <w:tr>
        <w:trPr>
          <w:trHeight w:val="204"/>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Tel: +1 (212) 947-7200</w:t>
            </w:r>
          </w:p>
        </w:tc>
      </w:tr>
      <w:tr>
        <w:trPr>
          <w:trHeight w:val="210"/>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color w:val="auto"/>
              </w:rPr>
              <w:t>(Name, address, and telephone number of agent for service)</w:t>
            </w:r>
          </w:p>
        </w:tc>
      </w:tr>
      <w:tr>
        <w:trPr>
          <w:trHeight w:val="284"/>
        </w:trPr>
        <w:tc>
          <w:tcPr>
            <w:tcW w:w="3160" w:type="dxa"/>
            <w:vAlign w:val="bottom"/>
          </w:tcPr>
          <w:p>
            <w:pPr>
              <w:spacing w:after="0"/>
              <w:rPr>
                <w:sz w:val="24"/>
                <w:szCs w:val="24"/>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Copies to:</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Gerry Williams</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Penny Minna</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DLA Piper LLP</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1201 W Peachtree St NE #2800</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Atlanta, GA 30309</w:t>
            </w:r>
          </w:p>
        </w:tc>
      </w:tr>
      <w:tr>
        <w:trPr>
          <w:trHeight w:val="212"/>
        </w:trPr>
        <w:tc>
          <w:tcPr>
            <w:tcW w:w="3160" w:type="dxa"/>
            <w:vAlign w:val="bottom"/>
          </w:tcPr>
          <w:p>
            <w:pPr>
              <w:spacing w:after="0"/>
              <w:rPr>
                <w:sz w:val="18"/>
                <w:szCs w:val="18"/>
                <w:color w:val="auto"/>
              </w:rPr>
            </w:pPr>
          </w:p>
        </w:tc>
        <w:tc>
          <w:tcPr>
            <w:tcW w:w="5060" w:type="dxa"/>
            <w:vAlign w:val="bottom"/>
          </w:tcPr>
          <w:p>
            <w:pPr>
              <w:jc w:val="right"/>
              <w:ind w:right="1999"/>
              <w:spacing w:after="0"/>
              <w:rPr>
                <w:sz w:val="20"/>
                <w:szCs w:val="20"/>
                <w:color w:val="auto"/>
              </w:rPr>
            </w:pPr>
            <w:r>
              <w:rPr>
                <w:rFonts w:ascii="Times New Roman" w:cs="Times New Roman" w:eastAsia="Times New Roman" w:hAnsi="Times New Roman"/>
                <w:sz w:val="16"/>
                <w:szCs w:val="16"/>
                <w:b w:val="1"/>
                <w:bCs w:val="1"/>
                <w:color w:val="auto"/>
              </w:rPr>
              <w:t>(404) 736-7800</w:t>
            </w:r>
          </w:p>
        </w:tc>
        <w:tc>
          <w:tcPr>
            <w:tcW w:w="3020" w:type="dxa"/>
            <w:vAlign w:val="bottom"/>
          </w:tcPr>
          <w:p>
            <w:pPr>
              <w:spacing w:after="0"/>
              <w:rPr>
                <w:sz w:val="18"/>
                <w:szCs w:val="18"/>
                <w:color w:val="auto"/>
              </w:rPr>
            </w:pPr>
          </w:p>
        </w:tc>
      </w:tr>
    </w:tbl>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 As soon as practicable after this Registration Statement becomes effective.</w:t>
      </w:r>
    </w:p>
    <w:p>
      <w:pPr>
        <w:spacing w:after="0" w:line="6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right="3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right="8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I.C. or a post-effective amendment thereto that shall become effective upon filing with the Commission pursuant to </w:t>
      </w:r>
      <w:r>
        <w:rPr>
          <w:rFonts w:ascii="Times New Roman" w:cs="Times New Roman" w:eastAsia="Times New Roman" w:hAnsi="Times New Roman"/>
          <w:sz w:val="16"/>
          <w:szCs w:val="16"/>
          <w:u w:val="single" w:color="auto"/>
          <w:color w:val="auto"/>
        </w:rPr>
        <w:t>Rule 462</w:t>
      </w:r>
      <w:r>
        <w:rPr>
          <w:rFonts w:ascii="Times New Roman" w:cs="Times New Roman" w:eastAsia="Times New Roman" w:hAnsi="Times New Roman"/>
          <w:sz w:val="16"/>
          <w:szCs w:val="16"/>
          <w:color w:val="auto"/>
        </w:rPr>
        <w:t xml:space="preserve">(e) under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xml:space="preserve">,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116" w:lineRule="exact"/>
        <w:rPr>
          <w:sz w:val="24"/>
          <w:szCs w:val="24"/>
          <w:color w:val="auto"/>
        </w:rPr>
      </w:pPr>
    </w:p>
    <w:p>
      <w:pPr>
        <w:ind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46"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9601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 w:name="page2"/>
    <w:bookmarkEnd w:id="1"/>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SUBJECT TO COMPLETION, DATED SEPTEMBER 30,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PRELIMINARY PROSPECTUS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37,000,000 Ordinary Shares </w:t>
      </w:r>
      <w:r>
        <w:rPr>
          <w:rFonts w:ascii="Times New Roman" w:cs="Times New Roman" w:eastAsia="Times New Roman" w:hAnsi="Times New Roman"/>
          <w:sz w:val="18"/>
          <w:szCs w:val="18"/>
          <w:b w:val="1"/>
          <w:bCs w:val="1"/>
          <w:i w:val="1"/>
          <w:iCs w:val="1"/>
          <w:color w:val="auto"/>
        </w:rPr>
        <w:t>(for resale)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 holders named herein (the “Selling Holders”) of an aggregate of up to 37,000,000 Ordinary Shares issued or issuable to the Selling Holders in connection with the PIPE Financing (as defined herein).</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11.5%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in connection with the preparation of this prospectus and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Ordinary Shares and the Public Warrants (as defined herein) are traded on The Nasdaq Stock Market LLC (“Nasdaq”) under the symbols “RZLV" and "RZLVW." On September 29, 2025, the closing price of the Ordinary Shares and Public Warrants was $5.24 per share and $1.9699 per warrant,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8 and in any applicable prospectus supplement.</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506"/>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40" w:type="dxa"/>
            <w:vAlign w:val="bottom"/>
            <w:gridSpan w:val="7"/>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40" w:type="dxa"/>
            <w:vAlign w:val="bottom"/>
          </w:tcPr>
          <w:p>
            <w:pPr>
              <w:spacing w:after="0"/>
              <w:rPr>
                <w:sz w:val="20"/>
                <w:szCs w:val="20"/>
                <w:color w:val="auto"/>
              </w:rPr>
            </w:pPr>
          </w:p>
        </w:tc>
      </w:tr>
      <w:tr>
        <w:trPr>
          <w:trHeight w:val="391"/>
        </w:trPr>
        <w:tc>
          <w:tcPr>
            <w:tcW w:w="1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EXPLANATORY NOTE</w:t>
            </w:r>
          </w:p>
        </w:tc>
        <w:tc>
          <w:tcPr>
            <w:tcW w:w="7400" w:type="dxa"/>
            <w:vAlign w:val="bottom"/>
            <w:gridSpan w:val="15"/>
          </w:tcPr>
          <w:p>
            <w:pPr>
              <w:spacing w:after="0"/>
              <w:rPr>
                <w:sz w:val="24"/>
                <w:szCs w:val="24"/>
                <w:color w:val="auto"/>
              </w:rPr>
            </w:pPr>
          </w:p>
        </w:tc>
        <w:tc>
          <w:tcPr>
            <w:tcW w:w="1940" w:type="dxa"/>
            <w:vAlign w:val="bottom"/>
          </w:tcPr>
          <w:p>
            <w:pPr>
              <w:spacing w:after="0"/>
              <w:rPr>
                <w:sz w:val="24"/>
                <w:szCs w:val="24"/>
                <w:color w:val="auto"/>
              </w:rPr>
            </w:pPr>
          </w:p>
        </w:tc>
      </w:tr>
      <w:tr>
        <w:trPr>
          <w:trHeight w:val="196"/>
        </w:trPr>
        <w:tc>
          <w:tcPr>
            <w:tcW w:w="22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7020" w:type="dxa"/>
            <w:vAlign w:val="bottom"/>
            <w:gridSpan w:val="1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7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6560" w:type="dxa"/>
            <w:vAlign w:val="bottom"/>
            <w:gridSpan w:val="1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586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3400" w:type="dxa"/>
            <w:vAlign w:val="bottom"/>
            <w:gridSpan w:val="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21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7160" w:type="dxa"/>
            <w:vAlign w:val="bottom"/>
            <w:gridSpan w:val="1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THE OFFERING</w:t>
            </w:r>
          </w:p>
        </w:tc>
        <w:tc>
          <w:tcPr>
            <w:tcW w:w="7980" w:type="dxa"/>
            <w:vAlign w:val="bottom"/>
            <w:gridSpan w:val="2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766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5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7680" w:type="dxa"/>
            <w:vAlign w:val="bottom"/>
            <w:gridSpan w:val="1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5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7760" w:type="dxa"/>
            <w:vAlign w:val="bottom"/>
            <w:gridSpan w:val="1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66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FINANCIAL INFORMATION</w:t>
            </w:r>
          </w:p>
        </w:tc>
        <w:tc>
          <w:tcPr>
            <w:tcW w:w="2660" w:type="dxa"/>
            <w:vAlign w:val="bottom"/>
            <w:gridSpan w:val="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578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BALANCE SHEET</w:t>
            </w:r>
          </w:p>
        </w:tc>
        <w:tc>
          <w:tcPr>
            <w:tcW w:w="348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684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STATEMENT OF OPERATIONS</w:t>
            </w:r>
          </w:p>
        </w:tc>
        <w:tc>
          <w:tcPr>
            <w:tcW w:w="2420" w:type="dxa"/>
            <w:vAlign w:val="bottom"/>
            <w:gridSpan w:val="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PRO FORMA CONDENSED COMBINED FINANCIAL INFORMATION</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7500" w:type="dxa"/>
            <w:vAlign w:val="bottom"/>
            <w:tcBorders>
              <w:top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176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250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6760" w:type="dxa"/>
            <w:vAlign w:val="bottom"/>
            <w:gridSpan w:val="1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EXPENSES</w:t>
            </w:r>
          </w:p>
        </w:tc>
        <w:tc>
          <w:tcPr>
            <w:tcW w:w="1160" w:type="dxa"/>
            <w:vAlign w:val="bottom"/>
            <w:tcBorders>
              <w:top w:val="single" w:sz="8" w:color="0000FF"/>
            </w:tcBorders>
            <w:gridSpan w:val="11"/>
          </w:tcPr>
          <w:p>
            <w:pPr>
              <w:spacing w:after="0"/>
              <w:rPr>
                <w:sz w:val="17"/>
                <w:szCs w:val="17"/>
                <w:color w:val="auto"/>
              </w:rPr>
            </w:pPr>
          </w:p>
        </w:tc>
        <w:tc>
          <w:tcPr>
            <w:tcW w:w="7200" w:type="dxa"/>
            <w:vAlign w:val="bottom"/>
            <w:gridSpan w:val="1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32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980" w:type="dxa"/>
            <w:vAlign w:val="bottom"/>
            <w:gridSpan w:val="9"/>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4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7780" w:type="dxa"/>
            <w:vAlign w:val="bottom"/>
            <w:gridSpan w:val="2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720" w:type="dxa"/>
            <w:vAlign w:val="bottom"/>
            <w:gridSpan w:val="1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8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5420" w:type="dxa"/>
            <w:vAlign w:val="bottom"/>
            <w:gridSpan w:val="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524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INFORMATION NOT REQUIRED IN PROSPECTUS</w:t>
            </w:r>
          </w:p>
        </w:tc>
        <w:tc>
          <w:tcPr>
            <w:tcW w:w="4020" w:type="dxa"/>
            <w:vAlign w:val="bottom"/>
            <w:gridSpan w:val="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402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240" w:type="dxa"/>
            <w:vAlign w:val="bottom"/>
            <w:gridSpan w:val="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SEC using a “shelf’ registration process. Under this shelf registration process, the Selling Holders may, from time to time, issue, offer and sell, as applicable, any combination of the securities described in this prospectus in one or more offerings. The Selling Holders may use the shelf registration statement to sell up to an aggregate of 37,000,000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Any document incorporated by reference in this prospectus and any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or incorporated by reference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Bluedot Acquisition</w:t>
      </w:r>
      <w:r>
        <w:rPr>
          <w:rFonts w:ascii="Times New Roman" w:cs="Times New Roman" w:eastAsia="Times New Roman" w:hAnsi="Times New Roman"/>
          <w:sz w:val="18"/>
          <w:szCs w:val="18"/>
          <w:color w:val="auto"/>
        </w:rPr>
        <w:t>" means the acquisition by the Company of the entire issued and to be issued share capital of each Bluedot Industries, Inc., Bluedot Industries Pty. Ltd. and Bluedot Innovation Pty. Ltd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Groupby Acquisition</w:t>
      </w:r>
      <w:r>
        <w:rPr>
          <w:rFonts w:ascii="Times New Roman" w:cs="Times New Roman" w:eastAsia="Times New Roman" w:hAnsi="Times New Roman"/>
          <w:sz w:val="18"/>
          <w:szCs w:val="18"/>
          <w:color w:val="auto"/>
        </w:rPr>
        <w:t>" means the acquisition by the Company of the entire issued and to be issued share capital of each of GroupBy Inc., GroupBy International Ltd., GroupBy USA Inc., and GroupBy UK Ltd.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4" w:right="41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6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Q3 of 2025, initially in Europe and the U.S.A. Revenues from brain commerce are also forecast to begin in Q3 2025, increasing significantly in Q4 2025. We also expect to generate revenues in Q4 2025 in South America and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12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On September 24, 2025, Rezolve entered into certain securities purchase agreements (the "Purchase Agreements") with certain Selling Holders (the "Purchasers"), pursuant to which Rezolve agreed to sell and issue to the Selling Holders 37,000,000 Ordinary Shares (the "PIPE Shares") in a private placement at an offering price of $5.40 per share (the "PIPE Financing").</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Concurrently with the Purchase Agreements, on September 24, 2025, Rezolve and the Purchasers entered into a Registration Rights Agreement (the “Registration Rights Agreement”). In accordance with Rezolve's obligations under the Registration Rights Agreement, among other things, Rezolve has filed the registration statement of which this prospectus forms a part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10" w:lineRule="exact"/>
        <w:rPr>
          <w:sz w:val="20"/>
          <w:szCs w:val="20"/>
          <w:color w:val="auto"/>
        </w:rPr>
      </w:pPr>
    </w:p>
    <w:p>
      <w:pPr>
        <w:ind w:right="440" w:firstLine="8"/>
        <w:spacing w:after="0" w:line="223" w:lineRule="auto"/>
        <w:tabs>
          <w:tab w:leader="none" w:pos="105"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ind w:right="180"/>
        <w:spacing w:after="0" w:line="266" w:lineRule="auto"/>
        <w:rPr>
          <w:sz w:val="20"/>
          <w:szCs w:val="20"/>
          <w:color w:val="auto"/>
        </w:rPr>
      </w:pPr>
      <w:r>
        <w:rPr>
          <w:rFonts w:ascii="Times New Roman" w:cs="Times New Roman" w:eastAsia="Times New Roman" w:hAnsi="Times New Roman"/>
          <w:sz w:val="18"/>
          <w:szCs w:val="18"/>
          <w:color w:val="auto"/>
        </w:rPr>
        <w:t>On September 25, 2025, the PIPE Financing closed and Rezolve received aggregate gross proceeds of approximately $200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Acquisition Corp. II,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 w:name="page9"/>
    <w:bookmarkEnd w:id="8"/>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9" w:name="page10"/>
    <w:bookmarkEnd w:id="9"/>
    <w:p>
      <w:pPr>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0" w:name="page11"/>
    <w:bookmarkEnd w:id="10"/>
    <w:p>
      <w:pPr>
        <w:ind w:left="503" w:right="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60" w:hanging="5063"/>
        <w:spacing w:after="0" w:line="407" w:lineRule="auto"/>
        <w:tabs>
          <w:tab w:leader="none" w:pos="5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37,000,000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8 of this prospectus.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as of September 30, 2025 and does not give effect to issuances of Ordinary Shares after such date.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ectPr>
          <w:pgSz w:w="11900" w:h="16838" w:orient="portrait"/>
          <w:cols w:equalWidth="0" w:num="1">
            <w:col w:w="11180"/>
          </w:cols>
          <w:pgMar w:left="320" w:top="1008" w:right="399" w:bottom="1440" w:gutter="0" w:footer="0" w:header="0"/>
        </w:sectPr>
      </w:pPr>
    </w:p>
    <w:p>
      <w:pPr>
        <w:spacing w:after="0" w:line="22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Ordinary Shares offered by the Selling Holders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right="440"/>
        <w:spacing w:after="0" w:line="282" w:lineRule="auto"/>
        <w:rPr>
          <w:sz w:val="20"/>
          <w:szCs w:val="20"/>
          <w:color w:val="auto"/>
        </w:rPr>
      </w:pPr>
      <w:r>
        <w:rPr>
          <w:rFonts w:ascii="Times New Roman" w:cs="Times New Roman" w:eastAsia="Times New Roman" w:hAnsi="Times New Roman"/>
          <w:sz w:val="18"/>
          <w:szCs w:val="18"/>
          <w:color w:val="auto"/>
        </w:rPr>
        <w:t>Nasdaq symbol for our Ordinary Shares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37,000,000 Ordinary Shares issued in connection with the PIPE Financing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to be offered by the Selling Holders.</w:t>
      </w:r>
    </w:p>
    <w:p>
      <w:pPr>
        <w:spacing w:after="0" w:line="22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8 of this prospectus and other information included in this prospectus for a discussion of factors that you should consider carefully before deciding to invest in Ordinary Shares and Warrants.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t>
      </w:r>
    </w:p>
    <w:p>
      <w:pPr>
        <w:spacing w:after="0" w:line="479" w:lineRule="exact"/>
        <w:rPr>
          <w:sz w:val="20"/>
          <w:szCs w:val="20"/>
          <w:color w:val="auto"/>
        </w:rPr>
      </w:pPr>
    </w:p>
    <w:p>
      <w:pPr>
        <w:sectPr>
          <w:pgSz w:w="11900" w:h="16838" w:orient="portrait"/>
          <w:cols w:equalWidth="0" w:num="2">
            <w:col w:w="2800" w:space="260"/>
            <w:col w:w="8120"/>
          </w:cols>
          <w:pgMar w:left="320" w:top="1008" w:right="399" w:bottom="1440" w:gutter="0" w:footer="0" w:header="0"/>
          <w:type w:val="continuous"/>
        </w:sectPr>
      </w:pPr>
    </w:p>
    <w:p>
      <w:pPr>
        <w:spacing w:after="0" w:line="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type w:val="continuous"/>
        </w:sectPr>
      </w:pPr>
    </w:p>
    <w:bookmarkStart w:id="12" w:name="page13"/>
    <w:bookmarkEnd w:id="1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the following risks, as revised or supplemented by our reports subsequently filed after the date hereof with the Commission and incorporated by reference in this prospectus, together with the financial and other information we include or incorporate by reference in this prospectus, before you decide to purchase our securities. If any of the following risks actually occur, our business, financial condition and operating results could be materially and adversely affected. In that case, the market price of our securities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020" w:right="6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13" w:name="page14"/>
    <w:bookmarkEnd w:id="13"/>
    <w:p>
      <w:pPr>
        <w:ind w:right="60"/>
        <w:spacing w:after="0" w:line="266" w:lineRule="auto"/>
        <w:rPr>
          <w:sz w:val="20"/>
          <w:szCs w:val="20"/>
          <w:color w:val="auto"/>
        </w:rPr>
      </w:pPr>
      <w:r>
        <w:rPr>
          <w:rFonts w:ascii="Times New Roman" w:cs="Times New Roman" w:eastAsia="Times New Roman" w:hAnsi="Times New Roman"/>
          <w:sz w:val="18"/>
          <w:szCs w:val="18"/>
          <w:color w:val="auto"/>
        </w:rPr>
        <w:t>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t>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3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6" w:name="page17"/>
    <w:bookmarkEnd w:id="16"/>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7" w:name="page18"/>
    <w:bookmarkEnd w:id="17"/>
    <w:p>
      <w:pPr>
        <w:ind w:right="80"/>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9" w:name="page20"/>
    <w:bookmarkEnd w:id="19"/>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0" w:name="page21"/>
    <w:bookmarkEnd w:id="20"/>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3" w:name="page24"/>
    <w:bookmarkEnd w:id="23"/>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4" w:name="page25"/>
    <w:bookmarkEnd w:id="24"/>
    <w:p>
      <w:pPr>
        <w:spacing w:after="0" w:line="253" w:lineRule="auto"/>
        <w:rPr>
          <w:sz w:val="20"/>
          <w:szCs w:val="20"/>
          <w:color w:val="auto"/>
        </w:rPr>
      </w:pPr>
      <w:r>
        <w:rPr>
          <w:rFonts w:ascii="Times New Roman" w:cs="Times New Roman" w:eastAsia="Times New Roman" w:hAnsi="Times New Roman"/>
          <w:sz w:val="18"/>
          <w:szCs w:val="18"/>
          <w:color w:val="auto"/>
        </w:rPr>
        <w:t>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6" w:name="page27"/>
    <w:bookmarkEnd w:id="26"/>
    <w:p>
      <w:pPr>
        <w:ind w:right="60"/>
        <w:spacing w:after="0" w:line="256" w:lineRule="auto"/>
        <w:rPr>
          <w:sz w:val="20"/>
          <w:szCs w:val="20"/>
          <w:color w:val="auto"/>
        </w:rPr>
      </w:pPr>
      <w:r>
        <w:rPr>
          <w:rFonts w:ascii="Times New Roman" w:cs="Times New Roman" w:eastAsia="Times New Roman" w:hAnsi="Times New Roman"/>
          <w:sz w:val="18"/>
          <w:szCs w:val="18"/>
          <w:color w:val="auto"/>
        </w:rPr>
        <w:t>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ind w:right="280"/>
        <w:spacing w:after="0" w:line="282" w:lineRule="auto"/>
        <w:rPr>
          <w:sz w:val="20"/>
          <w:szCs w:val="20"/>
          <w:color w:val="auto"/>
        </w:rPr>
      </w:pPr>
      <w:r>
        <w:rPr>
          <w:rFonts w:ascii="Times New Roman" w:cs="Times New Roman" w:eastAsia="Times New Roman" w:hAnsi="Times New Roman"/>
          <w:sz w:val="18"/>
          <w:szCs w:val="18"/>
          <w:color w:val="auto"/>
        </w:rPr>
        <w:t>licenses for open-source software, Rezolve may lose the right to continue to use and exploit such open-source software in connection with its operations and solutions, which could disrupt and adversely affect its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For example, Rezolve has been notified that a civil complaint was filed against the Company and Daniel Wagner in the Supreme Court of the State of New York, New York County, by JBAAM Special Opportunities Fund II LLC and YA II PN, Ltd., in connection with the parties’ securities purchase agreement dated February 21, 2025. Efforts to defend against such claims may entail significant costs and harm Rezolve’s reputation, all of which could adversely affect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9" w:name="page30"/>
    <w:bookmarkEnd w:id="29"/>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30" w:name="page31"/>
    <w:bookmarkEnd w:id="30"/>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 (i) the last day of the fiscal year (A) following the fifth anniversary of the closing of the IPO of Armada Acquisition Corp. II,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1" w:name="page32"/>
    <w:bookmarkEnd w:id="31"/>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(including, for taxable years beginning before January 1, 2026,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2" w:name="page33"/>
    <w:bookmarkEnd w:id="32"/>
    <w:p>
      <w:pPr>
        <w:spacing w:after="0" w:line="254" w:lineRule="auto"/>
        <w:rPr>
          <w:sz w:val="20"/>
          <w:szCs w:val="20"/>
          <w:color w:val="auto"/>
        </w:rPr>
      </w:pPr>
      <w:r>
        <w:rPr>
          <w:rFonts w:ascii="Times New Roman" w:cs="Times New Roman" w:eastAsia="Times New Roman" w:hAnsi="Times New Roman"/>
          <w:sz w:val="18"/>
          <w:szCs w:val="18"/>
          <w:color w:val="auto"/>
        </w:rPr>
        <w:t>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2025.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“Material Tax Considerations - Material U.S. Federal Income Tax Considerations”). Prospective U.S. holders should consult their tax advisors regarding the potential application of the PFIC rules to them.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181818"/>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2024:</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Bluedot Acquisition and the GroupBy Acquisition; (ii) the private placement of 20,000,000 Ordinary Shares for aggregate gross proceeds of approximately $50 million, before deducting placement agent fees and other offering expenses, and (iii) the PIPE Financing for aggregate gross proceeds of approximately $200 million, before deducting placement agent fees and other offering expenses, as if such events had occurred on December 31, 2024.</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and the other financial information included or incorporated by reference into this prospectus. Our historical results do not necessarily indicate our expected results for any future periods.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3"/>
        </w:trPr>
        <w:tc>
          <w:tcPr>
            <w:tcW w:w="5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862"/>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25"/>
        </w:trPr>
        <w:tc>
          <w:tcPr>
            <w:tcW w:w="5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right"/>
              <w:ind w:right="502"/>
              <w:spacing w:after="0" w:line="125" w:lineRule="exact"/>
              <w:rPr>
                <w:sz w:val="20"/>
                <w:szCs w:val="20"/>
                <w:color w:val="auto"/>
              </w:rPr>
            </w:pPr>
            <w:r>
              <w:rPr>
                <w:rFonts w:ascii="Times New Roman" w:cs="Times New Roman" w:eastAsia="Times New Roman" w:hAnsi="Times New Roman"/>
                <w:sz w:val="12"/>
                <w:szCs w:val="12"/>
                <w:b w:val="1"/>
                <w:bCs w:val="1"/>
                <w:color w:val="auto"/>
              </w:rPr>
              <w:t>Actual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2"/>
                <w:szCs w:val="12"/>
                <w:b w:val="1"/>
                <w:bCs w:val="1"/>
                <w:color w:val="auto"/>
                <w:w w:val="97"/>
              </w:rPr>
              <w:t>Groupby &amp; Bluedot</w:t>
            </w: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66"/>
        </w:trPr>
        <w:tc>
          <w:tcPr>
            <w:tcW w:w="5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(Audited)</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Acquisitions</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PIPE funding</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w w:val="97"/>
              </w:rPr>
              <w:t>Proforma (Unaudited)</w:t>
            </w:r>
          </w:p>
        </w:tc>
      </w:tr>
      <w:tr>
        <w:trPr>
          <w:trHeight w:val="135"/>
        </w:trPr>
        <w:tc>
          <w:tcPr>
            <w:tcW w:w="57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9,450,944</w:t>
            </w:r>
          </w:p>
        </w:tc>
        <w:tc>
          <w:tcPr>
            <w:tcW w:w="1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6,760,931</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235,027,000</w:t>
            </w:r>
          </w:p>
        </w:tc>
        <w:tc>
          <w:tcPr>
            <w:tcW w:w="420" w:type="dxa"/>
            <w:vAlign w:val="bottom"/>
            <w:gridSpan w:val="2"/>
            <w:shd w:val="clear" w:color="auto" w:fill="CFF0FC"/>
          </w:tcPr>
          <w:p>
            <w:pPr>
              <w:jc w:val="right"/>
              <w:ind w:right="182"/>
              <w:spacing w:after="0" w:line="135"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251,238,875</w:t>
            </w:r>
          </w:p>
        </w:tc>
      </w:tr>
      <w:tr>
        <w:trPr>
          <w:trHeight w:val="135"/>
        </w:trPr>
        <w:tc>
          <w:tcPr>
            <w:tcW w:w="578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27"/>
        </w:trPr>
        <w:tc>
          <w:tcPr>
            <w:tcW w:w="578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Ordinary shares, £0.0001 nominal value 208,260,754 shares issued and outstanding as of December 31, 2024;</w:t>
            </w:r>
          </w:p>
        </w:tc>
        <w:tc>
          <w:tcPr>
            <w:tcW w:w="2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4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256,365,817 shares authorized as of December 31, 2024</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26,816</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1,978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6,380</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35,174</w:t>
            </w:r>
          </w:p>
        </w:tc>
      </w:tr>
      <w:tr>
        <w:trPr>
          <w:trHeight w:val="135"/>
        </w:trPr>
        <w:tc>
          <w:tcPr>
            <w:tcW w:w="57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Additional paid-in capital</w:t>
            </w:r>
          </w:p>
        </w:tc>
        <w:tc>
          <w:tcPr>
            <w:tcW w:w="220" w:type="dxa"/>
            <w:vAlign w:val="bottom"/>
          </w:tcPr>
          <w:p>
            <w:pPr>
              <w:spacing w:after="0"/>
              <w:rPr>
                <w:sz w:val="11"/>
                <w:szCs w:val="11"/>
                <w:color w:val="auto"/>
              </w:rPr>
            </w:pPr>
          </w:p>
        </w:tc>
        <w:tc>
          <w:tcPr>
            <w:tcW w:w="110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194,062,767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18,181,663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235,020,620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447,265,050</w:t>
            </w:r>
          </w:p>
        </w:tc>
      </w:tr>
      <w:tr>
        <w:trPr>
          <w:trHeight w:val="135"/>
        </w:trPr>
        <w:tc>
          <w:tcPr>
            <w:tcW w:w="57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Stock subscription receivable</w:t>
            </w:r>
          </w:p>
        </w:tc>
        <w:tc>
          <w:tcPr>
            <w:tcW w:w="2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(80)</w:t>
            </w:r>
          </w:p>
        </w:tc>
      </w:tr>
      <w:tr>
        <w:trPr>
          <w:trHeight w:val="135"/>
        </w:trPr>
        <w:tc>
          <w:tcPr>
            <w:tcW w:w="57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Accumulated deficit</w:t>
            </w:r>
          </w:p>
        </w:tc>
        <w:tc>
          <w:tcPr>
            <w:tcW w:w="220" w:type="dxa"/>
            <w:vAlign w:val="bottom"/>
          </w:tcPr>
          <w:p>
            <w:pPr>
              <w:spacing w:after="0"/>
              <w:rPr>
                <w:sz w:val="11"/>
                <w:szCs w:val="11"/>
                <w:color w:val="auto"/>
              </w:rPr>
            </w:pPr>
          </w:p>
        </w:tc>
        <w:tc>
          <w:tcPr>
            <w:tcW w:w="110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(232,075,815)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(12,262,770)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(244,338,585)</w:t>
            </w:r>
          </w:p>
        </w:tc>
      </w:tr>
      <w:tr>
        <w:trPr>
          <w:trHeight w:val="135"/>
        </w:trPr>
        <w:tc>
          <w:tcPr>
            <w:tcW w:w="578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220" w:type="dxa"/>
            <w:vAlign w:val="bottom"/>
            <w:tcBorders>
              <w:bottom w:val="single" w:sz="8" w:color="auto"/>
            </w:tcBorders>
            <w:shd w:val="clear" w:color="auto" w:fill="CFF0FC"/>
          </w:tcPr>
          <w:p>
            <w:pPr>
              <w:spacing w:after="0"/>
              <w:rPr>
                <w:sz w:val="11"/>
                <w:szCs w:val="11"/>
                <w:color w:val="auto"/>
              </w:rPr>
            </w:pPr>
          </w:p>
        </w:tc>
        <w:tc>
          <w:tcPr>
            <w:tcW w:w="1100" w:type="dxa"/>
            <w:vAlign w:val="bottom"/>
            <w:tcBorders>
              <w:bottom w:val="single" w:sz="8" w:color="auto"/>
            </w:tcBorders>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(10,270)</w:t>
            </w:r>
          </w:p>
        </w:tc>
      </w:tr>
      <w:tr>
        <w:trPr>
          <w:trHeight w:val="128"/>
        </w:trPr>
        <w:tc>
          <w:tcPr>
            <w:tcW w:w="578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shareholders' equity (deficit)</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5,920,871</w:t>
            </w:r>
          </w:p>
        </w:tc>
        <w:tc>
          <w:tcPr>
            <w:tcW w:w="100" w:type="dxa"/>
            <w:vAlign w:val="bottom"/>
          </w:tcPr>
          <w:p>
            <w:pPr>
              <w:spacing w:after="0"/>
              <w:rPr>
                <w:sz w:val="11"/>
                <w:szCs w:val="11"/>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235,027,000</w:t>
            </w:r>
          </w:p>
        </w:tc>
        <w:tc>
          <w:tcPr>
            <w:tcW w:w="420" w:type="dxa"/>
            <w:vAlign w:val="bottom"/>
            <w:gridSpan w:val="2"/>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202,951,289</w:t>
            </w:r>
          </w:p>
        </w:tc>
      </w:tr>
      <w:tr>
        <w:trPr>
          <w:trHeight w:val="20"/>
        </w:trPr>
        <w:tc>
          <w:tcPr>
            <w:tcW w:w="5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148"/>
        </w:trPr>
        <w:tc>
          <w:tcPr>
            <w:tcW w:w="57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capitalization</w:t>
            </w: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5,920,871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235,027,000</w:t>
            </w:r>
          </w:p>
        </w:tc>
        <w:tc>
          <w:tcPr>
            <w:tcW w:w="420" w:type="dxa"/>
            <w:vAlign w:val="bottom"/>
            <w:gridSpan w:val="2"/>
            <w:shd w:val="clear" w:color="auto" w:fill="CFF0FC"/>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202,951,289</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-213995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-213995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-213995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5" w:name="page36"/>
    <w:bookmarkEnd w:id="35"/>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 director of DBLP and the Company. Prior to his death, DBLP was beneficially owned by John Wagner, a former director of Rezolve.</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 and Bluedot Innovation Pty. Ltd, together “Bluedot”, is a developer of mobile location technology to enhance customer experiences.</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acquisition of Bluedot and issued the above mentioned ordinary shares as consideration to DBLP and the Tanist Group,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spacing w:after="0" w:line="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8" w:right="459" w:bottom="1440" w:gutter="0" w:footer="0" w:header="0"/>
        </w:sectPr>
      </w:pPr>
    </w:p>
    <w:bookmarkStart w:id="36" w:name="page37"/>
    <w:bookmarkEnd w:id="36"/>
    <w:p>
      <w:pPr>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consolidated results of operations of Rezolve would have been had the Bluedot acquisition and the 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8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w:t>
      </w:r>
    </w:p>
    <w:p>
      <w:pPr>
        <w:spacing w:after="0" w:line="117" w:lineRule="exact"/>
        <w:rPr>
          <w:sz w:val="20"/>
          <w:szCs w:val="20"/>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Rezolve as of, and for the years ended, December 31, 2024 and 2023, included elsewhere in this prospectus;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included elsewhere in this prospectus;</w:t>
      </w:r>
    </w:p>
    <w:p>
      <w:pPr>
        <w:spacing w:after="0" w:line="51"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included elsewhere in this prospectus.</w:t>
      </w:r>
    </w:p>
    <w:p>
      <w:pPr>
        <w:spacing w:after="0" w:line="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5"/>
          <w:szCs w:val="15"/>
          <w:b w:val="1"/>
          <w:bCs w:val="1"/>
          <w:color w:val="auto"/>
        </w:rPr>
        <w:t>REZOLVE AI plc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Proforma Combined</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162"/>
              <w:spacing w:after="0" w:line="125" w:lineRule="exact"/>
              <w:rPr>
                <w:sz w:val="20"/>
                <w:szCs w:val="20"/>
                <w:color w:val="auto"/>
              </w:rPr>
            </w:pPr>
            <w:r>
              <w:rPr>
                <w:rFonts w:ascii="Times New Roman" w:cs="Times New Roman" w:eastAsia="Times New Roman" w:hAnsi="Times New Roman"/>
                <w:sz w:val="12"/>
                <w:szCs w:val="12"/>
                <w:b w:val="1"/>
                <w:bCs w:val="1"/>
                <w:color w:val="auto"/>
                <w:w w:val="99"/>
              </w:rPr>
              <w:t>Rezolve AI plc</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202"/>
              <w:spacing w:after="0" w:line="125" w:lineRule="exact"/>
              <w:rPr>
                <w:sz w:val="20"/>
                <w:szCs w:val="20"/>
                <w:color w:val="auto"/>
              </w:rPr>
            </w:pPr>
            <w:r>
              <w:rPr>
                <w:rFonts w:ascii="Times New Roman" w:cs="Times New Roman" w:eastAsia="Times New Roman" w:hAnsi="Times New Roman"/>
                <w:sz w:val="12"/>
                <w:szCs w:val="12"/>
                <w:b w:val="1"/>
                <w:bCs w:val="1"/>
                <w:color w:val="auto"/>
                <w:w w:val="94"/>
              </w:rPr>
              <w:t>Bluedot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182"/>
              <w:spacing w:after="0" w:line="125" w:lineRule="exact"/>
              <w:rPr>
                <w:sz w:val="20"/>
                <w:szCs w:val="20"/>
                <w:color w:val="auto"/>
              </w:rPr>
            </w:pPr>
            <w:r>
              <w:rPr>
                <w:rFonts w:ascii="Times New Roman" w:cs="Times New Roman" w:eastAsia="Times New Roman" w:hAnsi="Times New Roman"/>
                <w:sz w:val="12"/>
                <w:szCs w:val="12"/>
                <w:b w:val="1"/>
                <w:bCs w:val="1"/>
                <w:color w:val="auto"/>
                <w:w w:val="95"/>
              </w:rPr>
              <w:t>GroupBy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ind w:right="322"/>
              <w:spacing w:after="0" w:line="125" w:lineRule="exact"/>
              <w:rPr>
                <w:sz w:val="20"/>
                <w:szCs w:val="20"/>
                <w:color w:val="auto"/>
              </w:rPr>
            </w:pPr>
            <w:r>
              <w:rPr>
                <w:rFonts w:ascii="Times New Roman" w:cs="Times New Roman" w:eastAsia="Times New Roman" w:hAnsi="Times New Roman"/>
                <w:sz w:val="12"/>
                <w:szCs w:val="12"/>
                <w:b w:val="1"/>
                <w:bCs w:val="1"/>
                <w:color w:val="auto"/>
              </w:rPr>
              <w:t>Bluedot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40" w:type="dxa"/>
            <w:vAlign w:val="bottom"/>
            <w:gridSpan w:val="2"/>
          </w:tcPr>
          <w:p>
            <w:pPr>
              <w:jc w:val="right"/>
              <w:ind w:right="122"/>
              <w:spacing w:after="0" w:line="135" w:lineRule="exact"/>
              <w:rPr>
                <w:sz w:val="20"/>
                <w:szCs w:val="20"/>
                <w:color w:val="auto"/>
              </w:rPr>
            </w:pPr>
            <w:r>
              <w:rPr>
                <w:rFonts w:ascii="Times New Roman" w:cs="Times New Roman" w:eastAsia="Times New Roman" w:hAnsi="Times New Roman"/>
                <w:sz w:val="12"/>
                <w:szCs w:val="12"/>
                <w:b w:val="1"/>
                <w:bCs w:val="1"/>
                <w:color w:val="auto"/>
                <w:w w:val="98"/>
              </w:rPr>
              <w:t>and Subsidiaries</w:t>
            </w:r>
          </w:p>
        </w:tc>
        <w:tc>
          <w:tcPr>
            <w:tcW w:w="180" w:type="dxa"/>
            <w:vAlign w:val="bottom"/>
          </w:tcPr>
          <w:p>
            <w:pPr>
              <w:spacing w:after="0"/>
              <w:rPr>
                <w:sz w:val="11"/>
                <w:szCs w:val="11"/>
                <w:color w:val="auto"/>
              </w:rPr>
            </w:pPr>
          </w:p>
        </w:tc>
        <w:tc>
          <w:tcPr>
            <w:tcW w:w="104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5"/>
              </w:rPr>
              <w:t>GroupBy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202"/>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Industries</w:t>
            </w:r>
          </w:p>
        </w:tc>
        <w:tc>
          <w:tcPr>
            <w:tcW w:w="10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Bluedot Innovation</w:t>
            </w:r>
          </w:p>
        </w:tc>
        <w:tc>
          <w:tcPr>
            <w:tcW w:w="100" w:type="dxa"/>
            <w:vAlign w:val="bottom"/>
          </w:tcPr>
          <w:p>
            <w:pPr>
              <w:spacing w:after="0"/>
              <w:rPr>
                <w:sz w:val="11"/>
                <w:szCs w:val="11"/>
                <w:color w:val="auto"/>
              </w:rPr>
            </w:pPr>
          </w:p>
        </w:tc>
        <w:tc>
          <w:tcPr>
            <w:tcW w:w="980" w:type="dxa"/>
            <w:vAlign w:val="bottom"/>
          </w:tcPr>
          <w:p>
            <w:pPr>
              <w:jc w:val="right"/>
              <w:ind w:right="262"/>
              <w:spacing w:after="0" w:line="135" w:lineRule="exact"/>
              <w:rPr>
                <w:sz w:val="20"/>
                <w:szCs w:val="20"/>
                <w:color w:val="auto"/>
              </w:rPr>
            </w:pPr>
            <w:r>
              <w:rPr>
                <w:rFonts w:ascii="Times New Roman" w:cs="Times New Roman" w:eastAsia="Times New Roman" w:hAnsi="Times New Roman"/>
                <w:sz w:val="12"/>
                <w:szCs w:val="12"/>
                <w:b w:val="1"/>
                <w:bCs w:val="1"/>
                <w:color w:val="auto"/>
              </w:rPr>
              <w:t>Transaction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202"/>
              <w:spacing w:after="0" w:line="135" w:lineRule="exact"/>
              <w:rPr>
                <w:sz w:val="20"/>
                <w:szCs w:val="20"/>
                <w:color w:val="auto"/>
              </w:rPr>
            </w:pPr>
            <w:r>
              <w:rPr>
                <w:rFonts w:ascii="Times New Roman" w:cs="Times New Roman" w:eastAsia="Times New Roman" w:hAnsi="Times New Roman"/>
                <w:sz w:val="12"/>
                <w:szCs w:val="12"/>
                <w:b w:val="1"/>
                <w:bCs w:val="1"/>
                <w:color w:val="auto"/>
                <w:w w:val="96"/>
              </w:rPr>
              <w:t>Transaction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40" w:type="dxa"/>
            <w:vAlign w:val="bottom"/>
            <w:gridSpan w:val="2"/>
          </w:tcPr>
          <w:p>
            <w:pPr>
              <w:jc w:val="center"/>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80" w:type="dxa"/>
            <w:vAlign w:val="bottom"/>
          </w:tcPr>
          <w:p>
            <w:pPr>
              <w:spacing w:after="0"/>
              <w:rPr>
                <w:sz w:val="11"/>
                <w:szCs w:val="11"/>
                <w:color w:val="auto"/>
              </w:rPr>
            </w:pPr>
          </w:p>
        </w:tc>
        <w:tc>
          <w:tcPr>
            <w:tcW w:w="104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00" w:type="dxa"/>
            <w:vAlign w:val="bottom"/>
          </w:tcPr>
          <w:p>
            <w:pPr>
              <w:spacing w:after="0"/>
              <w:rPr>
                <w:sz w:val="11"/>
                <w:szCs w:val="11"/>
                <w:color w:val="auto"/>
              </w:rPr>
            </w:pPr>
          </w:p>
        </w:tc>
        <w:tc>
          <w:tcPr>
            <w:tcW w:w="1000" w:type="dxa"/>
            <w:vAlign w:val="bottom"/>
            <w:gridSpan w:val="2"/>
          </w:tcPr>
          <w:p>
            <w:pPr>
              <w:jc w:val="center"/>
              <w:ind w:right="82"/>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(Historical as of</w:t>
            </w:r>
          </w:p>
        </w:tc>
        <w:tc>
          <w:tcPr>
            <w:tcW w:w="100" w:type="dxa"/>
            <w:vAlign w:val="bottom"/>
          </w:tcPr>
          <w:p>
            <w:pPr>
              <w:spacing w:after="0"/>
              <w:rPr>
                <w:sz w:val="11"/>
                <w:szCs w:val="11"/>
                <w:color w:val="auto"/>
              </w:rPr>
            </w:pPr>
          </w:p>
        </w:tc>
        <w:tc>
          <w:tcPr>
            <w:tcW w:w="980" w:type="dxa"/>
            <w:vAlign w:val="bottom"/>
          </w:tcPr>
          <w:p>
            <w:pPr>
              <w:jc w:val="right"/>
              <w:ind w:right="282"/>
              <w:spacing w:after="0" w:line="135" w:lineRule="exact"/>
              <w:rPr>
                <w:sz w:val="20"/>
                <w:szCs w:val="20"/>
                <w:color w:val="auto"/>
              </w:rPr>
            </w:pPr>
            <w:r>
              <w:rPr>
                <w:rFonts w:ascii="Times New Roman" w:cs="Times New Roman" w:eastAsia="Times New Roman" w:hAnsi="Times New Roman"/>
                <w:sz w:val="12"/>
                <w:szCs w:val="12"/>
                <w:b w:val="1"/>
                <w:bCs w:val="1"/>
                <w:color w:val="auto"/>
              </w:rPr>
              <w:t>Accounting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202"/>
              <w:spacing w:after="0" w:line="135" w:lineRule="exact"/>
              <w:rPr>
                <w:sz w:val="20"/>
                <w:szCs w:val="20"/>
                <w:color w:val="auto"/>
              </w:rPr>
            </w:pPr>
            <w:r>
              <w:rPr>
                <w:rFonts w:ascii="Times New Roman" w:cs="Times New Roman" w:eastAsia="Times New Roman" w:hAnsi="Times New Roman"/>
                <w:sz w:val="12"/>
                <w:szCs w:val="12"/>
                <w:b w:val="1"/>
                <w:bCs w:val="1"/>
                <w:color w:val="auto"/>
                <w:w w:val="95"/>
              </w:rPr>
              <w:t>Accounting</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Pro Forma</w:t>
            </w:r>
          </w:p>
        </w:tc>
        <w:tc>
          <w:tcPr>
            <w:tcW w:w="0" w:type="dxa"/>
            <w:vAlign w:val="bottom"/>
          </w:tcPr>
          <w:p>
            <w:pPr>
              <w:spacing w:after="0"/>
              <w:rPr>
                <w:sz w:val="1"/>
                <w:szCs w:val="1"/>
                <w:color w:val="auto"/>
              </w:rPr>
            </w:pPr>
          </w:p>
        </w:tc>
      </w:tr>
      <w:tr>
        <w:trPr>
          <w:trHeight w:val="166"/>
        </w:trPr>
        <w:tc>
          <w:tcPr>
            <w:tcW w:w="2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8"/>
              </w:rPr>
              <w:t>12/31/2024)</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8"/>
              </w:rPr>
              <w:t>12/31/2024)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5"/>
              </w:rPr>
              <w:t>12/31/2024)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5"/>
              </w:rPr>
              <w:t>12/31/2024)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4"/>
              </w:rPr>
              <w:t>Adjustments</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Adjustments</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Combined</w:t>
            </w:r>
          </w:p>
        </w:tc>
        <w:tc>
          <w:tcPr>
            <w:tcW w:w="0" w:type="dxa"/>
            <w:vAlign w:val="bottom"/>
          </w:tcPr>
          <w:p>
            <w:pPr>
              <w:spacing w:after="0"/>
              <w:rPr>
                <w:sz w:val="1"/>
                <w:szCs w:val="1"/>
                <w:color w:val="auto"/>
              </w:rPr>
            </w:pPr>
          </w:p>
        </w:tc>
      </w:tr>
      <w:tr>
        <w:trPr>
          <w:trHeight w:val="125"/>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1"/>
              </w:rPr>
              <w:t>A</w:t>
            </w:r>
          </w:p>
        </w:tc>
        <w:tc>
          <w:tcPr>
            <w:tcW w:w="180" w:type="dxa"/>
            <w:vAlign w:val="bottom"/>
          </w:tcPr>
          <w:p>
            <w:pPr>
              <w:spacing w:after="0"/>
              <w:rPr>
                <w:sz w:val="10"/>
                <w:szCs w:val="10"/>
                <w:color w:val="auto"/>
              </w:rPr>
            </w:pPr>
          </w:p>
        </w:tc>
        <w:tc>
          <w:tcPr>
            <w:tcW w:w="1040" w:type="dxa"/>
            <w:vAlign w:val="bottom"/>
            <w:vMerge w:val="restart"/>
          </w:tcPr>
          <w:p>
            <w:pPr>
              <w:jc w:val="right"/>
              <w:ind w:right="522"/>
              <w:spacing w:after="0"/>
              <w:rPr>
                <w:sz w:val="20"/>
                <w:szCs w:val="20"/>
                <w:color w:val="auto"/>
              </w:rPr>
            </w:pPr>
            <w:r>
              <w:rPr>
                <w:rFonts w:ascii="Times New Roman" w:cs="Times New Roman" w:eastAsia="Times New Roman" w:hAnsi="Times New Roman"/>
                <w:sz w:val="12"/>
                <w:szCs w:val="12"/>
                <w:b w:val="1"/>
                <w:bCs w:val="1"/>
                <w:color w:val="auto"/>
              </w:rPr>
              <w:t>B</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1"/>
              </w:rPr>
              <w:t>C</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1"/>
              </w:rPr>
              <w:t>D</w:t>
            </w:r>
          </w:p>
        </w:tc>
        <w:tc>
          <w:tcPr>
            <w:tcW w:w="100" w:type="dxa"/>
            <w:vAlign w:val="bottom"/>
          </w:tcPr>
          <w:p>
            <w:pPr>
              <w:spacing w:after="0"/>
              <w:rPr>
                <w:sz w:val="10"/>
                <w:szCs w:val="10"/>
                <w:color w:val="auto"/>
              </w:rPr>
            </w:pPr>
          </w:p>
        </w:tc>
        <w:tc>
          <w:tcPr>
            <w:tcW w:w="9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9"/>
              </w:rPr>
              <w:t>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rPr>
              <w:t>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60"/>
              <w:spacing w:after="0" w:line="125" w:lineRule="exact"/>
              <w:rPr>
                <w:sz w:val="20"/>
                <w:szCs w:val="20"/>
                <w:color w:val="auto"/>
              </w:rPr>
            </w:pPr>
            <w:r>
              <w:rPr>
                <w:rFonts w:ascii="Times New Roman" w:cs="Times New Roman" w:eastAsia="Times New Roman" w:hAnsi="Times New Roman"/>
                <w:sz w:val="12"/>
                <w:szCs w:val="12"/>
                <w:b w:val="1"/>
                <w:bCs w:val="1"/>
                <w:color w:val="auto"/>
                <w:w w:val="93"/>
              </w:rPr>
              <w:t>G =</w:t>
            </w: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A+B+C+D+E+F</w:t>
            </w: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9,450,944</w:t>
            </w:r>
          </w:p>
        </w:tc>
        <w:tc>
          <w:tcPr>
            <w:tcW w:w="1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6,482,298</w:t>
            </w:r>
          </w:p>
        </w:tc>
        <w:tc>
          <w:tcPr>
            <w:tcW w:w="220" w:type="dxa"/>
            <w:vAlign w:val="bottom"/>
            <w:gridSpan w:val="2"/>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278,602</w:t>
            </w:r>
          </w:p>
        </w:tc>
        <w:tc>
          <w:tcPr>
            <w:tcW w:w="18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16,211,875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Accounts receivable, net</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21,274</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1,148,861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682,433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1,852,568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960,848</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1,146,327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41,269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2,158,444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Derivative asset</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2,587,581</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2,587,581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Income taxes receivable</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222,222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222,222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13,020,647</w:t>
            </w:r>
          </w:p>
        </w:tc>
        <w:tc>
          <w:tcPr>
            <w:tcW w:w="180" w:type="dxa"/>
            <w:vAlign w:val="bottom"/>
            <w:tcBorders>
              <w:top w:val="single" w:sz="8" w:color="CFF0FC"/>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8,999,708</w:t>
            </w: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1,002,304</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31</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10,000</w:t>
            </w: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23,032,690</w:t>
            </w: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Non-current assets: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Property and equipment, net</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17,332</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4,987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4,082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26,401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Intangible assets, net</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6,750,178</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68,304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34,400,000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89"/>
              </w:rPr>
              <w:t>b</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3,436,731</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74"/>
              </w:rPr>
              <w:t>c</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44,655,213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Goodwill</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4,580,673</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89"/>
              </w:rPr>
              <w:t>d</w:t>
            </w: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4,580,673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Right-of-use asset</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174,568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9,771</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e</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184,339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tax asset</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373,445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373,445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8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6,767,510</w:t>
            </w:r>
          </w:p>
        </w:tc>
        <w:tc>
          <w:tcPr>
            <w:tcW w:w="180" w:type="dxa"/>
            <w:vAlign w:val="bottom"/>
          </w:tcPr>
          <w:p>
            <w:pPr>
              <w:spacing w:after="0"/>
              <w:rPr>
                <w:sz w:val="11"/>
                <w:szCs w:val="11"/>
                <w:color w:val="auto"/>
              </w:rPr>
            </w:pPr>
          </w:p>
        </w:tc>
        <w:tc>
          <w:tcPr>
            <w:tcW w:w="10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174,568</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378,432</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72,386</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38,990,444</w:t>
            </w: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49,820,071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19,788,157</w:t>
            </w: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9,174,276</w:t>
            </w:r>
          </w:p>
        </w:tc>
        <w:tc>
          <w:tcPr>
            <w:tcW w:w="220" w:type="dxa"/>
            <w:vAlign w:val="bottom"/>
            <w:gridSpan w:val="2"/>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1,380,736</w:t>
            </w:r>
          </w:p>
        </w:tc>
        <w:tc>
          <w:tcPr>
            <w:tcW w:w="180" w:type="dxa"/>
            <w:vAlign w:val="bottom"/>
            <w:gridSpan w:val="2"/>
            <w:shd w:val="clear" w:color="auto" w:fill="CFF0FC"/>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72,417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39,000,444</w:t>
            </w:r>
          </w:p>
        </w:tc>
        <w:tc>
          <w:tcPr>
            <w:tcW w:w="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72,852,761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Accounts payable</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7,303,060</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21,598,041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758,538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3,966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1,371,844</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3"/>
              </w:rPr>
              <w:t>a,g</w:t>
            </w: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295,847</w:t>
            </w:r>
          </w:p>
        </w:tc>
        <w:tc>
          <w:tcPr>
            <w:tcW w:w="2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h</w:t>
            </w: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31,331,296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Due to related party</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1,054,429</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584,989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1,639,418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Accrued expenses and other payables</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9,513,932</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2,138,314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11,652,246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Short term debt to related party</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5,102,211</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5,102,211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Short term convertible debt</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10,288,123</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10,288,123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Short term convertible debt to related party</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95,309</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95,309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Convertible promissory notes</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6,428,825</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6,428,825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Ordinary Shares Payable</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1,206,609</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1,206,609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Share-based payment liability</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1,400,000</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Advisors loans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12,812,366</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12,812,366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Derivative liabilities</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2,579,875</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2,579,875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Bank indebtedness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12,000,000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(12,000,000)</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f</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revenue</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8,584,886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1,172,056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9,756,942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Warrant liability</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20,149</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(20,149)</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i</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Current portion of lease liabilities</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43,069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43,069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57,784,739</w:t>
            </w: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42,246,145</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4,653,897</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3,966</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(10,648,305)</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295,847</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94,336,289</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Non-current liabilities:</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Deferred tax liability</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10,335,000</w:t>
            </w: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w:t>
            </w: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10,335,000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Debt</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108,238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Lease liabilities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148,945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148,945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80" w:type="dxa"/>
            <w:vAlign w:val="bottom"/>
          </w:tcPr>
          <w:p>
            <w:pPr>
              <w:spacing w:after="0"/>
              <w:rPr>
                <w:sz w:val="11"/>
                <w:szCs w:val="11"/>
                <w:color w:val="auto"/>
              </w:rPr>
            </w:pPr>
          </w:p>
        </w:tc>
        <w:tc>
          <w:tcPr>
            <w:tcW w:w="9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0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CFF0FC"/>
              <w:right w:val="single" w:sz="8" w:color="CFF0FC"/>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148,945</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108,238</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10,335,000</w:t>
            </w: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10,592,183</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57,784,739</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42,395,090</w:t>
            </w:r>
          </w:p>
        </w:tc>
        <w:tc>
          <w:tcPr>
            <w:tcW w:w="220" w:type="dxa"/>
            <w:vAlign w:val="bottom"/>
            <w:gridSpan w:val="2"/>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4,653,897</w:t>
            </w:r>
          </w:p>
        </w:tc>
        <w:tc>
          <w:tcPr>
            <w:tcW w:w="1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112,204</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(313,305)</w:t>
            </w:r>
          </w:p>
        </w:tc>
        <w:tc>
          <w:tcPr>
            <w:tcW w:w="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295,847</w:t>
            </w:r>
          </w:p>
        </w:tc>
        <w:tc>
          <w:tcPr>
            <w:tcW w:w="2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104,928,472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Ordinary shares, £0.0001 nominal value 208,260,754</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shares issued and outstanding as of December 31,</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l</w:t>
            </w:r>
          </w:p>
        </w:tc>
        <w:tc>
          <w:tcPr>
            <w:tcW w:w="940" w:type="dxa"/>
            <w:vAlign w:val="bottom"/>
          </w:tcPr>
          <w:p>
            <w:pPr>
              <w:spacing w:after="0"/>
              <w:rPr>
                <w:sz w:val="11"/>
                <w:szCs w:val="11"/>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k</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2024; 152,262,295 shares issued and outstanding as</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of December 31, 2023; 256,365,817 and 161,710,480</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shares authorized as of December 31, 2024 and 2023</w:t>
            </w:r>
          </w:p>
        </w:tc>
        <w:tc>
          <w:tcPr>
            <w:tcW w:w="80" w:type="dxa"/>
            <w:vAlign w:val="bottom"/>
          </w:tcPr>
          <w:p>
            <w:pPr>
              <w:spacing w:after="0"/>
              <w:rPr>
                <w:sz w:val="12"/>
                <w:szCs w:val="12"/>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26,816</w:t>
            </w:r>
          </w:p>
        </w:tc>
        <w:tc>
          <w:tcPr>
            <w:tcW w:w="180" w:type="dxa"/>
            <w:vAlign w:val="bottom"/>
          </w:tcPr>
          <w:p>
            <w:pPr>
              <w:spacing w:after="0"/>
              <w:rPr>
                <w:sz w:val="12"/>
                <w:szCs w:val="12"/>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1,623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355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28,794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Ordinary shares/Common Stock</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14,005,728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(14,005,728)</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9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(1,050)</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Additional paid-in capital</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l,m</w:t>
            </w:r>
          </w:p>
        </w:tc>
        <w:tc>
          <w:tcPr>
            <w:tcW w:w="940" w:type="dxa"/>
            <w:vAlign w:val="bottom"/>
          </w:tcPr>
          <w:p>
            <w:pPr>
              <w:spacing w:after="0"/>
              <w:rPr>
                <w:sz w:val="10"/>
                <w:szCs w:val="10"/>
                <w:color w:val="auto"/>
              </w:rPr>
            </w:pPr>
          </w:p>
        </w:tc>
        <w:tc>
          <w:tcPr>
            <w:tcW w:w="2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k,m,</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194,062,767</w:t>
            </w:r>
          </w:p>
        </w:tc>
        <w:tc>
          <w:tcPr>
            <w:tcW w:w="180" w:type="dxa"/>
            <w:vAlign w:val="bottom"/>
          </w:tcPr>
          <w:p>
            <w:pPr>
              <w:spacing w:after="0"/>
              <w:rPr>
                <w:sz w:val="7"/>
                <w:szCs w:val="7"/>
                <w:color w:val="auto"/>
              </w:rPr>
            </w:pPr>
          </w:p>
        </w:tc>
        <w:tc>
          <w:tcPr>
            <w:tcW w:w="10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6,291,080</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22,815,832</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3,324,360</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11,767,156</w:t>
            </w:r>
          </w:p>
        </w:tc>
        <w:tc>
          <w:tcPr>
            <w:tcW w:w="440" w:type="dxa"/>
            <w:vAlign w:val="bottom"/>
            <w:gridSpan w:val="2"/>
            <w:vMerge w:val="continue"/>
          </w:tcPr>
          <w:p>
            <w:pPr>
              <w:spacing w:after="0"/>
              <w:rPr>
                <w:sz w:val="7"/>
                <w:szCs w:val="7"/>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(26,016,765)</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n</w:t>
            </w:r>
          </w:p>
        </w:tc>
        <w:tc>
          <w:tcPr>
            <w:tcW w:w="120" w:type="dxa"/>
            <w:vAlign w:val="bottom"/>
          </w:tcPr>
          <w:p>
            <w:pPr>
              <w:spacing w:after="0"/>
              <w:rPr>
                <w:sz w:val="7"/>
                <w:szCs w:val="7"/>
                <w:color w:val="auto"/>
              </w:rPr>
            </w:pPr>
          </w:p>
        </w:tc>
        <w:tc>
          <w:tcPr>
            <w:tcW w:w="90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212,244,430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Stock subscription receivable</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(79,003)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79,003</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Accumulated deficit</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3"/>
              </w:rPr>
              <w:t>e,f,g</w:t>
            </w:r>
          </w:p>
        </w:tc>
        <w:tc>
          <w:tcPr>
            <w:tcW w:w="940" w:type="dxa"/>
            <w:vAlign w:val="bottom"/>
          </w:tcPr>
          <w:p>
            <w:pPr>
              <w:spacing w:after="0"/>
              <w:rPr>
                <w:sz w:val="10"/>
                <w:szCs w:val="10"/>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h,m</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(232,075,815)</w:t>
            </w:r>
          </w:p>
        </w:tc>
        <w:tc>
          <w:tcPr>
            <w:tcW w:w="180" w:type="dxa"/>
            <w:vAlign w:val="bottom"/>
          </w:tcPr>
          <w:p>
            <w:pPr>
              <w:spacing w:after="0"/>
              <w:rPr>
                <w:sz w:val="7"/>
                <w:szCs w:val="7"/>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(58,196,350)</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(26,133,930)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(3,285,194)</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46,229,426</w:t>
            </w:r>
          </w:p>
        </w:tc>
        <w:tc>
          <w:tcPr>
            <w:tcW w:w="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i,j,m</w:t>
            </w:r>
          </w:p>
        </w:tc>
        <w:tc>
          <w:tcPr>
            <w:tcW w:w="94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29,123,278</w:t>
            </w: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(244,338,585)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80" w:type="dxa"/>
            <w:vAlign w:val="bottom"/>
            <w:tcBorders>
              <w:right w:val="single" w:sz="8" w:color="CFF0FC"/>
            </w:tcBorders>
            <w:shd w:val="clear" w:color="auto" w:fill="CFF0FC"/>
          </w:tcPr>
          <w:p>
            <w:pPr>
              <w:spacing w:after="0"/>
              <w:rPr>
                <w:sz w:val="11"/>
                <w:szCs w:val="11"/>
                <w:color w:val="auto"/>
              </w:rPr>
            </w:pPr>
          </w:p>
        </w:tc>
        <w:tc>
          <w:tcPr>
            <w:tcW w:w="104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43,937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(43,937)</w:t>
            </w:r>
          </w:p>
        </w:tc>
        <w:tc>
          <w:tcPr>
            <w:tcW w:w="2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m</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Warrants</w:t>
            </w: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0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4,678,728</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(4,678,728)</w:t>
            </w:r>
          </w:p>
        </w:tc>
        <w:tc>
          <w:tcPr>
            <w:tcW w:w="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o</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shareholders' equity (deficit)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(33,220,814)</w:t>
            </w:r>
          </w:p>
        </w:tc>
        <w:tc>
          <w:tcPr>
            <w:tcW w:w="220" w:type="dxa"/>
            <w:vAlign w:val="bottom"/>
            <w:gridSpan w:val="2"/>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(3,273,161)</w:t>
            </w:r>
          </w:p>
        </w:tc>
        <w:tc>
          <w:tcPr>
            <w:tcW w:w="180" w:type="dxa"/>
            <w:vAlign w:val="bottom"/>
            <w:gridSpan w:val="2"/>
            <w:shd w:val="clear" w:color="auto" w:fill="CFF0FC"/>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(39,787)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39,313,749</w:t>
            </w:r>
          </w:p>
        </w:tc>
        <w:tc>
          <w:tcPr>
            <w:tcW w:w="4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3,140,884</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(32,075,711)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19,788,157</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9,174,276</w:t>
            </w:r>
          </w:p>
        </w:tc>
        <w:tc>
          <w:tcPr>
            <w:tcW w:w="220" w:type="dxa"/>
            <w:vAlign w:val="bottom"/>
            <w:gridSpan w:val="2"/>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1,380,736</w:t>
            </w:r>
          </w:p>
        </w:tc>
        <w:tc>
          <w:tcPr>
            <w:tcW w:w="1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72,417</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39,000,444</w:t>
            </w:r>
          </w:p>
        </w:tc>
        <w:tc>
          <w:tcPr>
            <w:tcW w:w="4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3,436,731</w:t>
            </w:r>
          </w:p>
        </w:tc>
        <w:tc>
          <w:tcPr>
            <w:tcW w:w="2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72,852,761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-4533900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-4533900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-4533900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-4533900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-4533900</wp:posOffset>
            </wp:positionV>
            <wp:extent cx="2146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-4533900</wp:posOffset>
            </wp:positionV>
            <wp:extent cx="179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-3830955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-3830955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-3830955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-3830955</wp:posOffset>
            </wp:positionV>
            <wp:extent cx="2146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-3830955</wp:posOffset>
            </wp:positionV>
            <wp:extent cx="1797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-3830955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-3642360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-3625215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-3642360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-3625215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-3642360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-3625215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-3642360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-3625215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-3642360</wp:posOffset>
            </wp:positionV>
            <wp:extent cx="2146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-3625215</wp:posOffset>
            </wp:positionV>
            <wp:extent cx="2146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-3642360</wp:posOffset>
            </wp:positionV>
            <wp:extent cx="1797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-3625215</wp:posOffset>
            </wp:positionV>
            <wp:extent cx="1797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-3642360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-3625215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-2065020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-2065020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-2065020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-2065020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-2065020</wp:posOffset>
            </wp:positionV>
            <wp:extent cx="2146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-2065020</wp:posOffset>
            </wp:positionV>
            <wp:extent cx="1797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-1533525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-1533525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-1533525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-1533525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-1533525</wp:posOffset>
            </wp:positionV>
            <wp:extent cx="2146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-1533525</wp:posOffset>
            </wp:positionV>
            <wp:extent cx="1797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-119380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-119380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-119380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-119380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-119380</wp:posOffset>
            </wp:positionV>
            <wp:extent cx="2146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-119380</wp:posOffset>
            </wp:positionV>
            <wp:extent cx="1797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rPr>
              <w:t>Proforma Combined</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700" w:type="dxa"/>
            <w:vAlign w:val="bottom"/>
          </w:tcPr>
          <w:p>
            <w:pPr>
              <w:spacing w:after="0"/>
              <w:rPr>
                <w:sz w:val="9"/>
                <w:szCs w:val="9"/>
                <w:color w:val="auto"/>
              </w:rPr>
            </w:pPr>
          </w:p>
        </w:tc>
        <w:tc>
          <w:tcPr>
            <w:tcW w:w="1080" w:type="dxa"/>
            <w:vAlign w:val="bottom"/>
            <w:gridSpan w:val="2"/>
          </w:tcPr>
          <w:p>
            <w:pPr>
              <w:jc w:val="center"/>
              <w:ind w:right="97"/>
              <w:spacing w:after="0" w:line="115" w:lineRule="exact"/>
              <w:rPr>
                <w:sz w:val="20"/>
                <w:szCs w:val="20"/>
                <w:color w:val="auto"/>
              </w:rPr>
            </w:pPr>
            <w:r>
              <w:rPr>
                <w:rFonts w:ascii="Times New Roman" w:cs="Times New Roman" w:eastAsia="Times New Roman" w:hAnsi="Times New Roman"/>
                <w:sz w:val="13"/>
                <w:szCs w:val="13"/>
                <w:b w:val="1"/>
                <w:bCs w:val="1"/>
                <w:color w:val="auto"/>
                <w:w w:val="98"/>
              </w:rPr>
              <w:t>Rezolve AI plc</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jc w:val="center"/>
              <w:ind w:right="257"/>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177"/>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8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 Subsidiaries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Industries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80" w:type="dxa"/>
            <w:vAlign w:val="bottom"/>
            <w:gridSpan w:val="2"/>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Year</w:t>
            </w:r>
          </w:p>
        </w:tc>
        <w:tc>
          <w:tcPr>
            <w:tcW w:w="120" w:type="dxa"/>
            <w:vAlign w:val="bottom"/>
          </w:tcPr>
          <w:p>
            <w:pPr>
              <w:spacing w:after="0"/>
              <w:rPr>
                <w:sz w:val="11"/>
                <w:szCs w:val="11"/>
                <w:color w:val="auto"/>
              </w:rPr>
            </w:pPr>
          </w:p>
        </w:tc>
        <w:tc>
          <w:tcPr>
            <w:tcW w:w="1060" w:type="dxa"/>
            <w:vAlign w:val="bottom"/>
            <w:gridSpan w:val="2"/>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1080" w:type="dxa"/>
            <w:vAlign w:val="bottom"/>
            <w:gridSpan w:val="2"/>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00" w:type="dxa"/>
            <w:vAlign w:val="bottom"/>
          </w:tcPr>
          <w:p>
            <w:pPr>
              <w:spacing w:after="0"/>
              <w:rPr>
                <w:sz w:val="11"/>
                <w:szCs w:val="11"/>
                <w:color w:val="auto"/>
              </w:rPr>
            </w:pPr>
          </w:p>
        </w:tc>
        <w:tc>
          <w:tcPr>
            <w:tcW w:w="10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(Historical Year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80" w:type="dxa"/>
            <w:vAlign w:val="bottom"/>
            <w:gridSpan w:val="2"/>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w:t>
            </w:r>
          </w:p>
        </w:tc>
        <w:tc>
          <w:tcPr>
            <w:tcW w:w="120" w:type="dxa"/>
            <w:vAlign w:val="bottom"/>
          </w:tcPr>
          <w:p>
            <w:pPr>
              <w:spacing w:after="0"/>
              <w:rPr>
                <w:sz w:val="11"/>
                <w:szCs w:val="11"/>
                <w:color w:val="auto"/>
              </w:rPr>
            </w:pPr>
          </w:p>
        </w:tc>
        <w:tc>
          <w:tcPr>
            <w:tcW w:w="1060" w:type="dxa"/>
            <w:vAlign w:val="bottom"/>
            <w:gridSpan w:val="2"/>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w:t>
            </w:r>
          </w:p>
        </w:tc>
        <w:tc>
          <w:tcPr>
            <w:tcW w:w="120" w:type="dxa"/>
            <w:vAlign w:val="bottom"/>
          </w:tcPr>
          <w:p>
            <w:pPr>
              <w:spacing w:after="0"/>
              <w:rPr>
                <w:sz w:val="11"/>
                <w:szCs w:val="11"/>
                <w:color w:val="auto"/>
              </w:rPr>
            </w:pPr>
          </w:p>
        </w:tc>
        <w:tc>
          <w:tcPr>
            <w:tcW w:w="1080" w:type="dxa"/>
            <w:vAlign w:val="bottom"/>
            <w:gridSpan w:val="2"/>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w:t>
            </w:r>
          </w:p>
        </w:tc>
        <w:tc>
          <w:tcPr>
            <w:tcW w:w="110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ended December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1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6"/>
              </w:rPr>
              <w:t>31, 2024)</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6"/>
              </w:rPr>
              <w:t>31, 2024)</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3"/>
              </w:rPr>
              <w:t>Combined</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restart"/>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1"/>
              </w:rPr>
              <w:t>B</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restart"/>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rPr>
              <w:t>C</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rPr>
              <w:t>D</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rPr>
              <w:t>F</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center"/>
              <w:ind w:right="157"/>
              <w:spacing w:after="0" w:line="115" w:lineRule="exact"/>
              <w:rPr>
                <w:sz w:val="20"/>
                <w:szCs w:val="20"/>
                <w:color w:val="auto"/>
              </w:rPr>
            </w:pPr>
            <w:r>
              <w:rPr>
                <w:rFonts w:ascii="Times New Roman" w:cs="Times New Roman" w:eastAsia="Times New Roman" w:hAnsi="Times New Roman"/>
                <w:sz w:val="13"/>
                <w:szCs w:val="13"/>
                <w:b w:val="1"/>
                <w:bCs w:val="1"/>
                <w:color w:val="auto"/>
              </w:rPr>
              <w:t>G =</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A+B+C+D+E+F</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1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187,788</w:t>
            </w:r>
          </w:p>
        </w:tc>
        <w:tc>
          <w:tcPr>
            <w:tcW w:w="240" w:type="dxa"/>
            <w:vAlign w:val="bottom"/>
            <w:gridSpan w:val="2"/>
            <w:shd w:val="clear" w:color="auto" w:fill="CFF0FC"/>
          </w:tcPr>
          <w:p>
            <w:pPr>
              <w:jc w:val="right"/>
              <w:ind w:right="1"/>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260" w:type="dxa"/>
            <w:vAlign w:val="bottom"/>
            <w:gridSpan w:val="2"/>
            <w:shd w:val="clear" w:color="auto" w:fill="CFF0FC"/>
          </w:tcPr>
          <w:p>
            <w:pPr>
              <w:jc w:val="right"/>
              <w:ind w:right="21"/>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1,825,779</w:t>
            </w:r>
          </w:p>
        </w:tc>
        <w:tc>
          <w:tcPr>
            <w:tcW w:w="20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485,860</w:t>
            </w:r>
          </w:p>
        </w:tc>
        <w:tc>
          <w:tcPr>
            <w:tcW w:w="220" w:type="dxa"/>
            <w:vAlign w:val="bottom"/>
            <w:gridSpan w:val="3"/>
            <w:shd w:val="clear" w:color="auto" w:fill="CFF0FC"/>
          </w:tcPr>
          <w:p>
            <w:pPr>
              <w:jc w:val="right"/>
              <w:ind w:right="88"/>
              <w:spacing w:after="0" w:line="135" w:lineRule="exact"/>
              <w:rPr>
                <w:sz w:val="20"/>
                <w:szCs w:val="20"/>
                <w:color w:val="auto"/>
              </w:rPr>
            </w:pPr>
            <w:r>
              <w:rPr>
                <w:rFonts w:ascii="Times New Roman" w:cs="Times New Roman" w:eastAsia="Times New Roman" w:hAnsi="Times New Roman"/>
                <w:sz w:val="13"/>
                <w:szCs w:val="13"/>
                <w:b w:val="1"/>
                <w:bCs w:val="1"/>
                <w:color w:val="auto"/>
              </w:rPr>
              <w:t>r</w:t>
            </w: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21,390,361</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158,776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12,066,966</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160" w:type="dxa"/>
            <w:vAlign w:val="bottom"/>
          </w:tcPr>
          <w:p>
            <w:pPr>
              <w:spacing w:after="0"/>
              <w:rPr>
                <w:sz w:val="11"/>
                <w:szCs w:val="11"/>
                <w:color w:val="auto"/>
              </w:rPr>
            </w:pPr>
          </w:p>
        </w:tc>
        <w:tc>
          <w:tcPr>
            <w:tcW w:w="9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6,285,446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399,422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11,591,692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131,430,412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2,789,811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592,728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23,979</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134,949,484</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160" w:type="dxa"/>
            <w:vAlign w:val="bottom"/>
          </w:tcPr>
          <w:p>
            <w:pPr>
              <w:spacing w:after="0"/>
              <w:rPr>
                <w:sz w:val="11"/>
                <w:szCs w:val="11"/>
                <w:color w:val="auto"/>
              </w:rPr>
            </w:pPr>
          </w:p>
        </w:tc>
        <w:tc>
          <w:tcPr>
            <w:tcW w:w="9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225,251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200,370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38,022</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5,652,966</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343,673</w:t>
            </w:r>
          </w:p>
        </w:tc>
        <w:tc>
          <w:tcPr>
            <w:tcW w:w="1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w:t>
            </w: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6,460,282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6,835,367</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1,152,807</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7,988,174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6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138,230,574</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2,303,733</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62,001</w:t>
            </w:r>
          </w:p>
        </w:tc>
        <w:tc>
          <w:tcPr>
            <w:tcW w:w="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343,673</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173,312,010</w:t>
            </w:r>
          </w:p>
        </w:tc>
        <w:tc>
          <w:tcPr>
            <w:tcW w:w="2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(138,042,786)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(477,954)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423,859</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(343,673)</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(151,921,649)</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(10,557,714)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(244,644)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(1,990)</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u,y</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(10,783,148)</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160" w:type="dxa"/>
            <w:vAlign w:val="bottom"/>
          </w:tcPr>
          <w:p>
            <w:pPr>
              <w:spacing w:after="0"/>
              <w:rPr>
                <w:sz w:val="11"/>
                <w:szCs w:val="11"/>
                <w:color w:val="auto"/>
              </w:rPr>
            </w:pPr>
          </w:p>
        </w:tc>
        <w:tc>
          <w:tcPr>
            <w:tcW w:w="9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Gain/(loss) on extinguishment</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(44,332,819)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(279,851)</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v,z</w:t>
            </w:r>
          </w:p>
        </w:tc>
        <w:tc>
          <w:tcPr>
            <w:tcW w:w="9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(44,612,670)</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non-operating income (expense), net</w:t>
            </w:r>
          </w:p>
        </w:tc>
        <w:tc>
          <w:tcPr>
            <w:tcW w:w="160" w:type="dxa"/>
            <w:vAlign w:val="bottom"/>
          </w:tcPr>
          <w:p>
            <w:pPr>
              <w:spacing w:after="0"/>
              <w:rPr>
                <w:sz w:val="11"/>
                <w:szCs w:val="11"/>
                <w:color w:val="auto"/>
              </w:rPr>
            </w:pPr>
          </w:p>
        </w:tc>
        <w:tc>
          <w:tcPr>
            <w:tcW w:w="9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1,329,781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(31,362)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(39,837)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(1,361,844)</w:t>
            </w:r>
          </w:p>
        </w:tc>
        <w:tc>
          <w:tcPr>
            <w:tcW w:w="3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(295,847)</w:t>
            </w:r>
          </w:p>
        </w:tc>
        <w:tc>
          <w:tcPr>
            <w:tcW w:w="1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(399,109)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(expenses) / income, net</w:t>
            </w: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(34,559,071)</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(1,183,758)</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(284,481)</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(1,990)</w:t>
            </w:r>
          </w:p>
        </w:tc>
        <w:tc>
          <w:tcPr>
            <w:tcW w:w="20" w:type="dxa"/>
            <w:vAlign w:val="bottom"/>
            <w:tcBorders>
              <w:top w:val="single" w:sz="8" w:color="auto"/>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(468,099)</w:t>
            </w:r>
          </w:p>
        </w:tc>
        <w:tc>
          <w:tcPr>
            <w:tcW w:w="2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(295,847)</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160" w:type="dxa"/>
            <w:vAlign w:val="bottom"/>
          </w:tcPr>
          <w:p>
            <w:pPr>
              <w:spacing w:after="0"/>
              <w:rPr>
                <w:sz w:val="11"/>
                <w:szCs w:val="11"/>
                <w:color w:val="auto"/>
              </w:rPr>
            </w:pPr>
          </w:p>
        </w:tc>
        <w:tc>
          <w:tcPr>
            <w:tcW w:w="92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(172,601,857)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(762,435)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rPr>
              <w:t>421,869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(6,233,619)</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(639,520)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(188,714,895)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(44,933)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(41,908)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(50,067)</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36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aa</w:t>
            </w: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(10,505,432)</w:t>
            </w: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16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(172,646,790)</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(804,343)</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bottom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371,802</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(16,568,619)</w:t>
            </w:r>
          </w:p>
        </w:tc>
        <w:tc>
          <w:tcPr>
            <w:tcW w:w="2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(639,520)</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(199,220,327)</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70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6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2"/>
                <w:szCs w:val="12"/>
                <w:b w:val="1"/>
                <w:bCs w:val="1"/>
                <w:color w:val="auto"/>
              </w:rPr>
              <w:t>bb</w:t>
            </w:r>
          </w:p>
        </w:tc>
        <w:tc>
          <w:tcPr>
            <w:tcW w:w="0" w:type="dxa"/>
            <w:vAlign w:val="bottom"/>
          </w:tcPr>
          <w:p>
            <w:pPr>
              <w:spacing w:after="0"/>
              <w:rPr>
                <w:sz w:val="1"/>
                <w:szCs w:val="1"/>
                <w:color w:val="auto"/>
              </w:rPr>
            </w:pPr>
          </w:p>
        </w:tc>
      </w:tr>
      <w:tr>
        <w:trPr>
          <w:trHeight w:val="117"/>
        </w:trPr>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 shares</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outstanding</w:t>
            </w:r>
          </w:p>
        </w:tc>
        <w:tc>
          <w:tcPr>
            <w:tcW w:w="16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2"/>
                <w:szCs w:val="12"/>
                <w:color w:val="auto"/>
              </w:rPr>
              <w:t>162,855,146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2"/>
                <w:szCs w:val="12"/>
                <w:color w:val="auto"/>
              </w:rPr>
              <w:t>178,157,563</w:t>
            </w:r>
          </w:p>
        </w:tc>
        <w:tc>
          <w:tcPr>
            <w:tcW w:w="2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bb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-1266825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-1266825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-1266825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-1266825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-1266825</wp:posOffset>
            </wp:positionV>
            <wp:extent cx="1631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-1266825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-1266825</wp:posOffset>
            </wp:positionV>
            <wp:extent cx="1631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-563880</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-563880</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-563880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-563880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-563880</wp:posOffset>
            </wp:positionV>
            <wp:extent cx="1631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-563880</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-563880</wp:posOffset>
            </wp:positionV>
            <wp:extent cx="1631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9" w:name="page40"/>
    <w:bookmarkEnd w:id="39"/>
    <w:p>
      <w:pPr>
        <w:ind w:right="1660" w:firstLine="1677"/>
        <w:spacing w:after="0" w:line="417"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 Note 1—Basis of Presentation</w:t>
      </w: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accounted for the acquisition of Bluedot Industries, Inc. and Bluedot Industries Pty. Ltd as a common control transaction as it was an exchange of the equity interests in Bluedot Industries, Inc. and Bluedot Industries Pty. Ltd between two entities, the Company and DBLP, both under the control of Daniel Wagner. As noted above, DBLP is wholly legally owned by Daniel Wagner. Additionally, as disclosed elsewhere in this prospectus, Daniel Wagner controls 75% of the voting power of the Company’s outstanding capital stock. Under ASC 810-10-15-8, a controlling financial interest is defined as ownership of a majority voting interest, which as a general rule is ownership by one reporting entity or individual, directly or indirectly, of more than 50 percent of the outstanding voting shares of another entity. Therefore under ASC 805, Daniel Wagner has the power to control the Company. The Company initially recognized the assets and liabilities of Bluedot Industries, Inc. and Bluedot Industries Pty. Ltd in the unaudited pro forma condensed combined balance sheet at their carrying amounts on the date of transfer. The Company recognized the difference between the proceeds transferred and the carrying amounts of the net assets received in Additional Paid-in Capital.</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utilized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preliminary allocation of the purchase price was based on an evaluation of the appropriate fair values and represents management’s best estimate based on available data.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0" w:name="page41"/>
    <w:bookmarkEnd w:id="40"/>
    <w:p>
      <w:pPr>
        <w:ind w:right="20"/>
        <w:spacing w:after="0" w:line="261" w:lineRule="auto"/>
        <w:rPr>
          <w:sz w:val="20"/>
          <w:szCs w:val="20"/>
          <w:color w:val="auto"/>
        </w:rPr>
      </w:pPr>
      <w:r>
        <w:rPr>
          <w:rFonts w:ascii="Times New Roman" w:cs="Times New Roman" w:eastAsia="Times New Roman" w:hAnsi="Times New Roman"/>
          <w:sz w:val="18"/>
          <w:szCs w:val="18"/>
          <w:color w:val="auto"/>
        </w:rPr>
        <w:t>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Bluedot acquisition and the GroupBy acquisition.</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2024 are as follows:</w:t>
      </w:r>
    </w:p>
    <w:p>
      <w:pPr>
        <w:spacing w:after="0" w:line="117" w:lineRule="exact"/>
        <w:rPr>
          <w:sz w:val="20"/>
          <w:szCs w:val="20"/>
          <w:color w:val="auto"/>
        </w:rPr>
      </w:pPr>
    </w:p>
    <w:p>
      <w:pPr>
        <w:ind w:left="1020" w:right="8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w:t>
      </w:r>
    </w:p>
    <w:p>
      <w:pPr>
        <w:spacing w:after="0" w:line="7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GroupBy based on the fair values assigned in the preliminary purchase price allocation to: (1) Technology intellectual property and (2) Customer contract and related relationships.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Bluedot Innovation Pty. Ltd based on the preliminary allocation of costs for the asset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GroupBy based on the preliminary purchase price allocation.</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1" w:name="page42"/>
    <w:bookmarkEnd w:id="41"/>
    <w:p>
      <w:pPr>
        <w:jc w:val="both"/>
        <w:ind w:left="1020" w:right="80"/>
        <w:spacing w:after="0" w:line="266" w:lineRule="auto"/>
        <w:rPr>
          <w:sz w:val="20"/>
          <w:szCs w:val="20"/>
          <w:color w:val="auto"/>
        </w:rPr>
      </w:pPr>
      <w:r>
        <w:rPr>
          <w:rFonts w:ascii="Times New Roman" w:cs="Times New Roman" w:eastAsia="Times New Roman" w:hAnsi="Times New Roman"/>
          <w:sz w:val="18"/>
          <w:szCs w:val="18"/>
          <w:color w:val="auto"/>
        </w:rPr>
        <w:t>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w:t>
      </w:r>
    </w:p>
    <w:p>
      <w:pPr>
        <w:spacing w:after="0" w:line="68" w:lineRule="exact"/>
        <w:rPr>
          <w:sz w:val="20"/>
          <w:szCs w:val="20"/>
          <w:color w:val="auto"/>
        </w:rPr>
      </w:pPr>
    </w:p>
    <w:p>
      <w:pPr>
        <w:ind w:left="102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acquisitions of Bluedot: the Company issued 819,737 ordinary shares of the Company to DBLP and 1,941,111 ordinary shares of the Company to the Tanist Group.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accumulated deficit and other consolidation adjustments as a result of acquisition accounting.</w:t>
      </w:r>
    </w:p>
    <w:p>
      <w:pPr>
        <w:spacing w:after="0" w:line="117" w:lineRule="exact"/>
        <w:rPr>
          <w:rFonts w:ascii="Times New Roman" w:cs="Times New Roman" w:eastAsia="Times New Roman" w:hAnsi="Times New Roman"/>
          <w:sz w:val="18"/>
          <w:szCs w:val="18"/>
          <w:color w:val="auto"/>
        </w:rPr>
      </w:pPr>
    </w:p>
    <w:p>
      <w:pPr>
        <w:ind w:left="1020" w:right="34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an adjustment for difference between the proceeds transferred and the carrying amounts of the net assets received in Additional Paid-in Capital for the transfer of Bluedot Industries, Inc. and Bluedot Industries Pty. Ltd accounted for as a common control transaction.</w:t>
      </w:r>
    </w:p>
    <w:p>
      <w:pPr>
        <w:spacing w:after="0" w:line="31" w:lineRule="exact"/>
        <w:rPr>
          <w:rFonts w:ascii="Times New Roman" w:cs="Times New Roman" w:eastAsia="Times New Roman" w:hAnsi="Times New Roman"/>
          <w:sz w:val="17"/>
          <w:szCs w:val="17"/>
          <w:color w:val="auto"/>
        </w:rPr>
      </w:pPr>
    </w:p>
    <w:p>
      <w:pPr>
        <w:ind w:left="1020" w:right="3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warrants recognized in equity to which GroupBy is a party as one of the conditions for the closing of the GroupBy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Bluedot Innovation Pty. Ltd for the year ended December 31, 2024 represents revenue from a government grant.</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GroupBy based on the fair values assigned in the preliminary purchase price allocation to technology intellectual property and customer contract and related relationships.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Innovation Pty. Ltd based on the values assigned to technology intellectual property based on the preliminary allocation of costs for the asset acquisition.</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w:t>
      </w:r>
    </w:p>
    <w:p>
      <w:pPr>
        <w:spacing w:after="0" w:line="67"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ind w:left="503" w:right="16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transfer under common control of Bluedot Industries, Inc. and Bluedot Industries Pty. Ltd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20" w:hanging="503"/>
        <w:spacing w:after="0" w:line="258"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4" w:lineRule="exact"/>
        <w:rPr>
          <w:sz w:val="20"/>
          <w:szCs w:val="20"/>
          <w:color w:val="auto"/>
        </w:rPr>
      </w:pPr>
    </w:p>
    <w:p>
      <w:pPr>
        <w:jc w:val="both"/>
        <w:ind w:left="503" w:hanging="503"/>
        <w:spacing w:after="0" w:line="266" w:lineRule="auto"/>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w:t>
      </w:r>
    </w:p>
    <w:p>
      <w:pPr>
        <w:spacing w:after="0" w:line="200" w:lineRule="exact"/>
        <w:rPr>
          <w:sz w:val="20"/>
          <w:szCs w:val="20"/>
          <w:color w:val="auto"/>
        </w:rPr>
      </w:pPr>
    </w:p>
    <w:p>
      <w:pPr>
        <w:spacing w:after="0" w:line="26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44" w:name="page45"/>
    <w:bookmarkEnd w:id="44"/>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became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warrants (subject to any restrictions under the UK Companies Act):</w:t>
      </w:r>
    </w:p>
    <w:p>
      <w:pPr>
        <w:spacing w:after="0" w:line="5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5" w:name="page46"/>
    <w:bookmarkEnd w:id="45"/>
    <w:p>
      <w:pPr>
        <w:jc w:val="both"/>
        <w:spacing w:after="0" w:line="312" w:lineRule="auto"/>
        <w:rPr>
          <w:sz w:val="20"/>
          <w:szCs w:val="20"/>
          <w:color w:val="auto"/>
        </w:rPr>
      </w:pPr>
      <w:r>
        <w:rPr>
          <w:rFonts w:ascii="Times New Roman" w:cs="Times New Roman" w:eastAsia="Times New Roman" w:hAnsi="Times New Roman"/>
          <w:sz w:val="17"/>
          <w:szCs w:val="17"/>
          <w:color w:val="auto"/>
        </w:rPr>
        <w:t>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46" w:name="page47"/>
    <w:bookmarkEnd w:id="46"/>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right="120"/>
        <w:spacing w:after="0" w:line="258" w:lineRule="auto"/>
        <w:rPr>
          <w:sz w:val="20"/>
          <w:szCs w:val="20"/>
          <w:color w:val="auto"/>
        </w:rPr>
      </w:pPr>
      <w:r>
        <w:rPr>
          <w:rFonts w:ascii="Times New Roman" w:cs="Times New Roman" w:eastAsia="Times New Roman" w:hAnsi="Times New Roman"/>
          <w:sz w:val="18"/>
          <w:szCs w:val="18"/>
          <w:color w:val="auto"/>
        </w:rPr>
        <w:t>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68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As of the date of this prospectus, there is currently no Class I director, four Class II directors and one Class III director.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9" w:name="page50"/>
    <w:bookmarkEnd w:id="49"/>
    <w:p>
      <w:pPr>
        <w:ind w:right="6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ind w:left="1020" w:right="1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53" w:lineRule="exact"/>
        <w:rPr>
          <w:rFonts w:ascii="Times New Roman" w:cs="Times New Roman" w:eastAsia="Times New Roman" w:hAnsi="Times New Roman"/>
          <w:sz w:val="18"/>
          <w:szCs w:val="18"/>
          <w:color w:val="auto"/>
        </w:rPr>
      </w:pPr>
    </w:p>
    <w:p>
      <w:pPr>
        <w:jc w:val="both"/>
        <w:ind w:left="1020" w:right="6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0" w:name="page51"/>
    <w:bookmarkEnd w:id="50"/>
    <w:p>
      <w:pPr>
        <w:ind w:right="20"/>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1" w:name="page52"/>
    <w:bookmarkEnd w:id="51"/>
    <w:p>
      <w:pPr>
        <w:ind w:right="6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1020" w:right="1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ind w:right="28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1020" w:right="2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3" w:name="page54"/>
    <w:bookmarkEnd w:id="53"/>
    <w:p>
      <w:pPr>
        <w:ind w:right="420"/>
        <w:spacing w:after="0" w:line="266" w:lineRule="auto"/>
        <w:rPr>
          <w:sz w:val="20"/>
          <w:szCs w:val="20"/>
          <w:color w:val="auto"/>
        </w:rPr>
      </w:pPr>
      <w:r>
        <w:rPr>
          <w:rFonts w:ascii="Times New Roman" w:cs="Times New Roman" w:eastAsia="Times New Roman" w:hAnsi="Times New Roman"/>
          <w:sz w:val="18"/>
          <w:szCs w:val="18"/>
          <w:color w:val="auto"/>
        </w:rPr>
        <w:t>“data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34" w:right="5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37,000,000 Ordinary Shares issued in connection with the PIPE Financing.</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September 30, 2025 .</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980" w:type="dxa"/>
            <w:vAlign w:val="bottom"/>
            <w:tcBorders>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 xml:space="preserve">Alyeska Master Fund, L.P. </w:t>
            </w:r>
            <w:r>
              <w:rPr>
                <w:rFonts w:ascii="Times New Roman" w:cs="Times New Roman" w:eastAsia="Times New Roman" w:hAnsi="Times New Roman"/>
                <w:sz w:val="24"/>
                <w:szCs w:val="24"/>
                <w:color w:val="auto"/>
                <w:vertAlign w:val="superscript"/>
              </w:rPr>
              <w:t>(2)</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24,400,000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24,400,000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Citadel CEMF Investments Ltd.</w:t>
            </w:r>
            <w:r>
              <w:rPr>
                <w:rFonts w:ascii="Times New Roman" w:cs="Times New Roman" w:eastAsia="Times New Roman" w:hAnsi="Times New Roman"/>
                <w:sz w:val="24"/>
                <w:szCs w:val="24"/>
                <w:color w:val="auto"/>
                <w:vertAlign w:val="superscript"/>
              </w:rPr>
              <w:t>(3)</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20,579,499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12,600,000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7,979,499</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140" w:hanging="132"/>
        <w:spacing w:after="0"/>
        <w:tabs>
          <w:tab w:leader="none" w:pos="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98"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322,174,536 Ordinary Shares outstanding, which includes the sale of all securities offered hereby by that particular Selling Holder and does not assume the sale by any other Selling Holder.</w:t>
      </w:r>
    </w:p>
    <w:p>
      <w:pPr>
        <w:spacing w:after="0" w:line="68" w:lineRule="exact"/>
        <w:rPr>
          <w:sz w:val="20"/>
          <w:szCs w:val="20"/>
          <w:color w:val="auto"/>
        </w:rPr>
      </w:pPr>
    </w:p>
    <w:p>
      <w:pPr>
        <w:ind w:left="520" w:right="120" w:hanging="512"/>
        <w:spacing w:after="0" w:line="255"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24,400,000 Ordinary Shares issued in connection with the September 24, 2025, PIPE Financing. Alyeska Investment Group, L.P., the investment manager of Alyeska Master Fund, L.P. (the “</w:t>
      </w:r>
      <w:r>
        <w:rPr>
          <w:rFonts w:ascii="Times New Roman" w:cs="Times New Roman" w:eastAsia="Times New Roman" w:hAnsi="Times New Roman"/>
          <w:sz w:val="18"/>
          <w:szCs w:val="18"/>
          <w:b w:val="1"/>
          <w:bCs w:val="1"/>
          <w:i w:val="1"/>
          <w:iCs w:val="1"/>
          <w:color w:val="auto"/>
        </w:rPr>
        <w:t>Alyeska Master Fund</w:t>
      </w:r>
      <w:r>
        <w:rPr>
          <w:rFonts w:ascii="Times New Roman" w:cs="Times New Roman" w:eastAsia="Times New Roman" w:hAnsi="Times New Roman"/>
          <w:sz w:val="18"/>
          <w:szCs w:val="18"/>
          <w:color w:val="auto"/>
        </w:rPr>
        <w:t>”),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Alyeska Master Fund. The principal business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80" w:lineRule="exact"/>
        <w:rPr>
          <w:rFonts w:ascii="Times New Roman" w:cs="Times New Roman" w:eastAsia="Times New Roman" w:hAnsi="Times New Roman"/>
          <w:sz w:val="18"/>
          <w:szCs w:val="18"/>
          <w:color w:val="auto"/>
        </w:rPr>
      </w:pPr>
    </w:p>
    <w:p>
      <w:pPr>
        <w:ind w:left="520" w:right="20" w:hanging="512"/>
        <w:spacing w:after="0" w:line="254"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12,600,000 Ordinary Shares issued in connection with the September 24, 2025, PIPE Financing issued to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securities held by Citadel CEMF Investments Ltd. This disclosure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 33131.</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6" w:name="page57"/>
    <w:bookmarkEnd w:id="56"/>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Holders or their permitted transferees of up to 37,000,000 Ordinary Shares issued to the Selling Holders in connection with the PIPE Financing.</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7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3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58" w:name="page59"/>
    <w:bookmarkEnd w:id="5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rPr>
              <w:t>32,062.21</w:t>
            </w:r>
          </w:p>
        </w:tc>
        <w:tc>
          <w:tcPr>
            <w:tcW w:w="220" w:type="dxa"/>
            <w:vAlign w:val="bottom"/>
            <w:shd w:val="clear" w:color="auto" w:fill="CFF0FC"/>
          </w:tcPr>
          <w:p>
            <w:pPr>
              <w:spacing w:after="0"/>
              <w:rPr>
                <w:sz w:val="18"/>
                <w:szCs w:val="18"/>
                <w:color w:val="auto"/>
              </w:rPr>
            </w:pP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center"/>
              <w:ind w:right="3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ind w:right="3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540" w:right="1560" w:hanging="5532"/>
        <w:spacing w:after="0" w:line="657" w:lineRule="auto"/>
        <w:tabs>
          <w:tab w:leader="none" w:pos="1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9" w:name="page60"/>
    <w:bookmarkEnd w:id="59"/>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incorporated by reference herein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incorporated by reference herein have been audited by MNP, LLP an independent registered public accounting firm, as set forth in their report thereon, and are included in reliance on such report given upon the authority of such firm as experts in accounting and auditing.</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F-3,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and any future filings we make with the SEC until the offering of the securities under the registration statement of which this prospectus forms a part is terminated or completed:</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44">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24, 2025;</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Report of Foreign Private Issuer on Form 6-K filed with the SEC on </w:t>
      </w:r>
      <w:hyperlink r:id="rId145">
        <w:r>
          <w:rPr>
            <w:rFonts w:ascii="Times New Roman" w:cs="Times New Roman" w:eastAsia="Times New Roman" w:hAnsi="Times New Roman"/>
            <w:sz w:val="18"/>
            <w:szCs w:val="18"/>
            <w:u w:val="single" w:color="auto"/>
            <w:color w:val="0000FF"/>
          </w:rPr>
          <w:t>March 31, 2025</w:t>
        </w:r>
      </w:hyperlink>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u w:val="single" w:color="auto"/>
            <w:color w:val="0000FF"/>
          </w:rPr>
          <w:t>July 24, 2025</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FF"/>
          </w:rPr>
          <w:t>July 25, 2025</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0000FF"/>
          </w:rPr>
          <w:t>July 25 2025</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FF"/>
          </w:rPr>
          <w:t xml:space="preserve">September 24, 2025, </w:t>
        </w:r>
      </w:hyperlink>
      <w:hyperlink r:id="rId150">
        <w:r>
          <w:rPr>
            <w:rFonts w:ascii="Times New Roman" w:cs="Times New Roman" w:eastAsia="Times New Roman" w:hAnsi="Times New Roman"/>
            <w:sz w:val="18"/>
            <w:szCs w:val="18"/>
            <w:u w:val="single" w:color="auto"/>
            <w:color w:val="0000FF"/>
          </w:rPr>
          <w:t xml:space="preserve">September 24,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151">
        <w:r>
          <w:rPr>
            <w:rFonts w:ascii="Times New Roman" w:cs="Times New Roman" w:eastAsia="Times New Roman" w:hAnsi="Times New Roman"/>
            <w:sz w:val="18"/>
            <w:szCs w:val="18"/>
            <w:u w:val="single" w:color="auto"/>
            <w:color w:val="0000FF"/>
          </w:rPr>
          <w:t>September 26,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FF"/>
        </w:rPr>
      </w:pPr>
    </w:p>
    <w:p>
      <w:pPr>
        <w:ind w:left="1020" w:right="5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152">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001-42254) filed with the SEC on August 15, 2024.</w:t>
      </w:r>
    </w:p>
    <w:p>
      <w:pPr>
        <w:spacing w:after="0" w:line="162" w:lineRule="exact"/>
        <w:rPr>
          <w:rFonts w:ascii="Times New Roman" w:cs="Times New Roman" w:eastAsia="Times New Roman" w:hAnsi="Times New Roman"/>
          <w:sz w:val="18"/>
          <w:szCs w:val="18"/>
          <w:color w:val="0000FF"/>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pursuant to Section 13(a), 13(c), 14 or 15(d) of the Exchange Act that are filed after the effective date of the registration statement of which this prospectus is a part and prior to the termination of the offering of securities offered pursuant to this prospectus. We also incorporate by reference all additional documents that we file with the SEC pursuant to Section 13(a), 13(c),</w:t>
      </w:r>
    </w:p>
    <w:p>
      <w:pPr>
        <w:spacing w:after="0" w:line="1" w:lineRule="exact"/>
        <w:rPr>
          <w:rFonts w:ascii="Times New Roman" w:cs="Times New Roman" w:eastAsia="Times New Roman" w:hAnsi="Times New Roman"/>
          <w:sz w:val="18"/>
          <w:szCs w:val="18"/>
          <w:color w:val="0000FF"/>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14 or 15(d) of the Exchange Act that are filed after the filing date of the registration statement of which this prospectus is a part and </w:t>
      </w:r>
      <w:r>
        <w:rPr>
          <w:rFonts w:ascii="Times New Roman" w:cs="Times New Roman" w:eastAsia="Times New Roman" w:hAnsi="Times New Roman"/>
          <w:sz w:val="18"/>
          <w:szCs w:val="18"/>
          <w:i w:val="1"/>
          <w:iCs w:val="1"/>
          <w:color w:val="auto"/>
        </w:rPr>
        <w:t>prior to effectiveness</w:t>
      </w:r>
      <w:r>
        <w:rPr>
          <w:rFonts w:ascii="Times New Roman" w:cs="Times New Roman" w:eastAsia="Times New Roman" w:hAnsi="Times New Roman"/>
          <w:sz w:val="18"/>
          <w:szCs w:val="18"/>
          <w:color w:val="auto"/>
        </w:rPr>
        <w:t xml:space="preserve"> of that registration statement. We are not, however, incorporating, in each case, any documents or information that we are deemed to “furnish” and not file in accordance with SEC rules.</w:t>
      </w:r>
    </w:p>
    <w:p>
      <w:pPr>
        <w:spacing w:after="0" w:line="186" w:lineRule="exact"/>
        <w:rPr>
          <w:rFonts w:ascii="Times New Roman" w:cs="Times New Roman" w:eastAsia="Times New Roman" w:hAnsi="Times New Roman"/>
          <w:sz w:val="18"/>
          <w:szCs w:val="18"/>
          <w:color w:val="0000FF"/>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Tel:+44 204 625 9700</w:t>
      </w:r>
    </w:p>
    <w:p>
      <w:pPr>
        <w:spacing w:after="0" w:line="9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62" w:name="page63"/>
    <w:bookmarkEnd w:id="62"/>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1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1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auto"/>
            </w:tcBorders>
          </w:tcPr>
          <w:p>
            <w:pPr>
              <w:spacing w:after="0"/>
              <w:rPr>
                <w:sz w:val="18"/>
                <w:szCs w:val="18"/>
                <w:color w:val="auto"/>
              </w:rPr>
            </w:pPr>
          </w:p>
        </w:tc>
        <w:tc>
          <w:tcPr>
            <w:tcW w:w="10000" w:type="dxa"/>
            <w:vAlign w:val="bottom"/>
            <w:tcBorders>
              <w:top w:val="single" w:sz="8" w:color="auto"/>
              <w:right w:val="single" w:sz="8" w:color="auto"/>
            </w:tcBorders>
            <w:gridSpan w:val="3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5"/>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r>
      <w:tr>
        <w:trPr>
          <w:trHeight w:val="152"/>
        </w:trPr>
        <w:tc>
          <w:tcPr>
            <w:tcW w:w="1140" w:type="dxa"/>
            <w:vAlign w:val="bottom"/>
            <w:tcBorders>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3"/>
                <w:szCs w:val="13"/>
                <w:color w:val="auto"/>
              </w:rPr>
            </w:pPr>
          </w:p>
        </w:tc>
        <w:tc>
          <w:tcPr>
            <w:tcW w:w="9720" w:type="dxa"/>
            <w:vAlign w:val="bottom"/>
            <w:tcBorders>
              <w:bottom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Business Combination Agreement, dated December 17, 2021, as amended on November 10, 2022 and as further amended and restated</w:t>
              </w:r>
            </w:hyperlink>
          </w:p>
        </w:tc>
        <w:tc>
          <w:tcPr>
            <w:tcW w:w="280" w:type="dxa"/>
            <w:vAlign w:val="bottom"/>
            <w:tcBorders>
              <w:right w:val="single" w:sz="8" w:color="auto"/>
            </w:tcBorders>
            <w:gridSpan w:val="6"/>
          </w:tcPr>
          <w:p>
            <w:pPr>
              <w:spacing w:after="0"/>
              <w:rPr>
                <w:sz w:val="13"/>
                <w:szCs w:val="13"/>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on June 16, 2023, as amended on August 4, 2023 (incorporated by reference to Exhibit 2.1 of Rezolve AI Limited’s Registration</w:t>
              </w:r>
            </w:hyperlink>
          </w:p>
        </w:tc>
        <w:tc>
          <w:tcPr>
            <w:tcW w:w="700" w:type="dxa"/>
            <w:vAlign w:val="bottom"/>
            <w:tcBorders>
              <w:right w:val="single" w:sz="8" w:color="auto"/>
            </w:tcBorders>
            <w:gridSpan w:val="17"/>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Statement on Form F-4, Amendment No. 2, filed with the SEC on September 25, 2023).</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4"/>
                <w:szCs w:val="14"/>
                <w:color w:val="auto"/>
              </w:rPr>
            </w:pPr>
          </w:p>
        </w:tc>
        <w:tc>
          <w:tcPr>
            <w:tcW w:w="934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c>
          <w:tcPr>
            <w:tcW w:w="660" w:type="dxa"/>
            <w:vAlign w:val="bottom"/>
            <w:tcBorders>
              <w:right w:val="single" w:sz="8" w:color="auto"/>
            </w:tcBorders>
            <w:gridSpan w:val="15"/>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Rezolve and Rezolve Merger Sub (incorporated by reference to Exhibit 2.2 of Rezolve AI Limited’s Registration Statement on Form F-</w:t>
              </w:r>
            </w:hyperlink>
          </w:p>
        </w:tc>
        <w:tc>
          <w:tcPr>
            <w:tcW w:w="220" w:type="dxa"/>
            <w:vAlign w:val="bottom"/>
            <w:tcBorders>
              <w:right w:val="single" w:sz="8" w:color="auto"/>
            </w:tcBorders>
            <w:gridSpan w:val="4"/>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4, Amendment No. 2, filed with the SEC on September 25, 2023).</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66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Amended and Restated Memorandum and Articles of Association of Rezolve (incorporated by reference to Exhibit 1.1 of Rezolve AI</w:t>
              </w:r>
            </w:hyperlink>
          </w:p>
        </w:tc>
        <w:tc>
          <w:tcPr>
            <w:tcW w:w="340" w:type="dxa"/>
            <w:vAlign w:val="bottom"/>
            <w:tcBorders>
              <w:right w:val="single" w:sz="8" w:color="auto"/>
            </w:tcBorders>
            <w:gridSpan w:val="7"/>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Limited’s Shell Company Report on Form 20-F, filed with the SEC on April 24, 2025).</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962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Specimen of Ordinary Share Certificate (incorporated by reference to Exhibit 2.1 of Rezolve AI Limited’s Shell Company Report on</w:t>
              </w:r>
            </w:hyperlink>
          </w:p>
        </w:tc>
        <w:tc>
          <w:tcPr>
            <w:tcW w:w="380" w:type="dxa"/>
            <w:vAlign w:val="bottom"/>
            <w:tcBorders>
              <w:right w:val="single" w:sz="8" w:color="auto"/>
            </w:tcBorders>
            <w:gridSpan w:val="9"/>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4"/>
                <w:szCs w:val="14"/>
                <w:color w:val="auto"/>
              </w:rPr>
            </w:pPr>
          </w:p>
        </w:tc>
        <w:tc>
          <w:tcPr>
            <w:tcW w:w="954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Specimen Rezolve Warrant Certificate (incorporated by reference to Exhibit 2.2 of Rezolve AI Limited’s Shell Company Report on</w:t>
              </w:r>
            </w:hyperlink>
          </w:p>
        </w:tc>
        <w:tc>
          <w:tcPr>
            <w:tcW w:w="460" w:type="dxa"/>
            <w:vAlign w:val="bottom"/>
            <w:tcBorders>
              <w:right w:val="single" w:sz="8" w:color="auto"/>
            </w:tcBorders>
            <w:gridSpan w:val="10"/>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140" w:type="dxa"/>
            <w:vAlign w:val="bottom"/>
            <w:tcBorders>
              <w:bottom w:val="single" w:sz="8" w:color="A0A0A0"/>
            </w:tcBorders>
          </w:tcPr>
          <w:p>
            <w:pPr>
              <w:spacing w:after="0"/>
              <w:rPr>
                <w:sz w:val="18"/>
                <w:szCs w:val="18"/>
                <w:color w:val="auto"/>
              </w:rPr>
            </w:pPr>
          </w:p>
        </w:tc>
        <w:tc>
          <w:tcPr>
            <w:tcW w:w="100" w:type="dxa"/>
            <w:vAlign w:val="bottom"/>
            <w:tcBorders>
              <w:bottom w:val="single" w:sz="8" w:color="A0A0A0"/>
            </w:tcBorders>
          </w:tcPr>
          <w:p>
            <w:pPr>
              <w:spacing w:after="0"/>
              <w:rPr>
                <w:sz w:val="18"/>
                <w:szCs w:val="18"/>
                <w:color w:val="auto"/>
              </w:rPr>
            </w:pPr>
          </w:p>
        </w:tc>
        <w:tc>
          <w:tcPr>
            <w:tcW w:w="740" w:type="dxa"/>
            <w:vAlign w:val="bottom"/>
            <w:tcBorders>
              <w:bottom w:val="single" w:sz="8" w:color="A0A0A0"/>
            </w:tcBorders>
          </w:tcPr>
          <w:p>
            <w:pPr>
              <w:spacing w:after="0"/>
              <w:rPr>
                <w:sz w:val="18"/>
                <w:szCs w:val="18"/>
                <w:color w:val="auto"/>
              </w:rPr>
            </w:pPr>
          </w:p>
        </w:tc>
        <w:tc>
          <w:tcPr>
            <w:tcW w:w="1240" w:type="dxa"/>
            <w:vAlign w:val="bottom"/>
            <w:tcBorders>
              <w:bottom w:val="single" w:sz="8" w:color="A0A0A0"/>
            </w:tcBorders>
          </w:tcPr>
          <w:p>
            <w:pPr>
              <w:spacing w:after="0"/>
              <w:rPr>
                <w:sz w:val="18"/>
                <w:szCs w:val="18"/>
                <w:color w:val="auto"/>
              </w:rPr>
            </w:pPr>
          </w:p>
        </w:tc>
        <w:tc>
          <w:tcPr>
            <w:tcW w:w="180" w:type="dxa"/>
            <w:vAlign w:val="bottom"/>
            <w:tcBorders>
              <w:bottom w:val="single" w:sz="8" w:color="A0A0A0"/>
            </w:tcBorders>
          </w:tcPr>
          <w:p>
            <w:pPr>
              <w:spacing w:after="0"/>
              <w:rPr>
                <w:sz w:val="18"/>
                <w:szCs w:val="18"/>
                <w:color w:val="auto"/>
              </w:rPr>
            </w:pPr>
          </w:p>
        </w:tc>
        <w:tc>
          <w:tcPr>
            <w:tcW w:w="220" w:type="dxa"/>
            <w:vAlign w:val="bottom"/>
            <w:tcBorders>
              <w:bottom w:val="single" w:sz="8" w:color="A0A0A0"/>
            </w:tcBorders>
          </w:tcPr>
          <w:p>
            <w:pPr>
              <w:spacing w:after="0"/>
              <w:rPr>
                <w:sz w:val="18"/>
                <w:szCs w:val="18"/>
                <w:color w:val="auto"/>
              </w:rPr>
            </w:pPr>
          </w:p>
        </w:tc>
        <w:tc>
          <w:tcPr>
            <w:tcW w:w="340" w:type="dxa"/>
            <w:vAlign w:val="bottom"/>
            <w:tcBorders>
              <w:bottom w:val="single" w:sz="8" w:color="A0A0A0"/>
            </w:tcBorders>
          </w:tcPr>
          <w:p>
            <w:pPr>
              <w:spacing w:after="0"/>
              <w:rPr>
                <w:sz w:val="18"/>
                <w:szCs w:val="18"/>
                <w:color w:val="auto"/>
              </w:rPr>
            </w:pPr>
          </w:p>
        </w:tc>
        <w:tc>
          <w:tcPr>
            <w:tcW w:w="1040" w:type="dxa"/>
            <w:vAlign w:val="bottom"/>
            <w:tcBorders>
              <w:bottom w:val="single" w:sz="8" w:color="A0A0A0"/>
            </w:tcBorders>
          </w:tcPr>
          <w:p>
            <w:pPr>
              <w:spacing w:after="0"/>
              <w:rPr>
                <w:sz w:val="18"/>
                <w:szCs w:val="18"/>
                <w:color w:val="auto"/>
              </w:rPr>
            </w:pPr>
          </w:p>
        </w:tc>
        <w:tc>
          <w:tcPr>
            <w:tcW w:w="1000" w:type="dxa"/>
            <w:vAlign w:val="bottom"/>
            <w:tcBorders>
              <w:bottom w:val="single" w:sz="8" w:color="A0A0A0"/>
            </w:tcBorders>
          </w:tcPr>
          <w:p>
            <w:pPr>
              <w:spacing w:after="0"/>
              <w:rPr>
                <w:sz w:val="18"/>
                <w:szCs w:val="18"/>
                <w:color w:val="auto"/>
              </w:rPr>
            </w:pPr>
          </w:p>
        </w:tc>
        <w:tc>
          <w:tcPr>
            <w:tcW w:w="1140" w:type="dxa"/>
            <w:vAlign w:val="bottom"/>
            <w:tcBorders>
              <w:bottom w:val="single" w:sz="8" w:color="A0A0A0"/>
            </w:tcBorders>
          </w:tcPr>
          <w:p>
            <w:pPr>
              <w:spacing w:after="0"/>
              <w:rPr>
                <w:sz w:val="18"/>
                <w:szCs w:val="18"/>
                <w:color w:val="auto"/>
              </w:rPr>
            </w:pPr>
          </w:p>
        </w:tc>
        <w:tc>
          <w:tcPr>
            <w:tcW w:w="440" w:type="dxa"/>
            <w:vAlign w:val="bottom"/>
            <w:tcBorders>
              <w:bottom w:val="single" w:sz="8" w:color="A0A0A0"/>
            </w:tcBorders>
          </w:tcPr>
          <w:p>
            <w:pPr>
              <w:spacing w:after="0"/>
              <w:rPr>
                <w:sz w:val="18"/>
                <w:szCs w:val="18"/>
                <w:color w:val="auto"/>
              </w:rPr>
            </w:pPr>
          </w:p>
        </w:tc>
        <w:tc>
          <w:tcPr>
            <w:tcW w:w="100" w:type="dxa"/>
            <w:vAlign w:val="bottom"/>
            <w:tcBorders>
              <w:bottom w:val="single" w:sz="8" w:color="A0A0A0"/>
            </w:tcBorders>
          </w:tcPr>
          <w:p>
            <w:pPr>
              <w:spacing w:after="0"/>
              <w:rPr>
                <w:sz w:val="18"/>
                <w:szCs w:val="18"/>
                <w:color w:val="auto"/>
              </w:rPr>
            </w:pPr>
          </w:p>
        </w:tc>
        <w:tc>
          <w:tcPr>
            <w:tcW w:w="580" w:type="dxa"/>
            <w:vAlign w:val="bottom"/>
            <w:tcBorders>
              <w:bottom w:val="single" w:sz="8" w:color="A0A0A0"/>
            </w:tcBorders>
          </w:tcPr>
          <w:p>
            <w:pPr>
              <w:spacing w:after="0"/>
              <w:rPr>
                <w:sz w:val="18"/>
                <w:szCs w:val="18"/>
                <w:color w:val="auto"/>
              </w:rPr>
            </w:pPr>
          </w:p>
        </w:tc>
        <w:tc>
          <w:tcPr>
            <w:tcW w:w="560" w:type="dxa"/>
            <w:vAlign w:val="bottom"/>
            <w:tcBorders>
              <w:bottom w:val="single" w:sz="8" w:color="A0A0A0"/>
            </w:tcBorders>
          </w:tcPr>
          <w:p>
            <w:pPr>
              <w:spacing w:after="0"/>
              <w:rPr>
                <w:sz w:val="18"/>
                <w:szCs w:val="18"/>
                <w:color w:val="auto"/>
              </w:rPr>
            </w:pPr>
          </w:p>
        </w:tc>
        <w:tc>
          <w:tcPr>
            <w:tcW w:w="1400" w:type="dxa"/>
            <w:vAlign w:val="bottom"/>
            <w:tcBorders>
              <w:bottom w:val="single" w:sz="8" w:color="A0A0A0"/>
            </w:tcBorders>
          </w:tcPr>
          <w:p>
            <w:pPr>
              <w:spacing w:after="0"/>
              <w:rPr>
                <w:sz w:val="18"/>
                <w:szCs w:val="18"/>
                <w:color w:val="auto"/>
              </w:rPr>
            </w:pPr>
          </w:p>
        </w:tc>
        <w:tc>
          <w:tcPr>
            <w:tcW w:w="16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8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8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120" w:type="dxa"/>
            <w:vAlign w:val="bottom"/>
            <w:tcBorders>
              <w:bottom w:val="single" w:sz="8" w:color="A0A0A0"/>
            </w:tcBorders>
          </w:tcPr>
          <w:p>
            <w:pPr>
              <w:spacing w:after="0"/>
              <w:rPr>
                <w:sz w:val="18"/>
                <w:szCs w:val="18"/>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4"/>
                <w:szCs w:val="14"/>
                <w:color w:val="auto"/>
              </w:rPr>
            </w:pPr>
          </w:p>
        </w:tc>
        <w:tc>
          <w:tcPr>
            <w:tcW w:w="988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Warrant Agreement, dated August 15, 2024, by and among Rezolve AI Limited and Computershare Inc. and its affiliate, Computershare</w:t>
              </w:r>
            </w:hyperlink>
          </w:p>
        </w:tc>
        <w:tc>
          <w:tcPr>
            <w:tcW w:w="120" w:type="dxa"/>
            <w:vAlign w:val="bottom"/>
            <w:tcBorders>
              <w:right w:val="single" w:sz="8" w:color="auto"/>
            </w:tcBorders>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Trust Company, N.A. (incorporated by reference to Exhibit 4.3 of Rezolve AI Limited’s Shell Company Report on Form 20-F, filed with</w:t>
              </w:r>
            </w:hyperlink>
          </w:p>
        </w:tc>
        <w:tc>
          <w:tcPr>
            <w:tcW w:w="120" w:type="dxa"/>
            <w:vAlign w:val="bottom"/>
            <w:tcBorders>
              <w:right w:val="single" w:sz="8" w:color="auto"/>
            </w:tcBorders>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4"/>
                <w:szCs w:val="14"/>
                <w:color w:val="auto"/>
              </w:rPr>
            </w:pPr>
          </w:p>
        </w:tc>
        <w:tc>
          <w:tcPr>
            <w:tcW w:w="920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Warrant Assignment, Assumption and Amendment Agreement, dated August 15, 2024, by and among Rezolve AI Limited and</w:t>
              </w:r>
            </w:hyperlink>
          </w:p>
        </w:tc>
        <w:tc>
          <w:tcPr>
            <w:tcW w:w="800" w:type="dxa"/>
            <w:vAlign w:val="bottom"/>
            <w:tcBorders>
              <w:right w:val="single" w:sz="8" w:color="auto"/>
            </w:tcBorders>
            <w:gridSpan w:val="20"/>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Computershare Inc. and its affiliate, Computershare Trust Company, N.A. (incorporated by reference to Exhibit 4.4 of Rezolve AI</w:t>
              </w:r>
            </w:hyperlink>
          </w:p>
        </w:tc>
        <w:tc>
          <w:tcPr>
            <w:tcW w:w="560" w:type="dxa"/>
            <w:vAlign w:val="bottom"/>
            <w:tcBorders>
              <w:right w:val="single" w:sz="8" w:color="auto"/>
            </w:tcBorders>
            <w:gridSpan w:val="13"/>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Limited’s Shell Company Report on 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4"/>
                <w:szCs w:val="14"/>
                <w:color w:val="auto"/>
              </w:rPr>
            </w:pPr>
          </w:p>
        </w:tc>
        <w:tc>
          <w:tcPr>
            <w:tcW w:w="964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Investor Rights Agreement, dated August 15, 2024, by and among Rezolve AI Limited and the holders party thereto (incorporated by</w:t>
              </w:r>
            </w:hyperlink>
          </w:p>
        </w:tc>
        <w:tc>
          <w:tcPr>
            <w:tcW w:w="360" w:type="dxa"/>
            <w:vAlign w:val="bottom"/>
            <w:tcBorders>
              <w:right w:val="single" w:sz="8" w:color="auto"/>
            </w:tcBorders>
            <w:gridSpan w:val="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reference to Exhibit 4.6 of Rezolve AI Limited’s Shell Company Report on 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4"/>
                <w:szCs w:val="14"/>
                <w:color w:val="auto"/>
              </w:rPr>
            </w:pPr>
          </w:p>
        </w:tc>
        <w:tc>
          <w:tcPr>
            <w:tcW w:w="976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Lock-In Agreement, dated August 15, 2024, by and among Rezolve AI Limited and the holders party thereto (incorporated by</w:t>
              </w:r>
            </w:hyperlink>
          </w:p>
        </w:tc>
        <w:tc>
          <w:tcPr>
            <w:tcW w:w="240" w:type="dxa"/>
            <w:vAlign w:val="bottom"/>
            <w:tcBorders>
              <w:right w:val="single" w:sz="8" w:color="auto"/>
            </w:tcBorders>
            <w:gridSpan w:val="5"/>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reference to Exhibit 4.7 of Rezolve AI Limited’s Shell Company Report on Form 20-F, filed with the SEC on August 22,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4"/>
                <w:szCs w:val="14"/>
                <w:color w:val="auto"/>
              </w:rPr>
            </w:pPr>
          </w:p>
        </w:tc>
        <w:tc>
          <w:tcPr>
            <w:tcW w:w="10000" w:type="dxa"/>
            <w:vAlign w:val="bottom"/>
            <w:tcBorders>
              <w:right w:val="single" w:sz="8" w:color="auto"/>
            </w:tcBorders>
            <w:gridSpan w:val="35"/>
          </w:tcPr>
          <w:p>
            <w:pPr>
              <w:spacing w:after="0" w:line="169" w:lineRule="exact"/>
              <w:rPr>
                <w:sz w:val="20"/>
                <w:szCs w:val="20"/>
                <w:color w:val="auto"/>
              </w:rPr>
            </w:pPr>
            <w:r>
              <w:rPr>
                <w:rFonts w:ascii="Times New Roman" w:cs="Times New Roman" w:eastAsia="Times New Roman" w:hAnsi="Times New Roman"/>
                <w:sz w:val="18"/>
                <w:szCs w:val="18"/>
                <w:color w:val="0000FF"/>
              </w:rPr>
              <w:t>Opinion of Taylor Wessing LLP.</w:t>
            </w:r>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952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Loan Note Instrument dated December 16, 2021, as amended and restated on November 21, 2022 and May 23, 2023, and as further</w:t>
              </w:r>
            </w:hyperlink>
          </w:p>
        </w:tc>
        <w:tc>
          <w:tcPr>
            <w:tcW w:w="480" w:type="dxa"/>
            <w:vAlign w:val="bottom"/>
            <w:tcBorders>
              <w:right w:val="single" w:sz="8" w:color="auto"/>
            </w:tcBorders>
            <w:gridSpan w:val="11"/>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amended and restated on December 18, 2023 and December 29, 2023 (incorporated by reference to Exhibit 10.17 of Rezolve AI</w:t>
              </w:r>
            </w:hyperlink>
          </w:p>
        </w:tc>
        <w:tc>
          <w:tcPr>
            <w:tcW w:w="720" w:type="dxa"/>
            <w:vAlign w:val="bottom"/>
            <w:tcBorders>
              <w:right w:val="single" w:sz="8" w:color="auto"/>
            </w:tcBorders>
            <w:gridSpan w:val="18"/>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Limited’s Registration Statement on Form F-4, Amendment No. 6, filed with the SEC on June 11,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4"/>
                <w:szCs w:val="14"/>
                <w:color w:val="auto"/>
              </w:rPr>
            </w:pPr>
          </w:p>
        </w:tc>
        <w:tc>
          <w:tcPr>
            <w:tcW w:w="92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Binding Term Sheet, dated August 30, 2021, by and among Rezolve, Radio Group and the other parties thereto (incorporated by</w:t>
              </w:r>
            </w:hyperlink>
          </w:p>
        </w:tc>
        <w:tc>
          <w:tcPr>
            <w:tcW w:w="720" w:type="dxa"/>
            <w:vAlign w:val="bottom"/>
            <w:tcBorders>
              <w:right w:val="single" w:sz="8" w:color="auto"/>
            </w:tcBorders>
            <w:gridSpan w:val="1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reference to Exhibit 10.18 of Rezolve AI Limited’s Registration Statement on Form F-4, Amendment No. 5, filed with the SEC on May</w:t>
              </w:r>
            </w:hyperlink>
          </w:p>
        </w:tc>
        <w:tc>
          <w:tcPr>
            <w:tcW w:w="160" w:type="dxa"/>
            <w:vAlign w:val="bottom"/>
            <w:tcBorders>
              <w:right w:val="single" w:sz="8" w:color="auto"/>
            </w:tcBorders>
            <w:gridSpan w:val="2"/>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08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20, 2024).</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4"/>
                <w:szCs w:val="14"/>
                <w:color w:val="auto"/>
              </w:rPr>
            </w:pPr>
          </w:p>
        </w:tc>
        <w:tc>
          <w:tcPr>
            <w:tcW w:w="898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Amendment to Binding Term Sheet, dated May 24, 2023, by and among Rezolve, Radio Group and the other parties thereto</w:t>
              </w:r>
            </w:hyperlink>
          </w:p>
        </w:tc>
        <w:tc>
          <w:tcPr>
            <w:tcW w:w="1020" w:type="dxa"/>
            <w:vAlign w:val="bottom"/>
            <w:tcBorders>
              <w:right w:val="single" w:sz="8" w:color="auto"/>
            </w:tcBorders>
            <w:gridSpan w:val="22"/>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(incorporated by reference to Exhibit 10.19 of Rezolve AI Limited’s Registration Statement on Form F-4, Amendment No. 5, filed with</w:t>
              </w:r>
            </w:hyperlink>
          </w:p>
        </w:tc>
        <w:tc>
          <w:tcPr>
            <w:tcW w:w="180" w:type="dxa"/>
            <w:vAlign w:val="bottom"/>
            <w:tcBorders>
              <w:right w:val="single" w:sz="8" w:color="auto"/>
            </w:tcBorders>
            <w:gridSpan w:val="3"/>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4"/>
                <w:szCs w:val="14"/>
                <w:color w:val="auto"/>
              </w:rPr>
            </w:pPr>
          </w:p>
        </w:tc>
        <w:tc>
          <w:tcPr>
            <w:tcW w:w="942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Agreement in Context of the Binding Term Sheet, dated May 24, 2023, by and among Rezolve, Radio Group and the other parties</w:t>
              </w:r>
            </w:hyperlink>
          </w:p>
        </w:tc>
        <w:tc>
          <w:tcPr>
            <w:tcW w:w="580" w:type="dxa"/>
            <w:vAlign w:val="bottom"/>
            <w:tcBorders>
              <w:right w:val="single" w:sz="8" w:color="auto"/>
            </w:tcBorders>
            <w:gridSpan w:val="14"/>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thereto (incorporated by reference to Exhibit 10.20 of Rezolve AI Limited’s Registration Statement on Form F-4, Amendment No. 6,</w:t>
              </w:r>
            </w:hyperlink>
          </w:p>
        </w:tc>
        <w:tc>
          <w:tcPr>
            <w:tcW w:w="380" w:type="dxa"/>
            <w:vAlign w:val="bottom"/>
            <w:tcBorders>
              <w:right w:val="single" w:sz="8" w:color="auto"/>
            </w:tcBorders>
            <w:gridSpan w:val="9"/>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filed with the SEC on June 11,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4"/>
                <w:szCs w:val="14"/>
                <w:color w:val="auto"/>
              </w:rPr>
            </w:pPr>
          </w:p>
        </w:tc>
        <w:tc>
          <w:tcPr>
            <w:tcW w:w="952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Contractual Agreement, dated August 30, 2021, by and among Rezolve, Radio Group and the other parties thereto (incorporated by</w:t>
              </w:r>
            </w:hyperlink>
          </w:p>
        </w:tc>
        <w:tc>
          <w:tcPr>
            <w:tcW w:w="480" w:type="dxa"/>
            <w:vAlign w:val="bottom"/>
            <w:tcBorders>
              <w:right w:val="single" w:sz="8" w:color="auto"/>
            </w:tcBorders>
            <w:gridSpan w:val="11"/>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reference to Exhibit 10.21 of Rezolve AI Limited’s Registration Statement on Form F-4, Amendment No. 6, filed with the SEC on June</w:t>
              </w:r>
            </w:hyperlink>
          </w:p>
        </w:tc>
        <w:tc>
          <w:tcPr>
            <w:tcW w:w="160" w:type="dxa"/>
            <w:vAlign w:val="bottom"/>
            <w:tcBorders>
              <w:right w:val="single" w:sz="8" w:color="auto"/>
            </w:tcBorders>
            <w:gridSpan w:val="2"/>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08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11, 2024).</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4"/>
                <w:szCs w:val="14"/>
                <w:color w:val="auto"/>
              </w:rPr>
            </w:pPr>
          </w:p>
        </w:tc>
        <w:tc>
          <w:tcPr>
            <w:tcW w:w="932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Contractual Relationship, dated April 30, 2023 (incorporated by reference to Exhibit 10.22 of Rezolve AI Limited’s Registration</w:t>
              </w:r>
            </w:hyperlink>
          </w:p>
        </w:tc>
        <w:tc>
          <w:tcPr>
            <w:tcW w:w="680" w:type="dxa"/>
            <w:vAlign w:val="bottom"/>
            <w:tcBorders>
              <w:right w:val="single" w:sz="8" w:color="auto"/>
            </w:tcBorders>
            <w:gridSpan w:val="16"/>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Statement on Form F-4, Amendment No. 5, filed with 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950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Power of Disposal over ANY Lifestyle Marketing GmbH, dated November 17, 2023 (incorporated by reference to Exhibit 10.23 of</w:t>
              </w:r>
            </w:hyperlink>
          </w:p>
        </w:tc>
        <w:tc>
          <w:tcPr>
            <w:tcW w:w="500" w:type="dxa"/>
            <w:vAlign w:val="bottom"/>
            <w:tcBorders>
              <w:right w:val="single" w:sz="8" w:color="auto"/>
            </w:tcBorders>
            <w:gridSpan w:val="12"/>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Rezolve AI Limited’s Registration Statement on Form F-4, filed with 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4"/>
                <w:szCs w:val="14"/>
                <w:color w:val="auto"/>
              </w:rPr>
            </w:pPr>
          </w:p>
        </w:tc>
        <w:tc>
          <w:tcPr>
            <w:tcW w:w="92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Loan Agreement, dated September 28, 2023, by and among Rezolve, Radio Group and the other parties thereto (incorporated by</w:t>
              </w:r>
            </w:hyperlink>
          </w:p>
        </w:tc>
        <w:tc>
          <w:tcPr>
            <w:tcW w:w="720" w:type="dxa"/>
            <w:vAlign w:val="bottom"/>
            <w:tcBorders>
              <w:right w:val="single" w:sz="8" w:color="auto"/>
            </w:tcBorders>
            <w:gridSpan w:val="1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reference to Exhibit 10.24 of Rezolve AI Limited’s Registration Statement on Form F-4, filed with the SEC on May 20,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317"/>
        </w:trPr>
        <w:tc>
          <w:tcPr>
            <w:tcW w:w="1140" w:type="dxa"/>
            <w:vAlign w:val="bottom"/>
          </w:tcPr>
          <w:p>
            <w:pPr>
              <w:spacing w:after="0"/>
              <w:rPr>
                <w:sz w:val="24"/>
                <w:szCs w:val="24"/>
                <w:color w:val="auto"/>
              </w:rPr>
            </w:pPr>
          </w:p>
        </w:tc>
        <w:tc>
          <w:tcPr>
            <w:tcW w:w="4860" w:type="dxa"/>
            <w:vAlign w:val="bottom"/>
            <w:gridSpan w:val="8"/>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4" w:name="page65"/>
    <w:bookmarkEnd w:id="64"/>
    <w:tbl>
      <w:tblPr>
        <w:tblLayout w:type="fixed"/>
        <w:tblInd w:w="10" w:type="dxa"/>
        <w:tblCellMar>
          <w:top w:w="0" w:type="dxa"/>
          <w:left w:w="0" w:type="dxa"/>
          <w:bottom w:w="0" w:type="dxa"/>
          <w:right w:w="0" w:type="dxa"/>
        </w:tblCellMar>
      </w:tblPr>
      <w:tr>
        <w:trPr>
          <w:trHeight w:val="20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7"/>
                <w:szCs w:val="17"/>
                <w:color w:val="auto"/>
              </w:rPr>
            </w:pPr>
          </w:p>
        </w:tc>
        <w:tc>
          <w:tcPr>
            <w:tcW w:w="95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Amended and Restated Standby Equity Purchase Agreement, dated as of February 2, 2024, by and between YA II PN, Ltd., Armada</w:t>
              </w:r>
            </w:hyperlink>
          </w:p>
        </w:tc>
        <w:tc>
          <w:tcPr>
            <w:tcW w:w="420" w:type="dxa"/>
            <w:vAlign w:val="bottom"/>
            <w:tcBorders>
              <w:right w:val="single" w:sz="8" w:color="auto"/>
            </w:tcBorders>
            <w:gridSpan w:val="11"/>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Acquisition Corp. I, Rezolve Limited and Rezolve AI Limited (incorporated by reference to Exhibit 2.1 of Armada's Current Report on</w:t>
              </w:r>
            </w:hyperlink>
          </w:p>
        </w:tc>
        <w:tc>
          <w:tcPr>
            <w:tcW w:w="220" w:type="dxa"/>
            <w:vAlign w:val="bottom"/>
            <w:tcBorders>
              <w:right w:val="single" w:sz="8" w:color="auto"/>
            </w:tcBorders>
            <w:gridSpan w:val="5"/>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8-K, filed with the SEC on February 9, 2024).</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4"/>
                <w:szCs w:val="14"/>
                <w:color w:val="auto"/>
              </w:rPr>
            </w:pPr>
          </w:p>
        </w:tc>
        <w:tc>
          <w:tcPr>
            <w:tcW w:w="988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Second Amended and Restated Standby Equity Purchase Agreement, dated as of September 6, 2024, by and between YA II PN, Ltd. and</w:t>
              </w:r>
            </w:hyperlink>
          </w:p>
        </w:tc>
        <w:tc>
          <w:tcPr>
            <w:tcW w:w="120" w:type="dxa"/>
            <w:vAlign w:val="bottom"/>
            <w:tcBorders>
              <w:right w:val="single" w:sz="8" w:color="auto"/>
            </w:tcBorders>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Rezolve AI Limited (incorporated by reference to Exhibit 99.1 of Rezolve's Report on Form 6-K, filed with the SEC on September 13,</w:t>
              </w:r>
            </w:hyperlink>
          </w:p>
        </w:tc>
        <w:tc>
          <w:tcPr>
            <w:tcW w:w="260" w:type="dxa"/>
            <w:vAlign w:val="bottom"/>
            <w:tcBorders>
              <w:right w:val="single" w:sz="8" w:color="auto"/>
            </w:tcBorders>
            <w:gridSpan w:val="6"/>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2024).</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4"/>
                <w:szCs w:val="14"/>
                <w:color w:val="auto"/>
              </w:rPr>
            </w:pPr>
          </w:p>
        </w:tc>
        <w:tc>
          <w:tcPr>
            <w:tcW w:w="970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Promissory Note, dated as of September 9, 2024, by and among YA II PN, Ltd. and Rezolve AI Limited (incorporated by reference to</w:t>
              </w:r>
            </w:hyperlink>
          </w:p>
        </w:tc>
        <w:tc>
          <w:tcPr>
            <w:tcW w:w="300" w:type="dxa"/>
            <w:vAlign w:val="bottom"/>
            <w:tcBorders>
              <w:right w:val="single" w:sz="8" w:color="auto"/>
            </w:tcBorders>
            <w:gridSpan w:val="8"/>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Exhibit 99.2 of Rezolve’s Report on Form 6-K, filed with the SEC on September 13, 2024).</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4"/>
                <w:szCs w:val="14"/>
                <w:color w:val="auto"/>
              </w:rPr>
            </w:pPr>
          </w:p>
        </w:tc>
        <w:tc>
          <w:tcPr>
            <w:tcW w:w="978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Promissory Note, dated as of November 29, 2024, by and among YA II PN, Ltd. and Rezolve AI Limited (incorporated by reference to</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Exhibit 99.1 of Rezolve's Report on Form 6-K, filed December 5, 2024).</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4"/>
                <w:szCs w:val="14"/>
                <w:color w:val="auto"/>
              </w:rPr>
            </w:pPr>
          </w:p>
        </w:tc>
        <w:tc>
          <w:tcPr>
            <w:tcW w:w="972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Letter Agreement, dated as of December 17, 2024, by and among the Company, Apeiron Investment Group Ltd. and Bradley Wickens</w:t>
              </w:r>
            </w:hyperlink>
          </w:p>
        </w:tc>
        <w:tc>
          <w:tcPr>
            <w:tcW w:w="280" w:type="dxa"/>
            <w:vAlign w:val="bottom"/>
            <w:tcBorders>
              <w:right w:val="single" w:sz="8" w:color="auto"/>
            </w:tcBorders>
            <w:gridSpan w:val="7"/>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(incorporated by reference to Exhibit 10.2 of Rezolve's Report on Form 6-K, filed December 18, 2024).</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4"/>
                <w:szCs w:val="14"/>
                <w:color w:val="auto"/>
              </w:rPr>
            </w:pPr>
          </w:p>
        </w:tc>
        <w:tc>
          <w:tcPr>
            <w:tcW w:w="10000" w:type="dxa"/>
            <w:vAlign w:val="bottom"/>
            <w:tcBorders>
              <w:right w:val="single" w:sz="8" w:color="auto"/>
            </w:tcBorders>
            <w:gridSpan w:val="33"/>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Deed of Amendment (incorporated by reference to Exhibit 10.3 of Rezolve's Report on Form 6-K, filed December 18, 2024).</w:t>
              </w:r>
            </w:hyperlink>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4"/>
                <w:szCs w:val="14"/>
                <w:color w:val="auto"/>
              </w:rPr>
            </w:pPr>
          </w:p>
        </w:tc>
        <w:tc>
          <w:tcPr>
            <w:tcW w:w="988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Form of Securities Purchase Agreement (incorporated by reference to Exhibit 10.1 of Rezolve's Report on Form 6-K, filed December 23,</w:t>
              </w:r>
            </w:hyperlink>
          </w:p>
        </w:tc>
        <w:tc>
          <w:tcPr>
            <w:tcW w:w="120" w:type="dxa"/>
            <w:vAlign w:val="bottom"/>
            <w:tcBorders>
              <w:right w:val="single" w:sz="8" w:color="auto"/>
            </w:tcBorders>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2024).</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4"/>
                <w:szCs w:val="14"/>
                <w:color w:val="auto"/>
              </w:rPr>
            </w:pPr>
          </w:p>
        </w:tc>
        <w:tc>
          <w:tcPr>
            <w:tcW w:w="950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Loan Agreement, dated January 23, 2025, between Rezolve AI Ltd., as borrower, and Joh. Berenberg, Gossler &amp; Co. KG, as lender</w:t>
              </w:r>
            </w:hyperlink>
          </w:p>
        </w:tc>
        <w:tc>
          <w:tcPr>
            <w:tcW w:w="500" w:type="dxa"/>
            <w:vAlign w:val="bottom"/>
            <w:tcBorders>
              <w:right w:val="single" w:sz="8" w:color="auto"/>
            </w:tcBorders>
            <w:gridSpan w:val="13"/>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(incorporated by reference to Exhibit 10.1 of Rezolve's Report on Form 6-K, filed January 29,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14"/>
                <w:szCs w:val="14"/>
                <w:color w:val="auto"/>
              </w:rPr>
            </w:pPr>
          </w:p>
        </w:tc>
        <w:tc>
          <w:tcPr>
            <w:tcW w:w="980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Purchase Agreement, dated February 4, 2025, by and between Rezolve AI Limited and DBLP Sea Cow Ltd. (incorporated by reference</w:t>
              </w:r>
            </w:hyperlink>
          </w:p>
        </w:tc>
        <w:tc>
          <w:tcPr>
            <w:tcW w:w="200" w:type="dxa"/>
            <w:vAlign w:val="bottom"/>
            <w:tcBorders>
              <w:right w:val="single" w:sz="8" w:color="auto"/>
            </w:tcBorders>
            <w:gridSpan w:val="4"/>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to Exhibit 10.1 of Rezolve's Report on Form 6-K, filed February 7,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14"/>
                <w:szCs w:val="14"/>
                <w:color w:val="auto"/>
              </w:rPr>
            </w:pPr>
          </w:p>
        </w:tc>
        <w:tc>
          <w:tcPr>
            <w:tcW w:w="984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Purchase Agreement, dated February 11, 2025, by and among Rezolve AI Limited, GroupBy Inc, GroupBy International Ltd. and Fortis</w:t>
              </w:r>
            </w:hyperlink>
          </w:p>
        </w:tc>
        <w:tc>
          <w:tcPr>
            <w:tcW w:w="160" w:type="dxa"/>
            <w:vAlign w:val="bottom"/>
            <w:tcBorders>
              <w:right w:val="single" w:sz="8" w:color="auto"/>
            </w:tcBorders>
            <w:gridSpan w:val="3"/>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Advisors LLC, as representative of the sellers party thereto (incorporated by reference to Exhibit 10.1 of Rezolve's Report on Form 6-K,</w:t>
              </w:r>
            </w:hyperlink>
          </w:p>
        </w:tc>
        <w:tc>
          <w:tcPr>
            <w:tcW w:w="140" w:type="dxa"/>
            <w:vAlign w:val="bottom"/>
            <w:tcBorders>
              <w:right w:val="single" w:sz="8" w:color="auto"/>
            </w:tcBorders>
            <w:gridSpan w:val="2"/>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filed February 11,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14"/>
                <w:szCs w:val="14"/>
                <w:color w:val="auto"/>
              </w:rPr>
            </w:pPr>
          </w:p>
        </w:tc>
        <w:tc>
          <w:tcPr>
            <w:tcW w:w="948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Securities Purchase Agreement, dated February 21, 2025, between Rezolve AI Ltd., and each of the investors listed on the</w:t>
              </w:r>
            </w:hyperlink>
          </w:p>
        </w:tc>
        <w:tc>
          <w:tcPr>
            <w:tcW w:w="520" w:type="dxa"/>
            <w:vAlign w:val="bottom"/>
            <w:tcBorders>
              <w:right w:val="single" w:sz="8" w:color="auto"/>
            </w:tcBorders>
            <w:gridSpan w:val="14"/>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5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Schedule of Buyers attached thereto (incorporated by reference to Exhibit 10.1 of Rezolve's Report on Form 6-K, filed February 25,</w:t>
              </w:r>
            </w:hyperlink>
          </w:p>
        </w:tc>
        <w:tc>
          <w:tcPr>
            <w:tcW w:w="460" w:type="dxa"/>
            <w:vAlign w:val="bottom"/>
            <w:tcBorders>
              <w:right w:val="single" w:sz="8" w:color="auto"/>
            </w:tcBorders>
            <w:gridSpan w:val="12"/>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4"/>
                <w:szCs w:val="14"/>
                <w:color w:val="auto"/>
              </w:rPr>
            </w:pPr>
          </w:p>
        </w:tc>
        <w:tc>
          <w:tcPr>
            <w:tcW w:w="10000" w:type="dxa"/>
            <w:vAlign w:val="bottom"/>
            <w:tcBorders>
              <w:right w:val="single" w:sz="8" w:color="auto"/>
            </w:tcBorders>
            <w:gridSpan w:val="33"/>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Convertible Note (incorporated by reference to Exhibit 10.2 of Rezolve's Report on Form 6-K, filed February 25, 2025).</w:t>
              </w:r>
            </w:hyperlink>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14"/>
                <w:szCs w:val="14"/>
                <w:color w:val="auto"/>
              </w:rPr>
            </w:pPr>
          </w:p>
        </w:tc>
        <w:tc>
          <w:tcPr>
            <w:tcW w:w="946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Amendment to the Purchase Agreement, dated February 28, 2025, by and among Rezolve AI Limited and Fortis Advisors LLC, as</w:t>
              </w:r>
            </w:hyperlink>
          </w:p>
        </w:tc>
        <w:tc>
          <w:tcPr>
            <w:tcW w:w="540" w:type="dxa"/>
            <w:vAlign w:val="bottom"/>
            <w:tcBorders>
              <w:right w:val="single" w:sz="8" w:color="auto"/>
            </w:tcBorders>
            <w:gridSpan w:val="15"/>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representative of the sellers party thereto (incorporated by reference to Exhibit 10.1 of Rezolve's Report on Form 6-K, filed March 6,</w:t>
              </w:r>
            </w:hyperlink>
          </w:p>
        </w:tc>
        <w:tc>
          <w:tcPr>
            <w:tcW w:w="380" w:type="dxa"/>
            <w:vAlign w:val="bottom"/>
            <w:tcBorders>
              <w:right w:val="single" w:sz="8" w:color="auto"/>
            </w:tcBorders>
            <w:gridSpan w:val="10"/>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14"/>
                <w:szCs w:val="14"/>
                <w:color w:val="auto"/>
              </w:rPr>
            </w:pPr>
          </w:p>
        </w:tc>
        <w:tc>
          <w:tcPr>
            <w:tcW w:w="948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Securities Purchase Agreement (incorporated by reference to Exhibit 10.1 of Rezolve's Report on Form 6-K, filed July 25,</w:t>
              </w:r>
            </w:hyperlink>
          </w:p>
        </w:tc>
        <w:tc>
          <w:tcPr>
            <w:tcW w:w="520" w:type="dxa"/>
            <w:vAlign w:val="bottom"/>
            <w:tcBorders>
              <w:right w:val="single" w:sz="8" w:color="auto"/>
            </w:tcBorders>
            <w:gridSpan w:val="14"/>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10.23</w:t>
            </w:r>
          </w:p>
        </w:tc>
        <w:tc>
          <w:tcPr>
            <w:tcW w:w="80" w:type="dxa"/>
            <w:vAlign w:val="bottom"/>
          </w:tcPr>
          <w:p>
            <w:pPr>
              <w:spacing w:after="0"/>
              <w:rPr>
                <w:sz w:val="14"/>
                <w:szCs w:val="14"/>
                <w:color w:val="auto"/>
              </w:rPr>
            </w:pPr>
          </w:p>
        </w:tc>
        <w:tc>
          <w:tcPr>
            <w:tcW w:w="932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Placement Agent Agreement, dated July 24, 2025, between Rezolve AI plc and A.G.P/Alliance Global Partners (incorporated by</w:t>
              </w:r>
            </w:hyperlink>
          </w:p>
        </w:tc>
        <w:tc>
          <w:tcPr>
            <w:tcW w:w="680" w:type="dxa"/>
            <w:vAlign w:val="bottom"/>
            <w:tcBorders>
              <w:right w:val="single" w:sz="8" w:color="auto"/>
            </w:tcBorders>
            <w:gridSpan w:val="16"/>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reference to Exhibit 10.2 of Rezolve's Report on Form 6-K, filed July 25,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14"/>
                <w:szCs w:val="14"/>
                <w:color w:val="auto"/>
              </w:rPr>
            </w:pPr>
          </w:p>
        </w:tc>
        <w:tc>
          <w:tcPr>
            <w:tcW w:w="948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Registration Rights Agreement (incorporated by reference to Exhibit 10.3 of Rezolve's Report on Form 6-K, filed July 25,</w:t>
              </w:r>
            </w:hyperlink>
          </w:p>
        </w:tc>
        <w:tc>
          <w:tcPr>
            <w:tcW w:w="520" w:type="dxa"/>
            <w:vAlign w:val="bottom"/>
            <w:tcBorders>
              <w:right w:val="single" w:sz="8" w:color="auto"/>
            </w:tcBorders>
            <w:gridSpan w:val="14"/>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14"/>
                <w:szCs w:val="14"/>
                <w:color w:val="auto"/>
              </w:rPr>
            </w:pPr>
          </w:p>
        </w:tc>
        <w:tc>
          <w:tcPr>
            <w:tcW w:w="968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of Securities Purchase Agreement (incorporated by reference to Exhibit 10.1 of Rezolve's Report on Form 6-K, filed September</w:t>
              </w:r>
            </w:hyperlink>
          </w:p>
        </w:tc>
        <w:tc>
          <w:tcPr>
            <w:tcW w:w="320" w:type="dxa"/>
            <w:vAlign w:val="bottom"/>
            <w:tcBorders>
              <w:right w:val="single" w:sz="8" w:color="auto"/>
            </w:tcBorders>
            <w:gridSpan w:val="9"/>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1660" w:type="dxa"/>
            <w:vAlign w:val="bottom"/>
            <w:gridSpan w:val="4"/>
          </w:tcPr>
          <w:p>
            <w:pPr>
              <w:ind w:left="80"/>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26, 2025).</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14"/>
                <w:szCs w:val="14"/>
                <w:color w:val="auto"/>
              </w:rPr>
            </w:pPr>
          </w:p>
        </w:tc>
        <w:tc>
          <w:tcPr>
            <w:tcW w:w="978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Placement Agent Agreement, dated September 24, 2025, between Rezolve AI plc and A.G.P/Alliance Global Partners (incorporated by</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reference to Exhibit 10.2 of Rezolve's Report on Form 6-K, filed September 26, 2025).</w:t>
              </w:r>
            </w:hyperlink>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14"/>
                <w:szCs w:val="14"/>
                <w:color w:val="auto"/>
              </w:rPr>
            </w:pPr>
          </w:p>
        </w:tc>
        <w:tc>
          <w:tcPr>
            <w:tcW w:w="968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Registration Rights Agreement (incorporated by reference to Exhibit 10.3 of Rezolve's Report on Form 6-K, filed September</w:t>
              </w:r>
            </w:hyperlink>
          </w:p>
        </w:tc>
        <w:tc>
          <w:tcPr>
            <w:tcW w:w="320" w:type="dxa"/>
            <w:vAlign w:val="bottom"/>
            <w:tcBorders>
              <w:right w:val="single" w:sz="8" w:color="auto"/>
            </w:tcBorders>
            <w:gridSpan w:val="9"/>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1660" w:type="dxa"/>
            <w:vAlign w:val="bottom"/>
            <w:gridSpan w:val="4"/>
          </w:tcPr>
          <w:p>
            <w:pPr>
              <w:ind w:left="80"/>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26, 2025).</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4"/>
                <w:szCs w:val="14"/>
                <w:color w:val="auto"/>
              </w:rPr>
            </w:pPr>
          </w:p>
        </w:tc>
        <w:tc>
          <w:tcPr>
            <w:tcW w:w="10000" w:type="dxa"/>
            <w:vAlign w:val="bottom"/>
            <w:tcBorders>
              <w:right w:val="single" w:sz="8" w:color="auto"/>
            </w:tcBorders>
            <w:gridSpan w:val="33"/>
          </w:tcPr>
          <w:p>
            <w:pPr>
              <w:spacing w:after="0" w:line="169" w:lineRule="exact"/>
              <w:rPr>
                <w:sz w:val="20"/>
                <w:szCs w:val="20"/>
                <w:color w:val="auto"/>
              </w:rPr>
            </w:pPr>
            <w:r>
              <w:rPr>
                <w:rFonts w:ascii="Times New Roman" w:cs="Times New Roman" w:eastAsia="Times New Roman" w:hAnsi="Times New Roman"/>
                <w:sz w:val="18"/>
                <w:szCs w:val="18"/>
                <w:color w:val="0000FF"/>
              </w:rPr>
              <w:t>Consent of Grassi &amp; Co., CPAs, PC.</w:t>
            </w: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4"/>
                <w:szCs w:val="14"/>
                <w:color w:val="auto"/>
              </w:rPr>
            </w:pPr>
          </w:p>
        </w:tc>
        <w:tc>
          <w:tcPr>
            <w:tcW w:w="10000" w:type="dxa"/>
            <w:vAlign w:val="bottom"/>
            <w:tcBorders>
              <w:right w:val="single" w:sz="8" w:color="auto"/>
            </w:tcBorders>
            <w:gridSpan w:val="33"/>
          </w:tcPr>
          <w:p>
            <w:pPr>
              <w:spacing w:after="0" w:line="169" w:lineRule="exact"/>
              <w:rPr>
                <w:sz w:val="20"/>
                <w:szCs w:val="20"/>
                <w:color w:val="auto"/>
              </w:rPr>
            </w:pPr>
            <w:r>
              <w:rPr>
                <w:rFonts w:ascii="Times New Roman" w:cs="Times New Roman" w:eastAsia="Times New Roman" w:hAnsi="Times New Roman"/>
                <w:sz w:val="18"/>
                <w:szCs w:val="18"/>
                <w:color w:val="0000FF"/>
              </w:rPr>
              <w:t>Consent of MNP LLP</w:t>
            </w:r>
            <w:r>
              <w:rPr>
                <w:rFonts w:ascii="Times New Roman" w:cs="Times New Roman" w:eastAsia="Times New Roman" w:hAnsi="Times New Roman"/>
                <w:sz w:val="18"/>
                <w:szCs w:val="18"/>
                <w:color w:val="000000"/>
              </w:rPr>
              <w:t>.</w:t>
            </w: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46"/>
        </w:trPr>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r>
        <w:trPr>
          <w:trHeight w:val="132"/>
        </w:trPr>
        <w:tc>
          <w:tcPr>
            <w:tcW w:w="1160" w:type="dxa"/>
            <w:vAlign w:val="bottom"/>
            <w:tcBorders>
              <w:left w:val="single" w:sz="8" w:color="auto"/>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5"/>
                <w:szCs w:val="15"/>
                <w:color w:val="auto"/>
              </w:rPr>
              <w:t>23.3*</w:t>
            </w:r>
          </w:p>
        </w:tc>
        <w:tc>
          <w:tcPr>
            <w:tcW w:w="80" w:type="dxa"/>
            <w:vAlign w:val="bottom"/>
          </w:tcPr>
          <w:p>
            <w:pPr>
              <w:spacing w:after="0"/>
              <w:rPr>
                <w:sz w:val="11"/>
                <w:szCs w:val="11"/>
                <w:color w:val="auto"/>
              </w:rPr>
            </w:pPr>
          </w:p>
        </w:tc>
        <w:tc>
          <w:tcPr>
            <w:tcW w:w="10000" w:type="dxa"/>
            <w:vAlign w:val="bottom"/>
            <w:tcBorders>
              <w:right w:val="single" w:sz="8" w:color="auto"/>
            </w:tcBorders>
            <w:gridSpan w:val="33"/>
          </w:tcPr>
          <w:p>
            <w:pPr>
              <w:spacing w:after="0" w:line="133" w:lineRule="exact"/>
              <w:rPr>
                <w:sz w:val="20"/>
                <w:szCs w:val="20"/>
                <w:color w:val="auto"/>
              </w:rPr>
            </w:pPr>
            <w:r>
              <w:rPr>
                <w:rFonts w:ascii="Times New Roman" w:cs="Times New Roman" w:eastAsia="Times New Roman" w:hAnsi="Times New Roman"/>
                <w:sz w:val="15"/>
                <w:szCs w:val="15"/>
                <w:color w:val="0000FF"/>
              </w:rPr>
              <w:t>Consent of Taylor Wessing LLP (included in Exhibit 5.1).</w:t>
            </w:r>
          </w:p>
        </w:tc>
      </w:tr>
      <w:tr>
        <w:trPr>
          <w:trHeight w:val="60"/>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FF"/>
              <w:bottom w:val="single" w:sz="8" w:color="0000FF"/>
            </w:tcBorders>
          </w:tcPr>
          <w:p>
            <w:pPr>
              <w:spacing w:after="0"/>
              <w:rPr>
                <w:sz w:val="5"/>
                <w:szCs w:val="5"/>
                <w:color w:val="auto"/>
              </w:rPr>
            </w:pPr>
          </w:p>
        </w:tc>
        <w:tc>
          <w:tcPr>
            <w:tcW w:w="280" w:type="dxa"/>
            <w:vAlign w:val="bottom"/>
            <w:tcBorders>
              <w:top w:val="single" w:sz="8" w:color="0000FF"/>
              <w:bottom w:val="single" w:sz="8" w:color="0000FF"/>
            </w:tcBorders>
          </w:tcPr>
          <w:p>
            <w:pPr>
              <w:spacing w:after="0"/>
              <w:rPr>
                <w:sz w:val="5"/>
                <w:szCs w:val="5"/>
                <w:color w:val="auto"/>
              </w:rPr>
            </w:pPr>
          </w:p>
        </w:tc>
        <w:tc>
          <w:tcPr>
            <w:tcW w:w="84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20" w:type="dxa"/>
            <w:vAlign w:val="bottom"/>
            <w:tcBorders>
              <w:top w:val="single" w:sz="8" w:color="0000FF"/>
              <w:bottom w:val="single" w:sz="8" w:color="0000FF"/>
            </w:tcBorders>
          </w:tcPr>
          <w:p>
            <w:pPr>
              <w:spacing w:after="0"/>
              <w:rPr>
                <w:sz w:val="5"/>
                <w:szCs w:val="5"/>
                <w:color w:val="auto"/>
              </w:rPr>
            </w:pPr>
          </w:p>
        </w:tc>
        <w:tc>
          <w:tcPr>
            <w:tcW w:w="820" w:type="dxa"/>
            <w:vAlign w:val="bottom"/>
            <w:tcBorders>
              <w:top w:val="single" w:sz="8" w:color="0000FF"/>
              <w:bottom w:val="single" w:sz="8" w:color="0000FF"/>
            </w:tcBorders>
          </w:tcPr>
          <w:p>
            <w:pPr>
              <w:spacing w:after="0"/>
              <w:rPr>
                <w:sz w:val="5"/>
                <w:szCs w:val="5"/>
                <w:color w:val="auto"/>
              </w:rPr>
            </w:pPr>
          </w:p>
        </w:tc>
        <w:tc>
          <w:tcPr>
            <w:tcW w:w="1160" w:type="dxa"/>
            <w:vAlign w:val="bottom"/>
            <w:tcBorders>
              <w:top w:val="single" w:sz="8" w:color="0000FF"/>
              <w:bottom w:val="single" w:sz="8" w:color="0000FF"/>
            </w:tcBorders>
          </w:tcPr>
          <w:p>
            <w:pPr>
              <w:spacing w:after="0"/>
              <w:rPr>
                <w:sz w:val="5"/>
                <w:szCs w:val="5"/>
                <w:color w:val="auto"/>
              </w:rPr>
            </w:pPr>
          </w:p>
        </w:tc>
        <w:tc>
          <w:tcPr>
            <w:tcW w:w="400" w:type="dxa"/>
            <w:vAlign w:val="bottom"/>
            <w:tcBorders>
              <w:top w:val="single" w:sz="8" w:color="0000FF"/>
              <w:bottom w:val="single" w:sz="8" w:color="0000FF"/>
            </w:tcBorders>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r>
      <w:tr>
        <w:trPr>
          <w:trHeight w:val="130"/>
        </w:trPr>
        <w:tc>
          <w:tcPr>
            <w:tcW w:w="1160" w:type="dxa"/>
            <w:vAlign w:val="bottom"/>
            <w:tcBorders>
              <w:top w:val="single" w:sz="8" w:color="auto"/>
              <w:right w:val="single" w:sz="8" w:color="auto"/>
            </w:tcBorders>
          </w:tcPr>
          <w:p>
            <w:pPr>
              <w:ind w:left="120"/>
              <w:spacing w:after="0" w:line="130" w:lineRule="exact"/>
              <w:rPr>
                <w:sz w:val="20"/>
                <w:szCs w:val="20"/>
                <w:color w:val="auto"/>
              </w:rPr>
            </w:pPr>
            <w:r>
              <w:rPr>
                <w:rFonts w:ascii="Times New Roman" w:cs="Times New Roman" w:eastAsia="Times New Roman" w:hAnsi="Times New Roman"/>
                <w:sz w:val="15"/>
                <w:szCs w:val="15"/>
                <w:color w:val="auto"/>
              </w:rPr>
              <w:t>107*</w:t>
            </w:r>
          </w:p>
        </w:tc>
        <w:tc>
          <w:tcPr>
            <w:tcW w:w="80" w:type="dxa"/>
            <w:vAlign w:val="bottom"/>
            <w:tcBorders>
              <w:top w:val="single" w:sz="8" w:color="auto"/>
            </w:tcBorders>
          </w:tcPr>
          <w:p>
            <w:pPr>
              <w:spacing w:after="0"/>
              <w:rPr>
                <w:sz w:val="11"/>
                <w:szCs w:val="11"/>
                <w:color w:val="auto"/>
              </w:rPr>
            </w:pPr>
          </w:p>
        </w:tc>
        <w:tc>
          <w:tcPr>
            <w:tcW w:w="10000" w:type="dxa"/>
            <w:vAlign w:val="bottom"/>
            <w:tcBorders>
              <w:top w:val="single" w:sz="8" w:color="auto"/>
              <w:right w:val="single" w:sz="8" w:color="auto"/>
            </w:tcBorders>
            <w:gridSpan w:val="33"/>
          </w:tcPr>
          <w:p>
            <w:pPr>
              <w:spacing w:after="0" w:line="130" w:lineRule="exact"/>
              <w:rPr>
                <w:sz w:val="20"/>
                <w:szCs w:val="20"/>
                <w:color w:val="auto"/>
              </w:rPr>
            </w:pPr>
            <w:r>
              <w:rPr>
                <w:rFonts w:ascii="Times New Roman" w:cs="Times New Roman" w:eastAsia="Times New Roman" w:hAnsi="Times New Roman"/>
                <w:sz w:val="15"/>
                <w:szCs w:val="15"/>
                <w:color w:val="0000FF"/>
              </w:rPr>
              <w:t>Calculation of Fee Table.</w:t>
            </w: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London, United Kingdom, on the 30th day of September, 2025.</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5715</wp:posOffset>
            </wp:positionV>
            <wp:extent cx="18516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F-3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Daniel Wagner</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Richard Burchill</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 Anthony Sharp</w:t>
            </w: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Anthony Sharp</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Sir David Wright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Perry</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Perry</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Derek Smith</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Derek Smith</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191770</wp:posOffset>
            </wp:positionV>
            <wp:extent cx="17487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F-3 to be signed on its behalf by the undersigned, thereunto duly authorized, in the city of New York, New York, on the 30th of September, 2025.</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17145</wp:posOffset>
            </wp:positionV>
            <wp:extent cx="56749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Colleen A. DeVries</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6" w:name="page67"/>
    <w:bookmarkEnd w:id="66"/>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5.1</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30 September 2025 Rezolve AI</w:t>
      </w:r>
    </w:p>
    <w:p>
      <w:pPr>
        <w:ind w:left="20"/>
        <w:spacing w:after="0" w:line="237" w:lineRule="auto"/>
        <w:rPr>
          <w:sz w:val="20"/>
          <w:szCs w:val="20"/>
          <w:color w:val="auto"/>
        </w:rPr>
      </w:pPr>
      <w:r>
        <w:rPr>
          <w:rFonts w:ascii="Arial" w:cs="Arial" w:eastAsia="Arial" w:hAnsi="Arial"/>
          <w:sz w:val="19"/>
          <w:szCs w:val="19"/>
          <w:color w:val="auto"/>
        </w:rPr>
        <w:t>PLC</w:t>
      </w:r>
    </w:p>
    <w:p>
      <w:pPr>
        <w:ind w:left="20"/>
        <w:spacing w:after="0" w:line="237" w:lineRule="auto"/>
        <w:rPr>
          <w:sz w:val="20"/>
          <w:szCs w:val="20"/>
          <w:color w:val="auto"/>
        </w:rPr>
      </w:pPr>
      <w:r>
        <w:rPr>
          <w:rFonts w:ascii="Arial" w:cs="Arial" w:eastAsia="Arial" w:hAnsi="Arial"/>
          <w:sz w:val="19"/>
          <w:szCs w:val="19"/>
          <w:color w:val="auto"/>
        </w:rPr>
        <w:t>21Sackville Street London W1S</w:t>
      </w:r>
    </w:p>
    <w:p>
      <w:pPr>
        <w:ind w:left="20"/>
        <w:spacing w:after="0"/>
        <w:rPr>
          <w:sz w:val="20"/>
          <w:szCs w:val="20"/>
          <w:color w:val="auto"/>
        </w:rPr>
      </w:pPr>
      <w:r>
        <w:rPr>
          <w:rFonts w:ascii="Arial" w:cs="Arial" w:eastAsia="Arial" w:hAnsi="Arial"/>
          <w:sz w:val="19"/>
          <w:szCs w:val="19"/>
          <w:color w:val="auto"/>
        </w:rPr>
        <w:t>3DN United Kingdom</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Re: Rezolve AI PLC – Registration Statement on Form F-3</w:t>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9"/>
          <w:szCs w:val="19"/>
          <w:color w:val="auto"/>
        </w:rPr>
        <w:t>Dear Addressee</w:t>
      </w:r>
    </w:p>
    <w:p>
      <w:pPr>
        <w:spacing w:after="0" w:line="200" w:lineRule="exact"/>
        <w:rPr>
          <w:sz w:val="20"/>
          <w:szCs w:val="20"/>
          <w:color w:val="auto"/>
        </w:rPr>
      </w:pPr>
    </w:p>
    <w:p>
      <w:pPr>
        <w:spacing w:after="0" w:line="243" w:lineRule="exact"/>
        <w:rPr>
          <w:sz w:val="20"/>
          <w:szCs w:val="20"/>
          <w:color w:val="auto"/>
        </w:rPr>
      </w:pPr>
    </w:p>
    <w:p>
      <w:pPr>
        <w:ind w:left="760" w:hanging="757"/>
        <w:spacing w:after="0"/>
        <w:tabs>
          <w:tab w:leader="none" w:pos="760"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14" w:lineRule="exact"/>
        <w:rPr>
          <w:sz w:val="20"/>
          <w:szCs w:val="20"/>
          <w:color w:val="auto"/>
        </w:rPr>
      </w:pPr>
    </w:p>
    <w:p>
      <w:pPr>
        <w:jc w:val="both"/>
        <w:ind w:left="680" w:right="980" w:hanging="682"/>
        <w:spacing w:after="0" w:line="246" w:lineRule="auto"/>
        <w:tabs>
          <w:tab w:leader="none" w:pos="6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We have acted as English legal advisers to Rezolve AI PLC, a public limited company incorporated in England and Wales with company number 14573691 and with its registered office at 21 Sackville Street, London, United Kingdom, W1S 3DN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registration statement (as amended through the date hereof,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of the Company on Form F-3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the rules and regulations thereunder (the “</w:t>
      </w:r>
      <w:r>
        <w:rPr>
          <w:rFonts w:ascii="Arial" w:cs="Arial" w:eastAsia="Arial" w:hAnsi="Arial"/>
          <w:sz w:val="19"/>
          <w:szCs w:val="19"/>
          <w:b w:val="1"/>
          <w:bCs w:val="1"/>
          <w:color w:val="auto"/>
        </w:rPr>
        <w:t>Rules</w:t>
      </w:r>
      <w:r>
        <w:rPr>
          <w:rFonts w:ascii="Arial" w:cs="Arial" w:eastAsia="Arial" w:hAnsi="Arial"/>
          <w:sz w:val="19"/>
          <w:szCs w:val="19"/>
          <w:color w:val="auto"/>
        </w:rPr>
        <w:t>”).</w:t>
      </w:r>
    </w:p>
    <w:p>
      <w:pPr>
        <w:spacing w:after="0" w:line="168" w:lineRule="exact"/>
        <w:rPr>
          <w:sz w:val="20"/>
          <w:szCs w:val="20"/>
          <w:color w:val="auto"/>
        </w:rPr>
      </w:pPr>
    </w:p>
    <w:p>
      <w:pPr>
        <w:jc w:val="both"/>
        <w:ind w:left="680" w:right="980" w:hanging="682"/>
        <w:spacing w:after="0" w:line="246" w:lineRule="auto"/>
        <w:tabs>
          <w:tab w:leader="none" w:pos="66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The Company has filed the Registration Statement for the purposes of registering with the Commission under the Securities Act the potential issue, offer and sale or resale from time to time of up to 37,000,000 ordinary shares of £0.0001 each in the capital of the Company (the “</w:t>
      </w:r>
      <w:r>
        <w:rPr>
          <w:rFonts w:ascii="Arial" w:cs="Arial" w:eastAsia="Arial" w:hAnsi="Arial"/>
          <w:sz w:val="19"/>
          <w:szCs w:val="19"/>
          <w:b w:val="1"/>
          <w:bCs w:val="1"/>
          <w:color w:val="auto"/>
        </w:rPr>
        <w:t>PIPE Ordinary Shares</w:t>
      </w:r>
      <w:r>
        <w:rPr>
          <w:rFonts w:ascii="Arial" w:cs="Arial" w:eastAsia="Arial" w:hAnsi="Arial"/>
          <w:sz w:val="19"/>
          <w:szCs w:val="19"/>
          <w:color w:val="auto"/>
        </w:rPr>
        <w:t>") comprised of those shares acquired pursuant to a Securities Purchase Agreement entered into by the Company and each of Citadel CEMF Investments Ltd. and Alyeska Master Fund, LP (together, the "</w:t>
      </w:r>
      <w:r>
        <w:rPr>
          <w:rFonts w:ascii="Arial" w:cs="Arial" w:eastAsia="Arial" w:hAnsi="Arial"/>
          <w:sz w:val="19"/>
          <w:szCs w:val="19"/>
          <w:b w:val="1"/>
          <w:bCs w:val="1"/>
          <w:color w:val="auto"/>
        </w:rPr>
        <w:t>Purchasers</w:t>
      </w:r>
      <w:r>
        <w:rPr>
          <w:rFonts w:ascii="Arial" w:cs="Arial" w:eastAsia="Arial" w:hAnsi="Arial"/>
          <w:sz w:val="19"/>
          <w:szCs w:val="19"/>
          <w:color w:val="auto"/>
        </w:rPr>
        <w:t>") on 24 September 2025 (the "</w:t>
      </w:r>
      <w:r>
        <w:rPr>
          <w:rFonts w:ascii="Arial" w:cs="Arial" w:eastAsia="Arial" w:hAnsi="Arial"/>
          <w:sz w:val="19"/>
          <w:szCs w:val="19"/>
          <w:b w:val="1"/>
          <w:bCs w:val="1"/>
          <w:color w:val="auto"/>
        </w:rPr>
        <w:t>Securities Purchase Agreement</w:t>
      </w:r>
      <w:r>
        <w:rPr>
          <w:rFonts w:ascii="Arial" w:cs="Arial" w:eastAsia="Arial" w:hAnsi="Arial"/>
          <w:sz w:val="19"/>
          <w:szCs w:val="19"/>
          <w:color w:val="auto"/>
        </w:rPr>
        <w:t>").</w:t>
      </w:r>
    </w:p>
    <w:p>
      <w:pPr>
        <w:spacing w:after="0" w:line="155"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8"/>
          <w:szCs w:val="18"/>
          <w:color w:val="auto"/>
        </w:rPr>
        <w:t>For the purposes of this letter the PIPE Ordinary Shares shall be referred to also as the "</w:t>
      </w:r>
      <w:r>
        <w:rPr>
          <w:rFonts w:ascii="Arial" w:cs="Arial" w:eastAsia="Arial" w:hAnsi="Arial"/>
          <w:sz w:val="18"/>
          <w:szCs w:val="18"/>
          <w:b w:val="1"/>
          <w:bCs w:val="1"/>
          <w:color w:val="auto"/>
        </w:rPr>
        <w:t>Relevant Shares</w:t>
      </w:r>
      <w:r>
        <w:rPr>
          <w:rFonts w:ascii="Arial" w:cs="Arial" w:eastAsia="Arial" w:hAnsi="Arial"/>
          <w:sz w:val="18"/>
          <w:szCs w:val="18"/>
          <w:color w:val="auto"/>
        </w:rPr>
        <w:t>".</w:t>
      </w:r>
    </w:p>
    <w:p>
      <w:pPr>
        <w:spacing w:after="0" w:line="214" w:lineRule="exact"/>
        <w:rPr>
          <w:sz w:val="20"/>
          <w:szCs w:val="20"/>
          <w:color w:val="auto"/>
        </w:rPr>
      </w:pPr>
    </w:p>
    <w:p>
      <w:pPr>
        <w:ind w:left="760" w:hanging="757"/>
        <w:spacing w:after="0"/>
        <w:tabs>
          <w:tab w:leader="none" w:pos="76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14" w:lineRule="exact"/>
        <w:rPr>
          <w:sz w:val="20"/>
          <w:szCs w:val="20"/>
          <w:color w:val="auto"/>
        </w:rPr>
      </w:pPr>
    </w:p>
    <w:p>
      <w:pPr>
        <w:jc w:val="both"/>
        <w:ind w:left="680" w:right="980" w:hanging="681"/>
        <w:spacing w:after="0" w:line="254" w:lineRule="auto"/>
        <w:tabs>
          <w:tab w:leader="none" w:pos="66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This opinion letter is being furnished in connection with the Registration Statement on Form F-3 to be filed with the Commission on the date hereof under the Securities Act and the Rules. We have taken instruction in this regard solely from the Company.</w:t>
      </w:r>
    </w:p>
    <w:p>
      <w:pPr>
        <w:spacing w:after="0" w:line="170" w:lineRule="exact"/>
        <w:rPr>
          <w:sz w:val="20"/>
          <w:szCs w:val="20"/>
          <w:color w:val="auto"/>
        </w:rPr>
      </w:pPr>
    </w:p>
    <w:p>
      <w:pPr>
        <w:ind w:left="680" w:right="1020" w:hanging="680"/>
        <w:spacing w:after="0" w:line="270" w:lineRule="auto"/>
        <w:tabs>
          <w:tab w:leader="none" w:pos="66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The provision of this letter is not to be taken as implying that we owe any duty of care to anyone, including the Company, in relation to the content or the commercial and financial implications of the Registration Statement.</w:t>
      </w:r>
    </w:p>
    <w:p>
      <w:pPr>
        <w:spacing w:after="0" w:line="156" w:lineRule="exact"/>
        <w:rPr>
          <w:sz w:val="20"/>
          <w:szCs w:val="20"/>
          <w:color w:val="auto"/>
        </w:rPr>
      </w:pPr>
    </w:p>
    <w:p>
      <w:pPr>
        <w:ind w:left="680" w:right="1020" w:hanging="680"/>
        <w:spacing w:after="0" w:line="270" w:lineRule="auto"/>
        <w:tabs>
          <w:tab w:leader="none" w:pos="66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Nothing stated in this letter shall create the relationship of solicitor and client between us and anyone other than the Company.</w:t>
      </w:r>
    </w:p>
    <w:p>
      <w:pPr>
        <w:spacing w:after="0" w:line="156" w:lineRule="exact"/>
        <w:rPr>
          <w:sz w:val="20"/>
          <w:szCs w:val="20"/>
          <w:color w:val="auto"/>
        </w:rPr>
      </w:pPr>
    </w:p>
    <w:p>
      <w:pPr>
        <w:ind w:left="680" w:right="1000" w:hanging="680"/>
        <w:spacing w:after="0" w:line="270" w:lineRule="auto"/>
        <w:tabs>
          <w:tab w:leader="none" w:pos="66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For the purposes of issuing this opinion, we have received a draft copy of the Registration Statement and examined the following documents:</w:t>
      </w:r>
    </w:p>
    <w:p>
      <w:pPr>
        <w:spacing w:after="0" w:line="156" w:lineRule="exact"/>
        <w:rPr>
          <w:sz w:val="20"/>
          <w:szCs w:val="20"/>
          <w:color w:val="auto"/>
        </w:rPr>
      </w:pPr>
    </w:p>
    <w:p>
      <w:pPr>
        <w:ind w:left="1500" w:hanging="748"/>
        <w:spacing w:after="0"/>
        <w:tabs>
          <w:tab w:leader="none" w:pos="15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 copy of the Securities Purchase Agreement;</w:t>
      </w:r>
    </w:p>
    <w:p>
      <w:pPr>
        <w:spacing w:after="0" w:line="213" w:lineRule="exact"/>
        <w:rPr>
          <w:rFonts w:ascii="Arial" w:cs="Arial" w:eastAsia="Arial" w:hAnsi="Arial"/>
          <w:sz w:val="19"/>
          <w:szCs w:val="19"/>
          <w:color w:val="auto"/>
        </w:rPr>
      </w:pPr>
    </w:p>
    <w:p>
      <w:pPr>
        <w:ind w:left="1500" w:hanging="748"/>
        <w:spacing w:after="0"/>
        <w:tabs>
          <w:tab w:leader="none" w:pos="15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 copy of the current articles of association of the Company that were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226060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40" w:right="339" w:bottom="1440" w:gutter="0" w:footer="0" w:header="0"/>
        </w:sectPr>
      </w:pPr>
    </w:p>
    <w:bookmarkStart w:id="67" w:name="page68"/>
    <w:bookmarkEnd w:id="67"/>
    <w:p>
      <w:pPr>
        <w:ind w:left="1500" w:right="580"/>
        <w:spacing w:after="0" w:line="281" w:lineRule="auto"/>
        <w:rPr>
          <w:sz w:val="20"/>
          <w:szCs w:val="20"/>
          <w:color w:val="auto"/>
        </w:rPr>
      </w:pPr>
      <w:r>
        <w:rPr>
          <w:rFonts w:ascii="Arial" w:cs="Arial" w:eastAsia="Arial" w:hAnsi="Arial"/>
          <w:sz w:val="19"/>
          <w:szCs w:val="19"/>
          <w:color w:val="auto"/>
        </w:rPr>
        <w:t>and effective from the date of the re-registration of the Company from a private limited company to a public limited company on 28 March 2025 (the "</w:t>
      </w:r>
      <w:r>
        <w:rPr>
          <w:rFonts w:ascii="Arial" w:cs="Arial" w:eastAsia="Arial" w:hAnsi="Arial"/>
          <w:sz w:val="19"/>
          <w:szCs w:val="19"/>
          <w:b w:val="1"/>
          <w:bCs w:val="1"/>
          <w:color w:val="auto"/>
        </w:rPr>
        <w:t>Articles</w:t>
      </w:r>
      <w:r>
        <w:rPr>
          <w:rFonts w:ascii="Arial" w:cs="Arial" w:eastAsia="Arial" w:hAnsi="Arial"/>
          <w:sz w:val="19"/>
          <w:szCs w:val="19"/>
          <w:color w:val="auto"/>
        </w:rPr>
        <w:t>");</w:t>
      </w:r>
    </w:p>
    <w:p>
      <w:pPr>
        <w:spacing w:after="0" w:line="136" w:lineRule="exact"/>
        <w:rPr>
          <w:sz w:val="20"/>
          <w:szCs w:val="20"/>
          <w:color w:val="auto"/>
        </w:rPr>
      </w:pPr>
    </w:p>
    <w:p>
      <w:pPr>
        <w:jc w:val="both"/>
        <w:ind w:left="1440" w:right="880" w:hanging="688"/>
        <w:spacing w:after="0" w:line="248" w:lineRule="auto"/>
        <w:tabs>
          <w:tab w:leader="none" w:pos="14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copy of the minutes of the meeting of the board of directors of the Company ("</w:t>
      </w:r>
      <w:r>
        <w:rPr>
          <w:rFonts w:ascii="Arial" w:cs="Arial" w:eastAsia="Arial" w:hAnsi="Arial"/>
          <w:sz w:val="19"/>
          <w:szCs w:val="19"/>
          <w:b w:val="1"/>
          <w:bCs w:val="1"/>
          <w:color w:val="auto"/>
        </w:rPr>
        <w:t>Board</w:t>
      </w:r>
      <w:r>
        <w:rPr>
          <w:rFonts w:ascii="Arial" w:cs="Arial" w:eastAsia="Arial" w:hAnsi="Arial"/>
          <w:sz w:val="19"/>
          <w:szCs w:val="19"/>
          <w:color w:val="auto"/>
        </w:rPr>
        <w:t>") passed on 24 September 2025 approving the allotment and issue of the Relevant Shares ("</w:t>
      </w:r>
      <w:r>
        <w:rPr>
          <w:rFonts w:ascii="Arial" w:cs="Arial" w:eastAsia="Arial" w:hAnsi="Arial"/>
          <w:sz w:val="19"/>
          <w:szCs w:val="19"/>
          <w:b w:val="1"/>
          <w:bCs w:val="1"/>
          <w:color w:val="auto"/>
        </w:rPr>
        <w:t>Board Resolutions</w:t>
      </w:r>
      <w:r>
        <w:rPr>
          <w:rFonts w:ascii="Arial" w:cs="Arial" w:eastAsia="Arial" w:hAnsi="Arial"/>
          <w:sz w:val="19"/>
          <w:szCs w:val="19"/>
          <w:color w:val="auto"/>
        </w:rPr>
        <w:t>") and for the purpose of this opinion we assume that the Board Resolutions have been duly and validly passed;</w:t>
      </w:r>
    </w:p>
    <w:p>
      <w:pPr>
        <w:spacing w:after="0" w:line="176" w:lineRule="exact"/>
        <w:rPr>
          <w:rFonts w:ascii="Arial" w:cs="Arial" w:eastAsia="Arial" w:hAnsi="Arial"/>
          <w:sz w:val="19"/>
          <w:szCs w:val="19"/>
          <w:color w:val="auto"/>
        </w:rPr>
      </w:pPr>
    </w:p>
    <w:p>
      <w:pPr>
        <w:ind w:left="1500" w:hanging="748"/>
        <w:spacing w:after="0" w:line="252" w:lineRule="auto"/>
        <w:tabs>
          <w:tab w:leader="none" w:pos="15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copy of the written resolutions of the Company dated 28 July 2024 approving, inter alia, the authorisation for the directors of the Company to allot Ordinary Shares (or to grant rights to subscribe for or to convert any security into Ordinary Shares), and the disapplication of pre-emptive rights for such allotment, in relation to, inter alia, additional shares having an aggregate nominal amount of up to £30,000; ("</w:t>
      </w:r>
      <w:r>
        <w:rPr>
          <w:rFonts w:ascii="Arial" w:cs="Arial" w:eastAsia="Arial" w:hAnsi="Arial"/>
          <w:sz w:val="19"/>
          <w:szCs w:val="19"/>
          <w:b w:val="1"/>
          <w:bCs w:val="1"/>
          <w:color w:val="auto"/>
        </w:rPr>
        <w:t>Shareholder Resolutions</w:t>
      </w:r>
      <w:r>
        <w:rPr>
          <w:rFonts w:ascii="Arial" w:cs="Arial" w:eastAsia="Arial" w:hAnsi="Arial"/>
          <w:sz w:val="19"/>
          <w:szCs w:val="19"/>
          <w:color w:val="auto"/>
        </w:rPr>
        <w: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Shareholder Resolutions, together with the Board Resolutions, being the "</w:t>
      </w:r>
      <w:r>
        <w:rPr>
          <w:rFonts w:ascii="Arial" w:cs="Arial" w:eastAsia="Arial" w:hAnsi="Arial"/>
          <w:sz w:val="19"/>
          <w:szCs w:val="19"/>
          <w:b w:val="1"/>
          <w:bCs w:val="1"/>
          <w:color w:val="auto"/>
        </w:rPr>
        <w:t>Corporate Approvals</w:t>
      </w:r>
      <w:r>
        <w:rPr>
          <w:rFonts w:ascii="Arial" w:cs="Arial" w:eastAsia="Arial" w:hAnsi="Arial"/>
          <w:sz w:val="19"/>
          <w:szCs w:val="19"/>
          <w:color w:val="auto"/>
        </w:rPr>
        <w:t>").</w:t>
      </w:r>
    </w:p>
    <w:p>
      <w:pPr>
        <w:spacing w:after="0" w:line="349"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8"/>
          <w:szCs w:val="18"/>
          <w:color w:val="auto"/>
        </w:rPr>
        <w:t>We have also made:</w:t>
      </w:r>
    </w:p>
    <w:p>
      <w:pPr>
        <w:spacing w:after="0" w:line="214" w:lineRule="exact"/>
        <w:rPr>
          <w:sz w:val="20"/>
          <w:szCs w:val="20"/>
          <w:color w:val="auto"/>
        </w:rPr>
      </w:pPr>
    </w:p>
    <w:p>
      <w:pPr>
        <w:ind w:left="1440" w:right="880" w:hanging="688"/>
        <w:spacing w:after="0" w:line="270" w:lineRule="auto"/>
        <w:tabs>
          <w:tab w:leader="none" w:pos="14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 online search of the information available on file at Companies House in respect of the Company conducted on 30 September 2025 at 12:10 p.m. (London time); and</w:t>
      </w:r>
    </w:p>
    <w:p>
      <w:pPr>
        <w:spacing w:after="0" w:line="156" w:lineRule="exact"/>
        <w:rPr>
          <w:rFonts w:ascii="Arial" w:cs="Arial" w:eastAsia="Arial" w:hAnsi="Arial"/>
          <w:sz w:val="19"/>
          <w:szCs w:val="19"/>
          <w:color w:val="auto"/>
        </w:rPr>
      </w:pPr>
    </w:p>
    <w:p>
      <w:pPr>
        <w:jc w:val="both"/>
        <w:ind w:left="1420" w:right="900" w:hanging="668"/>
        <w:spacing w:after="0" w:line="254" w:lineRule="auto"/>
        <w:tabs>
          <w:tab w:leader="none" w:pos="14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telephone enquiry of the Central Registry of Winding Up and Administration Petitions on 30 September 2025 at 12:09 p.m. (London time) which revealed that as at that date no petition has been lodged for the winding-up of the Company.</w:t>
      </w:r>
    </w:p>
    <w:p>
      <w:pPr>
        <w:spacing w:after="0" w:line="170" w:lineRule="exact"/>
        <w:rPr>
          <w:sz w:val="20"/>
          <w:szCs w:val="20"/>
          <w:color w:val="auto"/>
        </w:rPr>
      </w:pPr>
    </w:p>
    <w:p>
      <w:pPr>
        <w:jc w:val="both"/>
        <w:ind w:left="760" w:right="900"/>
        <w:spacing w:after="0" w:line="254" w:lineRule="auto"/>
        <w:rPr>
          <w:sz w:val="20"/>
          <w:szCs w:val="20"/>
          <w:color w:val="auto"/>
        </w:rPr>
      </w:pPr>
      <w:r>
        <w:rPr>
          <w:rFonts w:ascii="Arial" w:cs="Arial" w:eastAsia="Arial" w:hAnsi="Arial"/>
          <w:sz w:val="19"/>
          <w:szCs w:val="19"/>
          <w:color w:val="auto"/>
        </w:rPr>
        <w:t>We assume that the information obtained in that search and enquiry was accurate, did not fail to disclose any relevant matter and that a further search or enquiry would not reveal any change or new matter which would affect this opinion.</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8"/>
          <w:szCs w:val="18"/>
          <w:color w:val="auto"/>
        </w:rPr>
        <w:t>In relation to insolvency proceedings, the search and enquiry referred to in paragraph</w:t>
      </w:r>
    </w:p>
    <w:p>
      <w:pPr>
        <w:spacing w:after="0" w:line="16" w:lineRule="exact"/>
        <w:rPr>
          <w:sz w:val="20"/>
          <w:szCs w:val="20"/>
          <w:color w:val="auto"/>
        </w:rPr>
      </w:pPr>
    </w:p>
    <w:p>
      <w:pPr>
        <w:jc w:val="both"/>
        <w:ind w:left="760" w:right="900"/>
        <w:spacing w:after="0"/>
        <w:rPr>
          <w:sz w:val="20"/>
          <w:szCs w:val="20"/>
          <w:color w:val="auto"/>
        </w:rPr>
      </w:pPr>
      <w:r>
        <w:rPr>
          <w:rFonts w:ascii="Arial" w:cs="Arial" w:eastAsia="Arial" w:hAnsi="Arial"/>
          <w:sz w:val="19"/>
          <w:szCs w:val="19"/>
          <w:color w:val="auto"/>
        </w:rPr>
        <w:t>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186" w:lineRule="exact"/>
        <w:rPr>
          <w:sz w:val="20"/>
          <w:szCs w:val="20"/>
          <w:color w:val="auto"/>
        </w:rPr>
      </w:pPr>
    </w:p>
    <w:p>
      <w:pPr>
        <w:jc w:val="both"/>
        <w:ind w:left="680" w:right="880" w:hanging="682"/>
        <w:spacing w:after="0" w:line="243" w:lineRule="auto"/>
        <w:tabs>
          <w:tab w:leader="none" w:pos="66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9"/>
          <w:szCs w:val="19"/>
          <w:color w:val="auto"/>
        </w:rPr>
        <w:t>In particular, notice of these matters may not yet have been filed with the Registrar of Companies (or if filed, may not yet be publicly available) and notice of a petition for winding up is not required to be filed with the Registrar. In addition, details of a petition for winding up may not be entered on the Central Registry of Winding Up and Administration Petitions immediately (or in the case of a petition presented to a County Court, may not have been notified for entry on the Central Registry at all) and any response to an enquiry would only relate to the last six months before the enquiry.</w:t>
      </w:r>
    </w:p>
    <w:p>
      <w:pPr>
        <w:spacing w:after="0" w:line="200" w:lineRule="exact"/>
        <w:rPr>
          <w:sz w:val="20"/>
          <w:szCs w:val="20"/>
          <w:color w:val="auto"/>
        </w:rPr>
      </w:pPr>
    </w:p>
    <w:p>
      <w:pPr>
        <w:spacing w:after="0" w:line="201" w:lineRule="exact"/>
        <w:rPr>
          <w:sz w:val="20"/>
          <w:szCs w:val="20"/>
          <w:color w:val="auto"/>
        </w:rPr>
      </w:pPr>
    </w:p>
    <w:p>
      <w:pPr>
        <w:ind w:left="760" w:hanging="757"/>
        <w:spacing w:after="0"/>
        <w:tabs>
          <w:tab w:leader="none" w:pos="760"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Basis of opinion, assumptions and qualifications</w:t>
      </w:r>
    </w:p>
    <w:p>
      <w:pPr>
        <w:spacing w:after="0" w:line="200" w:lineRule="exact"/>
        <w:rPr>
          <w:sz w:val="20"/>
          <w:szCs w:val="20"/>
          <w:color w:val="auto"/>
        </w:rPr>
      </w:pPr>
    </w:p>
    <w:p>
      <w:pPr>
        <w:ind w:left="680" w:right="920" w:hanging="680"/>
        <w:spacing w:after="0" w:line="270" w:lineRule="auto"/>
        <w:tabs>
          <w:tab w:leader="none" w:pos="6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opinion set out in paragraph 4 relates solely to English law at the date of this letter as it appears from published legislation and fully reported cases before that date.</w:t>
      </w:r>
    </w:p>
    <w:p>
      <w:pPr>
        <w:spacing w:after="0" w:line="156" w:lineRule="exact"/>
        <w:rPr>
          <w:sz w:val="20"/>
          <w:szCs w:val="20"/>
          <w:color w:val="auto"/>
        </w:rPr>
      </w:pPr>
    </w:p>
    <w:p>
      <w:pPr>
        <w:ind w:left="680" w:right="900" w:hanging="680"/>
        <w:spacing w:after="0" w:line="270" w:lineRule="auto"/>
        <w:tabs>
          <w:tab w:leader="none" w:pos="6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We have not investigated the laws of any country other than England and we assume that no foreign law affects any of the opinions stated in this letter.</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This letter does not relate to English conflict of laws rules.</w:t>
      </w:r>
    </w:p>
    <w:p>
      <w:pPr>
        <w:spacing w:after="0" w:line="65"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8"/>
          <w:szCs w:val="18"/>
          <w:color w:val="auto"/>
        </w:rPr>
        <w:t>We do not undertake or accept any obligation to update this letter and/or the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611505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60" w:top="1354"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given in it to reflect subsequent changes in English law or factual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619125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19"/>
          </w:cols>
          <w:pgMar w:left="1140" w:top="1354" w:right="1440" w:bottom="1440" w:gutter="0" w:footer="0" w:header="0"/>
        </w:sectPr>
      </w:pPr>
    </w:p>
    <w:bookmarkStart w:id="69" w:name="page70"/>
    <w:bookmarkEnd w:id="69"/>
    <w:p>
      <w:pPr>
        <w:spacing w:after="0" w:line="63" w:lineRule="exact"/>
        <w:rPr>
          <w:sz w:val="20"/>
          <w:szCs w:val="20"/>
          <w:color w:val="auto"/>
        </w:rPr>
      </w:pPr>
    </w:p>
    <w:p>
      <w:pPr>
        <w:jc w:val="both"/>
        <w:ind w:left="680" w:right="40" w:hanging="680"/>
        <w:spacing w:after="0" w:line="270" w:lineRule="auto"/>
        <w:tabs>
          <w:tab w:leader="none" w:pos="6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We express no opinion on the impact of any rules, regulations or requirements of the NASDAQ Stock Market LLC or the rules and regulations adopted by the SEC.</w:t>
      </w:r>
    </w:p>
    <w:p>
      <w:pPr>
        <w:spacing w:after="0" w:line="156" w:lineRule="exact"/>
        <w:rPr>
          <w:sz w:val="20"/>
          <w:szCs w:val="20"/>
          <w:color w:val="auto"/>
        </w:rPr>
      </w:pPr>
    </w:p>
    <w:p>
      <w:pPr>
        <w:jc w:val="both"/>
        <w:ind w:left="680" w:right="20" w:hanging="680"/>
        <w:spacing w:after="0" w:line="248" w:lineRule="auto"/>
        <w:tabs>
          <w:tab w:leader="none" w:pos="66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8"/>
          <w:szCs w:val="18"/>
          <w:color w:val="auto"/>
        </w:rPr>
        <w:t>For the purposes of this opinion, we have not examined:</w:t>
      </w:r>
    </w:p>
    <w:p>
      <w:pPr>
        <w:spacing w:after="0" w:line="214" w:lineRule="exact"/>
        <w:rPr>
          <w:sz w:val="20"/>
          <w:szCs w:val="20"/>
          <w:color w:val="auto"/>
        </w:rPr>
      </w:pPr>
    </w:p>
    <w:p>
      <w:pPr>
        <w:ind w:left="1420" w:right="20" w:hanging="668"/>
        <w:spacing w:after="0" w:line="270" w:lineRule="auto"/>
        <w:tabs>
          <w:tab w:leader="none" w:pos="14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contract, other than those set out in paragraph 2.4 which may affect the validity or enforceability of the contracts set out in paragraph 2.4; or</w:t>
      </w:r>
    </w:p>
    <w:p>
      <w:pPr>
        <w:spacing w:after="0" w:line="7" w:lineRule="exact"/>
        <w:rPr>
          <w:rFonts w:ascii="Arial" w:cs="Arial" w:eastAsia="Arial" w:hAnsi="Arial"/>
          <w:sz w:val="19"/>
          <w:szCs w:val="19"/>
          <w:color w:val="auto"/>
        </w:rPr>
      </w:pPr>
    </w:p>
    <w:p>
      <w:pPr>
        <w:ind w:left="1440" w:hanging="688"/>
        <w:spacing w:after="0" w:line="270" w:lineRule="auto"/>
        <w:tabs>
          <w:tab w:leader="none" w:pos="14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of the corporate or other records of the Company (apart from those set out in paragraph 2.4 or revealed by the searches mentioned in paragraph 2.5),</w:t>
      </w:r>
    </w:p>
    <w:p>
      <w:pPr>
        <w:spacing w:after="0" w:line="156" w:lineRule="exact"/>
        <w:rPr>
          <w:sz w:val="20"/>
          <w:szCs w:val="20"/>
          <w:color w:val="auto"/>
        </w:rPr>
      </w:pPr>
    </w:p>
    <w:p>
      <w:pPr>
        <w:ind w:left="760" w:right="240"/>
        <w:spacing w:after="0" w:line="270" w:lineRule="auto"/>
        <w:rPr>
          <w:sz w:val="20"/>
          <w:szCs w:val="20"/>
          <w:color w:val="auto"/>
        </w:rPr>
      </w:pPr>
      <w:r>
        <w:rPr>
          <w:rFonts w:ascii="Arial" w:cs="Arial" w:eastAsia="Arial" w:hAnsi="Arial"/>
          <w:sz w:val="19"/>
          <w:szCs w:val="19"/>
          <w:color w:val="auto"/>
        </w:rPr>
        <w:t>nor (apart from those mentioned in paragraph 2.5) have we made any other search or enquiry concerning the Company.</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8"/>
          <w:szCs w:val="18"/>
          <w:color w:val="auto"/>
        </w:rPr>
        <w:t>For the purposes of our opinion we have also assumed:</w:t>
      </w:r>
    </w:p>
    <w:p>
      <w:pPr>
        <w:spacing w:after="0" w:line="214" w:lineRule="exact"/>
        <w:rPr>
          <w:sz w:val="20"/>
          <w:szCs w:val="20"/>
          <w:color w:val="auto"/>
        </w:rPr>
      </w:pPr>
    </w:p>
    <w:p>
      <w:pPr>
        <w:ind w:left="1420" w:right="40" w:hanging="668"/>
        <w:spacing w:after="0" w:line="270" w:lineRule="auto"/>
        <w:tabs>
          <w:tab w:leader="none" w:pos="14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Registration Statement, as amended and supplemented, becoming effective under the Securities Act and continuing to be effective;</w:t>
      </w:r>
    </w:p>
    <w:p>
      <w:pPr>
        <w:spacing w:after="0" w:line="156" w:lineRule="exact"/>
        <w:rPr>
          <w:rFonts w:ascii="Arial" w:cs="Arial" w:eastAsia="Arial" w:hAnsi="Arial"/>
          <w:sz w:val="19"/>
          <w:szCs w:val="19"/>
          <w:color w:val="auto"/>
        </w:rPr>
      </w:pPr>
    </w:p>
    <w:p>
      <w:pPr>
        <w:jc w:val="both"/>
        <w:ind w:left="1420" w:hanging="668"/>
        <w:spacing w:after="0" w:line="248" w:lineRule="auto"/>
        <w:tabs>
          <w:tab w:leader="none" w:pos="14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number of Relevant Shares allotted and issued together with Relevant Shares or other shares to be allotted and issued as contemplated by the Registration Statement and those shares already allotted pursuant to the Corporate Approvals not being greater than the aggregate nominal value specified in the Corporate Approvals;</w:t>
      </w:r>
    </w:p>
    <w:p>
      <w:pPr>
        <w:spacing w:after="0" w:line="176" w:lineRule="exact"/>
        <w:rPr>
          <w:rFonts w:ascii="Arial" w:cs="Arial" w:eastAsia="Arial" w:hAnsi="Arial"/>
          <w:sz w:val="19"/>
          <w:szCs w:val="19"/>
          <w:color w:val="auto"/>
        </w:rPr>
      </w:pPr>
    </w:p>
    <w:p>
      <w:pPr>
        <w:jc w:val="both"/>
        <w:ind w:left="1420" w:right="20" w:hanging="668"/>
        <w:spacing w:after="0" w:line="245" w:lineRule="auto"/>
        <w:tabs>
          <w:tab w:leader="none" w:pos="14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allotment and issue of Relevant Shares to either GTU Ops Inc (or another depositary nominee of Computershare Trust Company. N.A.) or Cede &amp; Co. (or another nominee of The Depositary Trust Company) for the ultimate benefit of a party shall constitute due satisfaction of the Company's obligations to issue and allot Ordinary Shares to such party under the applicable documents set out in paragraph 2.4;</w:t>
      </w:r>
    </w:p>
    <w:p>
      <w:pPr>
        <w:spacing w:after="0" w:line="180" w:lineRule="exact"/>
        <w:rPr>
          <w:rFonts w:ascii="Arial" w:cs="Arial" w:eastAsia="Arial" w:hAnsi="Arial"/>
          <w:sz w:val="19"/>
          <w:szCs w:val="19"/>
          <w:color w:val="auto"/>
        </w:rPr>
      </w:pPr>
    </w:p>
    <w:p>
      <w:pPr>
        <w:jc w:val="both"/>
        <w:ind w:left="1440" w:hanging="688"/>
        <w:spacing w:after="0" w:line="254" w:lineRule="auto"/>
        <w:tabs>
          <w:tab w:leader="none" w:pos="14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receipt in full of payment for the Relevant Shares of not less than the aggregate nominal value plus the applicable premium for such Relevant Shares and the agreement by the allottees to become members of the Company;</w:t>
      </w:r>
    </w:p>
    <w:p>
      <w:pPr>
        <w:spacing w:after="0" w:line="170" w:lineRule="exact"/>
        <w:rPr>
          <w:rFonts w:ascii="Arial" w:cs="Arial" w:eastAsia="Arial" w:hAnsi="Arial"/>
          <w:sz w:val="19"/>
          <w:szCs w:val="19"/>
          <w:color w:val="auto"/>
        </w:rPr>
      </w:pPr>
    </w:p>
    <w:p>
      <w:pPr>
        <w:jc w:val="both"/>
        <w:ind w:left="1440" w:hanging="688"/>
        <w:spacing w:after="0"/>
        <w:tabs>
          <w:tab w:leader="none" w:pos="14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that the Corporate Approvals and any additional board and shareholder resolutions required pursuant to the terms of the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or any other applicable law and/or the articles (as in force from time to time) were or will be (as appropriate) each duly passed by written resolution or at a meeting which was or will be duly convened and held in accordance with all applicable laws and regulations; that in particular, but without limitation, a duly qualified quorum of directors or, as the case may be, shareholders was or will be present in each case throughout any such meeting and voted or vote in favour of the resolutions; and that in relation to each meeting of the Board, each provision contained in the Companies Act or the articles (as in force from time to time) relating to the declaration of the directors’ interests or the power of the interested directors to vote and to count in the quorum was or will be duly observed;</w:t>
      </w:r>
    </w:p>
    <w:p>
      <w:pPr>
        <w:spacing w:after="0" w:line="191" w:lineRule="exact"/>
        <w:rPr>
          <w:rFonts w:ascii="Arial" w:cs="Arial" w:eastAsia="Arial" w:hAnsi="Arial"/>
          <w:sz w:val="19"/>
          <w:szCs w:val="19"/>
          <w:color w:val="auto"/>
        </w:rPr>
      </w:pPr>
    </w:p>
    <w:p>
      <w:pPr>
        <w:ind w:left="1420" w:right="40" w:hanging="668"/>
        <w:spacing w:after="0" w:line="270" w:lineRule="auto"/>
        <w:tabs>
          <w:tab w:leader="none" w:pos="14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valid entries having been made in relation to the allotment and issue of the Relevant Shares in the books and registers of the Company;</w:t>
      </w:r>
    </w:p>
    <w:p>
      <w:pPr>
        <w:spacing w:after="0" w:line="7" w:lineRule="exact"/>
        <w:rPr>
          <w:rFonts w:ascii="Arial" w:cs="Arial" w:eastAsia="Arial" w:hAnsi="Arial"/>
          <w:sz w:val="19"/>
          <w:szCs w:val="19"/>
          <w:color w:val="auto"/>
        </w:rPr>
      </w:pPr>
    </w:p>
    <w:p>
      <w:pPr>
        <w:ind w:left="1440" w:hanging="688"/>
        <w:spacing w:after="0" w:line="270" w:lineRule="auto"/>
        <w:tabs>
          <w:tab w:leader="none" w:pos="14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where a document submitted to us is not fully executed or dated, we have assumed that the Company holds a fully executed and dated version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575310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460" w:top="1440" w:right="1319" w:bottom="1440" w:gutter="0" w:footer="0" w:header="0"/>
        </w:sectPr>
      </w:pPr>
    </w:p>
    <w:bookmarkStart w:id="70" w:name="page71"/>
    <w:bookmarkEnd w:id="70"/>
    <w:p>
      <w:pPr>
        <w:ind w:left="688"/>
        <w:spacing w:after="0"/>
        <w:rPr>
          <w:sz w:val="20"/>
          <w:szCs w:val="20"/>
          <w:color w:val="auto"/>
        </w:rPr>
      </w:pPr>
      <w:r>
        <w:rPr>
          <w:rFonts w:ascii="Arial" w:cs="Arial" w:eastAsia="Arial" w:hAnsi="Arial"/>
          <w:sz w:val="19"/>
          <w:szCs w:val="19"/>
          <w:color w:val="auto"/>
        </w:rPr>
        <w:t>document (or alternatively the Company holds all counterpart execution versions of the document);</w:t>
      </w:r>
    </w:p>
    <w:p>
      <w:pPr>
        <w:spacing w:after="0" w:line="65" w:lineRule="exact"/>
        <w:rPr>
          <w:sz w:val="20"/>
          <w:szCs w:val="20"/>
          <w:color w:val="auto"/>
        </w:rPr>
      </w:pPr>
    </w:p>
    <w:p>
      <w:pPr>
        <w:ind w:left="668" w:right="20" w:hanging="668"/>
        <w:spacing w:after="0" w:line="270" w:lineRule="auto"/>
        <w:tabs>
          <w:tab w:leader="none" w:pos="668"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genuineness of all signatures on, and the authenticity and completeness of, all documents submitted to us;</w:t>
      </w:r>
    </w:p>
    <w:p>
      <w:pPr>
        <w:spacing w:after="0" w:line="156" w:lineRule="exact"/>
        <w:rPr>
          <w:rFonts w:ascii="Arial" w:cs="Arial" w:eastAsia="Arial" w:hAnsi="Arial"/>
          <w:sz w:val="19"/>
          <w:szCs w:val="19"/>
          <w:color w:val="auto"/>
        </w:rPr>
      </w:pPr>
    </w:p>
    <w:p>
      <w:pPr>
        <w:jc w:val="both"/>
        <w:ind w:left="688" w:hanging="688"/>
        <w:spacing w:after="0" w:line="259" w:lineRule="auto"/>
        <w:tabs>
          <w:tab w:leader="none" w:pos="688"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Articles remain in full force and effect, and no alteration has been made or will be made to such articles of association prior to the date of allotment and issue of the Relevant Shares (each an “</w:t>
      </w:r>
      <w:r>
        <w:rPr>
          <w:rFonts w:ascii="Arial" w:cs="Arial" w:eastAsia="Arial" w:hAnsi="Arial"/>
          <w:sz w:val="19"/>
          <w:szCs w:val="19"/>
          <w:b w:val="1"/>
          <w:bCs w:val="1"/>
          <w:color w:val="auto"/>
        </w:rPr>
        <w:t>Allotment Date</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668" w:hanging="668"/>
        <w:spacing w:after="0" w:line="248" w:lineRule="auto"/>
        <w:tabs>
          <w:tab w:leader="none" w:pos="668" w:val="left"/>
        </w:tabs>
        <w:numPr>
          <w:ilvl w:val="0"/>
          <w:numId w:val="47"/>
        </w:numPr>
        <w:rPr>
          <w:rFonts w:ascii="Arial" w:cs="Arial" w:eastAsia="Arial" w:hAnsi="Arial"/>
          <w:sz w:val="19"/>
          <w:szCs w:val="19"/>
          <w:color w:val="auto"/>
        </w:rPr>
      </w:pPr>
      <w:r>
        <w:rPr>
          <w:rFonts w:ascii="Arial" w:cs="Arial" w:eastAsia="Arial" w:hAnsi="Arial"/>
          <w:sz w:val="19"/>
          <w:szCs w:val="19"/>
          <w:color w:val="auto"/>
        </w:rPr>
        <w:t>on the Allotment Date, the Company will comply or has complied with all applicable laws as to any offering of and as to the allotment and issue of the Relevant Shares and the Company has received (or for Ordinary Shares to be issued will receive) such amounts as are necessary to fully pay the nominal value of the Relevant Shares and any applicable 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588010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8"/>
          </w:cols>
          <w:pgMar w:left="1212" w:top="1354" w:right="1319" w:bottom="1440" w:gutter="0" w:footer="0" w:header="0"/>
        </w:sectPr>
      </w:pPr>
    </w:p>
    <w:bookmarkStart w:id="71" w:name="page72"/>
    <w:bookmarkEnd w:id="71"/>
    <w:p>
      <w:pPr>
        <w:spacing w:after="0" w:line="63" w:lineRule="exact"/>
        <w:rPr>
          <w:sz w:val="20"/>
          <w:szCs w:val="20"/>
          <w:color w:val="auto"/>
        </w:rPr>
      </w:pPr>
    </w:p>
    <w:p>
      <w:pPr>
        <w:jc w:val="both"/>
        <w:ind w:left="668" w:right="20" w:hanging="668"/>
        <w:spacing w:after="0" w:line="245" w:lineRule="auto"/>
        <w:tabs>
          <w:tab w:leader="none" w:pos="668"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Board Resolutions provided to us in connection with the giving of the opinions in this letter reflect a true record of the proceedings described in them in duly convened, constituted and quorate meetings in which all constitutional, statutory and other formalities were or will be duly observed, and the resolutions set out in the minutes were or will be validly passed and have not been and will not be revoked or varied and remain in full force and effect and will remain so as at the Allotment Date;</w:t>
      </w:r>
    </w:p>
    <w:p>
      <w:pPr>
        <w:spacing w:after="0" w:line="180" w:lineRule="exact"/>
        <w:rPr>
          <w:rFonts w:ascii="Arial" w:cs="Arial" w:eastAsia="Arial" w:hAnsi="Arial"/>
          <w:sz w:val="19"/>
          <w:szCs w:val="19"/>
          <w:color w:val="auto"/>
        </w:rPr>
      </w:pPr>
    </w:p>
    <w:p>
      <w:pPr>
        <w:jc w:val="both"/>
        <w:ind w:left="688" w:hanging="688"/>
        <w:spacing w:after="0" w:line="257" w:lineRule="auto"/>
        <w:tabs>
          <w:tab w:leader="none" w:pos="6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respect of the Board Resolutions (i) in passing such resolutions the directors of the Company were or will be acting in good faith, (ii) the transactions and other matters referred to in the Board Resolutions were or are to be entered into and effected by the Company for the purpose of carrying on its business,</w:t>
      </w:r>
    </w:p>
    <w:p>
      <w:pPr>
        <w:spacing w:after="0" w:line="1" w:lineRule="exact"/>
        <w:rPr>
          <w:rFonts w:ascii="Arial" w:cs="Arial" w:eastAsia="Arial" w:hAnsi="Arial"/>
          <w:sz w:val="18"/>
          <w:szCs w:val="18"/>
          <w:color w:val="auto"/>
        </w:rPr>
      </w:pPr>
    </w:p>
    <w:p>
      <w:pPr>
        <w:jc w:val="both"/>
        <w:ind w:left="688" w:hanging="10"/>
        <w:spacing w:after="0"/>
        <w:tabs>
          <w:tab w:leader="none" w:pos="1018" w:val="left"/>
        </w:tabs>
        <w:numPr>
          <w:ilvl w:val="1"/>
          <w:numId w:val="48"/>
        </w:numPr>
        <w:rPr>
          <w:rFonts w:ascii="Arial" w:cs="Arial" w:eastAsia="Arial" w:hAnsi="Arial"/>
          <w:sz w:val="19"/>
          <w:szCs w:val="19"/>
          <w:color w:val="auto"/>
        </w:rPr>
      </w:pPr>
      <w:r>
        <w:rPr>
          <w:rFonts w:ascii="Arial" w:cs="Arial" w:eastAsia="Arial" w:hAnsi="Arial"/>
          <w:sz w:val="19"/>
          <w:szCs w:val="19"/>
          <w:color w:val="auto"/>
        </w:rPr>
        <w:t>at the time such transactions or matters were or (as the case may be) are to be entered into or effected the Board had or (as the case may be) will have reasonable grounds for believing that the transactions or matters would or (as the case may be) will promote the success of the Company for the benefit of its members as a whole, and (iv) the Board exercised or exercises their powers in connection with the transactions or matters in accordance with all applicable laws;</w:t>
      </w:r>
    </w:p>
    <w:p>
      <w:pPr>
        <w:spacing w:after="0" w:line="185" w:lineRule="exact"/>
        <w:rPr>
          <w:rFonts w:ascii="Arial" w:cs="Arial" w:eastAsia="Arial" w:hAnsi="Arial"/>
          <w:sz w:val="19"/>
          <w:szCs w:val="19"/>
          <w:color w:val="auto"/>
        </w:rPr>
      </w:pPr>
    </w:p>
    <w:p>
      <w:pPr>
        <w:jc w:val="both"/>
        <w:ind w:left="688" w:hanging="688"/>
        <w:spacing w:after="0" w:line="245" w:lineRule="auto"/>
        <w:tabs>
          <w:tab w:leader="none" w:pos="688"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resolutions set out in the Corporate Approvals and/or such other board or shareholder resolutions that are otherwise obtained and/or required by the Company at a later date to, inter alia, validly authorise the allotment and issuance of all Relevant Shares were or will be validly passed and have not been and will not be revoked or varied and remain in full force and effect and will remain so as at the Allotment Date;</w:t>
      </w:r>
    </w:p>
    <w:p>
      <w:pPr>
        <w:spacing w:after="0" w:line="180" w:lineRule="exact"/>
        <w:rPr>
          <w:rFonts w:ascii="Arial" w:cs="Arial" w:eastAsia="Arial" w:hAnsi="Arial"/>
          <w:sz w:val="19"/>
          <w:szCs w:val="19"/>
          <w:color w:val="auto"/>
        </w:rPr>
      </w:pPr>
    </w:p>
    <w:p>
      <w:pPr>
        <w:jc w:val="both"/>
        <w:ind w:left="688" w:hanging="688"/>
        <w:spacing w:after="0"/>
        <w:tabs>
          <w:tab w:leader="none" w:pos="688" w:val="left"/>
        </w:tabs>
        <w:numPr>
          <w:ilvl w:val="0"/>
          <w:numId w:val="48"/>
        </w:numPr>
        <w:rPr>
          <w:rFonts w:ascii="Arial" w:cs="Arial" w:eastAsia="Arial" w:hAnsi="Arial"/>
          <w:sz w:val="19"/>
          <w:szCs w:val="19"/>
          <w:color w:val="auto"/>
        </w:rPr>
      </w:pPr>
      <w:r>
        <w:rPr>
          <w:rFonts w:ascii="Arial" w:cs="Arial" w:eastAsia="Arial" w:hAnsi="Arial"/>
          <w:sz w:val="19"/>
          <w:szCs w:val="19"/>
          <w:color w:val="auto"/>
        </w:rPr>
        <w:t>as at the Allotment Date, the directors of the Company had or shall have sufficient authority and powers conferred on them to allot the Relevant Shares and to grant rights to subscribe for Relevant Shares (as applicable) under section 551 (Power of directors to allot shares etc: authorisation by company) of the Companies Act and under section 570 (Disapplication of pre-emption rights: directors acting under general authorisation) or section 571 (Disapplication of pre-emption rights by special resolution) of the Companies Act as if section 561 of the Companies Act did not apply to such allotment or grant and the Company has not issued (or purported to issue) and shall not issue (or purport to issue) Relevant Shares and has not granted (or purported to grant) and shall not grant rights (or purport to grant rights) in excess of such powers or in breach of any other limitation on their powers to issue shares or grant rights;</w:t>
      </w:r>
    </w:p>
    <w:p>
      <w:pPr>
        <w:spacing w:after="0" w:line="191" w:lineRule="exact"/>
        <w:rPr>
          <w:rFonts w:ascii="Arial" w:cs="Arial" w:eastAsia="Arial" w:hAnsi="Arial"/>
          <w:sz w:val="19"/>
          <w:szCs w:val="19"/>
          <w:color w:val="auto"/>
        </w:rPr>
      </w:pPr>
    </w:p>
    <w:p>
      <w:pPr>
        <w:jc w:val="both"/>
        <w:ind w:left="668" w:right="20" w:hanging="668"/>
        <w:spacing w:after="0" w:line="254" w:lineRule="auto"/>
        <w:tabs>
          <w:tab w:leader="none" w:pos="668"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 relation to the allotment and issue of the Relevant Shares, the directors of the Company have acted and will act in the manner required by section 172 of the Companies Act (Duty to promote the success of the Company), and there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584200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8"/>
          </w:cols>
          <w:pgMar w:left="1212" w:top="1440" w:right="1319" w:bottom="1440" w:gutter="0" w:footer="0" w:header="0"/>
        </w:sectPr>
      </w:pPr>
    </w:p>
    <w:bookmarkStart w:id="72" w:name="page73"/>
    <w:bookmarkEnd w:id="72"/>
    <w:p>
      <w:pPr>
        <w:jc w:val="both"/>
        <w:ind w:left="748" w:right="20"/>
        <w:spacing w:after="0" w:line="254" w:lineRule="auto"/>
        <w:rPr>
          <w:sz w:val="20"/>
          <w:szCs w:val="20"/>
          <w:color w:val="auto"/>
        </w:rPr>
      </w:pPr>
      <w:r>
        <w:rPr>
          <w:rFonts w:ascii="Arial" w:cs="Arial" w:eastAsia="Arial" w:hAnsi="Arial"/>
          <w:sz w:val="19"/>
          <w:szCs w:val="19"/>
          <w:color w:val="auto"/>
        </w:rPr>
        <w:t>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70" w:lineRule="exact"/>
        <w:rPr>
          <w:sz w:val="20"/>
          <w:szCs w:val="20"/>
          <w:color w:val="auto"/>
        </w:rPr>
      </w:pPr>
    </w:p>
    <w:p>
      <w:pPr>
        <w:jc w:val="both"/>
        <w:ind w:left="688" w:hanging="688"/>
        <w:spacing w:after="0" w:line="254" w:lineRule="auto"/>
        <w:tabs>
          <w:tab w:leader="none" w:pos="688" w:val="left"/>
        </w:tabs>
        <w:numPr>
          <w:ilvl w:val="0"/>
          <w:numId w:val="49"/>
        </w:numPr>
        <w:rPr>
          <w:rFonts w:ascii="Arial" w:cs="Arial" w:eastAsia="Arial" w:hAnsi="Arial"/>
          <w:sz w:val="19"/>
          <w:szCs w:val="19"/>
          <w:color w:val="auto"/>
        </w:rPr>
      </w:pPr>
      <w:r>
        <w:rPr>
          <w:rFonts w:ascii="Arial" w:cs="Arial" w:eastAsia="Arial" w:hAnsi="Arial"/>
          <w:sz w:val="19"/>
          <w:szCs w:val="19"/>
          <w:color w:val="auto"/>
        </w:rPr>
        <w:t>as at the Allotment Date, any authority granted pursuant to the articles (in force from time to time) or the Shareholder Resolutions or otherwise by the Company’s shareholders remained or will remain unutilised to the extent necessary to permit the allotment and issue of the Relevant Shares;</w:t>
      </w:r>
    </w:p>
    <w:p>
      <w:pPr>
        <w:spacing w:after="0" w:line="170" w:lineRule="exact"/>
        <w:rPr>
          <w:rFonts w:ascii="Arial" w:cs="Arial" w:eastAsia="Arial" w:hAnsi="Arial"/>
          <w:sz w:val="19"/>
          <w:szCs w:val="19"/>
          <w:color w:val="auto"/>
        </w:rPr>
      </w:pPr>
    </w:p>
    <w:p>
      <w:pPr>
        <w:jc w:val="both"/>
        <w:ind w:left="668" w:right="40" w:hanging="668"/>
        <w:spacing w:after="0" w:line="254" w:lineRule="auto"/>
        <w:tabs>
          <w:tab w:leader="none" w:pos="6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170" w:lineRule="exact"/>
        <w:rPr>
          <w:rFonts w:ascii="Arial" w:cs="Arial" w:eastAsia="Arial" w:hAnsi="Arial"/>
          <w:sz w:val="19"/>
          <w:szCs w:val="19"/>
          <w:color w:val="auto"/>
        </w:rPr>
      </w:pPr>
    </w:p>
    <w:p>
      <w:pPr>
        <w:jc w:val="both"/>
        <w:ind w:left="668" w:right="20" w:hanging="668"/>
        <w:spacing w:after="0" w:line="299" w:lineRule="auto"/>
        <w:tabs>
          <w:tab w:leader="none" w:pos="6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any person who signed a document (which we have reviewed for the purposes of the opinion given in this letter) as a witness was physically present at the time when the signatory signed such document;</w:t>
      </w:r>
    </w:p>
    <w:p>
      <w:pPr>
        <w:spacing w:after="0" w:line="132" w:lineRule="exact"/>
        <w:rPr>
          <w:rFonts w:ascii="Arial" w:cs="Arial" w:eastAsia="Arial" w:hAnsi="Arial"/>
          <w:sz w:val="18"/>
          <w:szCs w:val="18"/>
          <w:color w:val="auto"/>
        </w:rPr>
      </w:pPr>
    </w:p>
    <w:p>
      <w:pPr>
        <w:ind w:left="668" w:right="20" w:hanging="668"/>
        <w:spacing w:after="0" w:line="270" w:lineRule="auto"/>
        <w:tabs>
          <w:tab w:leader="none" w:pos="6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conformity to originals of all documents submitted to us as copies of originals and the authenticity of the originals;</w:t>
      </w:r>
    </w:p>
    <w:p>
      <w:pPr>
        <w:spacing w:after="0" w:line="156" w:lineRule="exact"/>
        <w:rPr>
          <w:rFonts w:ascii="Arial" w:cs="Arial" w:eastAsia="Arial" w:hAnsi="Arial"/>
          <w:sz w:val="19"/>
          <w:szCs w:val="19"/>
          <w:color w:val="auto"/>
        </w:rPr>
      </w:pPr>
    </w:p>
    <w:p>
      <w:pPr>
        <w:ind w:left="668" w:hanging="668"/>
        <w:spacing w:after="0"/>
        <w:tabs>
          <w:tab w:leader="none" w:pos="6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that the documents and records referred to in paragraphs 2.4 and 2.5 are accurate and complete;</w:t>
      </w:r>
    </w:p>
    <w:p>
      <w:pPr>
        <w:spacing w:after="0" w:line="213" w:lineRule="exact"/>
        <w:rPr>
          <w:rFonts w:ascii="Arial" w:cs="Arial" w:eastAsia="Arial" w:hAnsi="Arial"/>
          <w:sz w:val="19"/>
          <w:szCs w:val="19"/>
          <w:color w:val="auto"/>
        </w:rPr>
      </w:pPr>
    </w:p>
    <w:p>
      <w:pPr>
        <w:ind w:left="668" w:right="20" w:hanging="668"/>
        <w:spacing w:after="0" w:line="270" w:lineRule="auto"/>
        <w:tabs>
          <w:tab w:leader="none" w:pos="6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that except as disclosed in the documents referred to in paragraph 2.4, and the search and enquiry referred to in paragraph 2.5:</w:t>
      </w:r>
    </w:p>
    <w:p>
      <w:pPr>
        <w:spacing w:after="0" w:line="156" w:lineRule="exact"/>
        <w:rPr>
          <w:rFonts w:ascii="Arial" w:cs="Arial" w:eastAsia="Arial" w:hAnsi="Arial"/>
          <w:sz w:val="19"/>
          <w:szCs w:val="19"/>
          <w:color w:val="auto"/>
        </w:rPr>
      </w:pPr>
    </w:p>
    <w:p>
      <w:pPr>
        <w:jc w:val="both"/>
        <w:ind w:left="1408" w:right="20" w:hanging="839"/>
        <w:spacing w:after="0" w:line="254" w:lineRule="auto"/>
        <w:tabs>
          <w:tab w:leader="none" w:pos="1408" w:val="left"/>
        </w:tabs>
        <w:numPr>
          <w:ilvl w:val="2"/>
          <w:numId w:val="49"/>
        </w:numPr>
        <w:rPr>
          <w:rFonts w:ascii="Arial" w:cs="Arial" w:eastAsia="Arial" w:hAnsi="Arial"/>
          <w:sz w:val="19"/>
          <w:szCs w:val="19"/>
          <w:color w:val="auto"/>
        </w:rPr>
      </w:pPr>
      <w:r>
        <w:rPr>
          <w:rFonts w:ascii="Arial" w:cs="Arial" w:eastAsia="Arial" w:hAnsi="Arial"/>
          <w:sz w:val="19"/>
          <w:szCs w:val="19"/>
          <w:color w:val="auto"/>
        </w:rPr>
        <w:t>no arrangement or composition with or for the benefit of the creditors of the Company (including a voluntary arrangement as defined in the Insolvency Act 1986) has been entered into or proposed;</w:t>
      </w:r>
    </w:p>
    <w:p>
      <w:pPr>
        <w:spacing w:after="0" w:line="170" w:lineRule="exact"/>
        <w:rPr>
          <w:rFonts w:ascii="Arial" w:cs="Arial" w:eastAsia="Arial" w:hAnsi="Arial"/>
          <w:sz w:val="19"/>
          <w:szCs w:val="19"/>
          <w:color w:val="auto"/>
        </w:rPr>
      </w:pPr>
    </w:p>
    <w:p>
      <w:pPr>
        <w:ind w:left="1408" w:hanging="884"/>
        <w:spacing w:after="0" w:line="270" w:lineRule="auto"/>
        <w:tabs>
          <w:tab w:leader="none" w:pos="1408" w:val="left"/>
        </w:tabs>
        <w:numPr>
          <w:ilvl w:val="2"/>
          <w:numId w:val="49"/>
        </w:numPr>
        <w:rPr>
          <w:rFonts w:ascii="Arial" w:cs="Arial" w:eastAsia="Arial" w:hAnsi="Arial"/>
          <w:sz w:val="19"/>
          <w:szCs w:val="19"/>
          <w:color w:val="auto"/>
        </w:rPr>
      </w:pPr>
      <w:r>
        <w:rPr>
          <w:rFonts w:ascii="Arial" w:cs="Arial" w:eastAsia="Arial" w:hAnsi="Arial"/>
          <w:sz w:val="19"/>
          <w:szCs w:val="19"/>
          <w:color w:val="auto"/>
        </w:rPr>
        <w:t>no moratorium has come into force in respect of the Company under Part A1 of the Insolvency Act 1986;</w:t>
      </w:r>
    </w:p>
    <w:p>
      <w:pPr>
        <w:spacing w:after="0" w:line="156" w:lineRule="exact"/>
        <w:rPr>
          <w:rFonts w:ascii="Arial" w:cs="Arial" w:eastAsia="Arial" w:hAnsi="Arial"/>
          <w:sz w:val="19"/>
          <w:szCs w:val="19"/>
          <w:color w:val="auto"/>
        </w:rPr>
      </w:pPr>
    </w:p>
    <w:p>
      <w:pPr>
        <w:jc w:val="both"/>
        <w:ind w:left="1408" w:hanging="944"/>
        <w:spacing w:after="0" w:line="254" w:lineRule="auto"/>
        <w:tabs>
          <w:tab w:leader="none" w:pos="1408" w:val="left"/>
        </w:tabs>
        <w:numPr>
          <w:ilvl w:val="1"/>
          <w:numId w:val="49"/>
        </w:numPr>
        <w:rPr>
          <w:rFonts w:ascii="Arial" w:cs="Arial" w:eastAsia="Arial" w:hAnsi="Arial"/>
          <w:sz w:val="19"/>
          <w:szCs w:val="19"/>
          <w:color w:val="auto"/>
        </w:rPr>
      </w:pPr>
      <w:r>
        <w:rPr>
          <w:rFonts w:ascii="Arial" w:cs="Arial" w:eastAsia="Arial" w:hAnsi="Arial"/>
          <w:sz w:val="19"/>
          <w:szCs w:val="19"/>
          <w:color w:val="auto"/>
        </w:rPr>
        <w:t>no receiver or administrative receiver has taken possession of or being appointed over nor has any mortgagee, chargee or other encumbrancer taken possession of the whole or any material part of the assets of the Company;</w:t>
      </w:r>
    </w:p>
    <w:p>
      <w:pPr>
        <w:spacing w:after="0" w:line="170" w:lineRule="exact"/>
        <w:rPr>
          <w:rFonts w:ascii="Arial" w:cs="Arial" w:eastAsia="Arial" w:hAnsi="Arial"/>
          <w:sz w:val="19"/>
          <w:szCs w:val="19"/>
          <w:color w:val="auto"/>
        </w:rPr>
      </w:pPr>
    </w:p>
    <w:p>
      <w:pPr>
        <w:jc w:val="both"/>
        <w:ind w:left="1408" w:hanging="944"/>
        <w:spacing w:after="0" w:line="248" w:lineRule="auto"/>
        <w:tabs>
          <w:tab w:leader="none" w:pos="1408" w:val="left"/>
        </w:tabs>
        <w:numPr>
          <w:ilvl w:val="1"/>
          <w:numId w:val="49"/>
        </w:numPr>
        <w:rPr>
          <w:rFonts w:ascii="Arial" w:cs="Arial" w:eastAsia="Arial" w:hAnsi="Arial"/>
          <w:sz w:val="19"/>
          <w:szCs w:val="19"/>
          <w:color w:val="auto"/>
        </w:rPr>
      </w:pPr>
      <w:r>
        <w:rPr>
          <w:rFonts w:ascii="Arial" w:cs="Arial" w:eastAsia="Arial" w:hAnsi="Arial"/>
          <w:sz w:val="19"/>
          <w:szCs w:val="19"/>
          <w:color w:val="auto"/>
        </w:rPr>
        <w:t>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176" w:lineRule="exact"/>
        <w:rPr>
          <w:rFonts w:ascii="Arial" w:cs="Arial" w:eastAsia="Arial" w:hAnsi="Arial"/>
          <w:sz w:val="19"/>
          <w:szCs w:val="19"/>
          <w:color w:val="auto"/>
        </w:rPr>
      </w:pPr>
    </w:p>
    <w:p>
      <w:pPr>
        <w:jc w:val="both"/>
        <w:ind w:left="1408" w:right="20" w:hanging="900"/>
        <w:spacing w:after="0" w:line="254" w:lineRule="auto"/>
        <w:tabs>
          <w:tab w:leader="none" w:pos="1408" w:val="left"/>
        </w:tabs>
        <w:numPr>
          <w:ilvl w:val="2"/>
          <w:numId w:val="50"/>
        </w:numPr>
        <w:rPr>
          <w:rFonts w:ascii="Arial" w:cs="Arial" w:eastAsia="Arial" w:hAnsi="Arial"/>
          <w:sz w:val="19"/>
          <w:szCs w:val="19"/>
          <w:color w:val="auto"/>
        </w:rPr>
      </w:pPr>
      <w:r>
        <w:rPr>
          <w:rFonts w:ascii="Arial" w:cs="Arial" w:eastAsia="Arial" w:hAnsi="Arial"/>
          <w:sz w:val="19"/>
          <w:szCs w:val="19"/>
          <w:color w:val="auto"/>
        </w:rPr>
        <w:t>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170" w:lineRule="exact"/>
        <w:rPr>
          <w:sz w:val="20"/>
          <w:szCs w:val="20"/>
          <w:color w:val="auto"/>
        </w:rPr>
      </w:pPr>
    </w:p>
    <w:p>
      <w:pPr>
        <w:ind w:left="1408" w:right="20" w:hanging="944"/>
        <w:spacing w:after="0" w:line="270" w:lineRule="auto"/>
        <w:tabs>
          <w:tab w:leader="none" w:pos="1408" w:val="left"/>
        </w:tabs>
        <w:numPr>
          <w:ilvl w:val="2"/>
          <w:numId w:val="51"/>
        </w:numPr>
        <w:rPr>
          <w:rFonts w:ascii="Arial" w:cs="Arial" w:eastAsia="Arial" w:hAnsi="Arial"/>
          <w:sz w:val="19"/>
          <w:szCs w:val="19"/>
          <w:color w:val="auto"/>
        </w:rPr>
      </w:pPr>
      <w:r>
        <w:rPr>
          <w:rFonts w:ascii="Arial" w:cs="Arial" w:eastAsia="Arial" w:hAnsi="Arial"/>
          <w:sz w:val="19"/>
          <w:szCs w:val="19"/>
          <w:color w:val="auto"/>
        </w:rPr>
        <w:t>no administrator has been appointed of the Company under paragraphs 14 or 22 of Schedule B1 to the Insolvency Act 1986 or otherwise;</w:t>
      </w:r>
    </w:p>
    <w:p>
      <w:pPr>
        <w:spacing w:after="0" w:line="156" w:lineRule="exact"/>
        <w:rPr>
          <w:rFonts w:ascii="Arial" w:cs="Arial" w:eastAsia="Arial" w:hAnsi="Arial"/>
          <w:sz w:val="19"/>
          <w:szCs w:val="19"/>
          <w:color w:val="auto"/>
        </w:rPr>
      </w:pPr>
    </w:p>
    <w:p>
      <w:pPr>
        <w:ind w:left="1408" w:hanging="1005"/>
        <w:spacing w:after="0" w:line="270" w:lineRule="auto"/>
        <w:tabs>
          <w:tab w:leader="none" w:pos="1408" w:val="left"/>
        </w:tabs>
        <w:numPr>
          <w:ilvl w:val="1"/>
          <w:numId w:val="52"/>
        </w:numPr>
        <w:rPr>
          <w:rFonts w:ascii="Arial" w:cs="Arial" w:eastAsia="Arial" w:hAnsi="Arial"/>
          <w:sz w:val="19"/>
          <w:szCs w:val="19"/>
          <w:color w:val="auto"/>
        </w:rPr>
      </w:pPr>
      <w:r>
        <w:rPr>
          <w:rFonts w:ascii="Arial" w:cs="Arial" w:eastAsia="Arial" w:hAnsi="Arial"/>
          <w:sz w:val="19"/>
          <w:szCs w:val="19"/>
          <w:color w:val="auto"/>
        </w:rPr>
        <w:t>no petition has been presented nor a resolution been passed nor has an order been made for the administration or the winding-up, bankruptcy or dissolution of the Company;</w:t>
      </w:r>
    </w:p>
    <w:p>
      <w:pPr>
        <w:spacing w:after="0" w:line="7" w:lineRule="exact"/>
        <w:rPr>
          <w:rFonts w:ascii="Arial" w:cs="Arial" w:eastAsia="Arial" w:hAnsi="Arial"/>
          <w:sz w:val="19"/>
          <w:szCs w:val="19"/>
          <w:color w:val="auto"/>
        </w:rPr>
      </w:pPr>
    </w:p>
    <w:p>
      <w:pPr>
        <w:ind w:left="668" w:right="20" w:hanging="668"/>
        <w:spacing w:after="0" w:line="270" w:lineRule="auto"/>
        <w:tabs>
          <w:tab w:leader="none" w:pos="668" w:val="left"/>
        </w:tabs>
        <w:numPr>
          <w:ilvl w:val="0"/>
          <w:numId w:val="53"/>
        </w:numPr>
        <w:rPr>
          <w:rFonts w:ascii="Arial" w:cs="Arial" w:eastAsia="Arial" w:hAnsi="Arial"/>
          <w:sz w:val="19"/>
          <w:szCs w:val="19"/>
          <w:color w:val="auto"/>
        </w:rPr>
      </w:pPr>
      <w:r>
        <w:rPr>
          <w:rFonts w:ascii="Arial" w:cs="Arial" w:eastAsia="Arial" w:hAnsi="Arial"/>
          <w:sz w:val="19"/>
          <w:szCs w:val="19"/>
          <w:color w:val="auto"/>
        </w:rPr>
        <w:t>as at the Allotment Date, the Company has not taken nor will take any corporate or other action nor have any steps been taken or legal proceedings been started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575310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8"/>
          </w:cols>
          <w:pgMar w:left="1212" w:top="1354" w:right="1319" w:bottom="1440" w:gutter="0" w:footer="0" w:header="0"/>
        </w:sectPr>
      </w:pPr>
    </w:p>
    <w:bookmarkStart w:id="73" w:name="page74"/>
    <w:bookmarkEnd w:id="73"/>
    <w:p>
      <w:pPr>
        <w:jc w:val="both"/>
        <w:ind w:left="1497" w:right="20"/>
        <w:spacing w:after="0" w:line="242" w:lineRule="auto"/>
        <w:rPr>
          <w:sz w:val="20"/>
          <w:szCs w:val="20"/>
          <w:color w:val="auto"/>
        </w:rPr>
      </w:pPr>
      <w:r>
        <w:rPr>
          <w:rFonts w:ascii="Arial" w:cs="Arial" w:eastAsia="Arial" w:hAnsi="Arial"/>
          <w:sz w:val="19"/>
          <w:szCs w:val="19"/>
          <w:color w:val="auto"/>
        </w:rPr>
        <w:t>nor steps be taken or legal proceedings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was not or is not unable to pay its debts as they fall due within the meaning of section 123 of the Insolvency Act 1986, and was not and will not become unable to pay its debts within the meaning of that section as a result of any of the transactions contemplated herein, was not and is not insolvent and has not been and will not be dissolved or declared bankrupt;</w:t>
      </w:r>
    </w:p>
    <w:p>
      <w:pPr>
        <w:spacing w:after="0" w:line="182" w:lineRule="exact"/>
        <w:rPr>
          <w:sz w:val="20"/>
          <w:szCs w:val="20"/>
          <w:color w:val="auto"/>
        </w:rPr>
      </w:pPr>
    </w:p>
    <w:p>
      <w:pPr>
        <w:jc w:val="both"/>
        <w:ind w:left="1437" w:hanging="688"/>
        <w:spacing w:after="0" w:line="242" w:lineRule="auto"/>
        <w:tabs>
          <w:tab w:leader="none" w:pos="1437" w:val="left"/>
        </w:tabs>
        <w:numPr>
          <w:ilvl w:val="1"/>
          <w:numId w:val="54"/>
        </w:numPr>
        <w:rPr>
          <w:rFonts w:ascii="Arial" w:cs="Arial" w:eastAsia="Arial" w:hAnsi="Arial"/>
          <w:sz w:val="19"/>
          <w:szCs w:val="19"/>
          <w:color w:val="auto"/>
        </w:rPr>
      </w:pPr>
      <w:r>
        <w:rPr>
          <w:rFonts w:ascii="Arial" w:cs="Arial" w:eastAsia="Arial" w:hAnsi="Arial"/>
          <w:sz w:val="19"/>
          <w:szCs w:val="19"/>
          <w:color w:val="auto"/>
        </w:rPr>
        <w:t>all facts which are stated in any official public record, including the search and enquiry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enquiry referred to in paragraph 2.5 was complete and accurate in all respects and has not, since the time of the search and enquiry, been altered and that the results of the search and enquiry will remain complete and accurate as at each Allotment Date;</w:t>
      </w:r>
    </w:p>
    <w:p>
      <w:pPr>
        <w:spacing w:after="0" w:line="185" w:lineRule="exact"/>
        <w:rPr>
          <w:rFonts w:ascii="Arial" w:cs="Arial" w:eastAsia="Arial" w:hAnsi="Arial"/>
          <w:sz w:val="19"/>
          <w:szCs w:val="19"/>
          <w:color w:val="auto"/>
        </w:rPr>
      </w:pPr>
    </w:p>
    <w:p>
      <w:pPr>
        <w:ind w:left="1497" w:hanging="739"/>
        <w:spacing w:after="0" w:line="254" w:lineRule="auto"/>
        <w:tabs>
          <w:tab w:leader="none" w:pos="1272"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that no event analogous to any of the events mentioned in paragraph 3.8(u) or 3.8(v) or any other insolvency procedure has occurred in respect of the Company in a country other than England and that no steps have been taken to subject the Company to such a procedure;</w:t>
      </w:r>
    </w:p>
    <w:p>
      <w:pPr>
        <w:spacing w:after="0" w:line="170" w:lineRule="exact"/>
        <w:rPr>
          <w:rFonts w:ascii="Arial" w:cs="Arial" w:eastAsia="Arial" w:hAnsi="Arial"/>
          <w:sz w:val="19"/>
          <w:szCs w:val="19"/>
          <w:color w:val="auto"/>
        </w:rPr>
      </w:pPr>
    </w:p>
    <w:p>
      <w:pPr>
        <w:ind w:left="1497" w:hanging="739"/>
        <w:spacing w:after="0" w:line="245" w:lineRule="auto"/>
        <w:tabs>
          <w:tab w:leader="none" w:pos="1193"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that there are no provisions of the laws of any jurisdiction outside England which would be contravened by the execution or delivery of the documents in paragraph 2.4 and that insofar as any obligation under such documents falls or has fallen to be performed or any action falls or has fallen to be taken in any jurisdiction outside England, the performance of that obligation or taking of that action was not or will not be unlawful by virtue of the laws of that jurisdiction;</w:t>
      </w:r>
    </w:p>
    <w:p>
      <w:pPr>
        <w:spacing w:after="0" w:line="180" w:lineRule="exact"/>
        <w:rPr>
          <w:rFonts w:ascii="Arial" w:cs="Arial" w:eastAsia="Arial" w:hAnsi="Arial"/>
          <w:sz w:val="19"/>
          <w:szCs w:val="19"/>
          <w:color w:val="auto"/>
        </w:rPr>
      </w:pPr>
    </w:p>
    <w:p>
      <w:pPr>
        <w:ind w:left="1497" w:right="20" w:hanging="740"/>
        <w:spacing w:after="0" w:line="248" w:lineRule="auto"/>
        <w:tabs>
          <w:tab w:leader="none" w:pos="1132" w:val="left"/>
        </w:tabs>
        <w:numPr>
          <w:ilvl w:val="1"/>
          <w:numId w:val="55"/>
        </w:numPr>
        <w:rPr>
          <w:rFonts w:ascii="Arial" w:cs="Arial" w:eastAsia="Arial" w:hAnsi="Arial"/>
          <w:sz w:val="19"/>
          <w:szCs w:val="19"/>
          <w:color w:val="auto"/>
        </w:rPr>
      </w:pPr>
      <w:r>
        <w:rPr>
          <w:rFonts w:ascii="Arial" w:cs="Arial" w:eastAsia="Arial" w:hAnsi="Arial"/>
          <w:sz w:val="19"/>
          <w:szCs w:val="19"/>
          <w:color w:val="auto"/>
        </w:rPr>
        <w:t>to extent that the entry into of a document in paragraph 2.4 by the Company constitutes or constituted a regulated activity for the purposes of the Financial Services and Markets Act 2000 the Company is, was at the relevant time and will be at all relevant times in compliance with all applicable requirements of that Act and any regulations or rules made under that Act;</w:t>
      </w:r>
    </w:p>
    <w:p>
      <w:pPr>
        <w:spacing w:after="0" w:line="176" w:lineRule="exact"/>
        <w:rPr>
          <w:rFonts w:ascii="Arial" w:cs="Arial" w:eastAsia="Arial" w:hAnsi="Arial"/>
          <w:sz w:val="19"/>
          <w:szCs w:val="19"/>
          <w:color w:val="auto"/>
        </w:rPr>
      </w:pPr>
    </w:p>
    <w:p>
      <w:pPr>
        <w:ind w:left="1497" w:hanging="739"/>
        <w:spacing w:after="0" w:line="270" w:lineRule="auto"/>
        <w:tabs>
          <w:tab w:leader="none" w:pos="1269"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that there are or were no written or oral representations made in connection with the documents in paragraph 2.4 which have not been disclosed to us;</w:t>
      </w:r>
    </w:p>
    <w:p>
      <w:pPr>
        <w:spacing w:after="0" w:line="156" w:lineRule="exact"/>
        <w:rPr>
          <w:rFonts w:ascii="Arial" w:cs="Arial" w:eastAsia="Arial" w:hAnsi="Arial"/>
          <w:sz w:val="19"/>
          <w:szCs w:val="19"/>
          <w:color w:val="auto"/>
        </w:rPr>
      </w:pPr>
    </w:p>
    <w:p>
      <w:pPr>
        <w:ind w:left="1497" w:right="20" w:hanging="739"/>
        <w:spacing w:after="0" w:line="270" w:lineRule="auto"/>
        <w:tabs>
          <w:tab w:leader="none" w:pos="1216"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that there are or were no written or oral agreements modifying the terms of the documents in paragraph 2.4 which have not been disclosed to us;</w:t>
      </w:r>
    </w:p>
    <w:p>
      <w:pPr>
        <w:spacing w:after="0" w:line="156" w:lineRule="exact"/>
        <w:rPr>
          <w:rFonts w:ascii="Arial" w:cs="Arial" w:eastAsia="Arial" w:hAnsi="Arial"/>
          <w:sz w:val="19"/>
          <w:szCs w:val="19"/>
          <w:color w:val="auto"/>
        </w:rPr>
      </w:pPr>
    </w:p>
    <w:p>
      <w:pPr>
        <w:ind w:left="1497" w:right="20" w:hanging="739"/>
        <w:spacing w:after="0" w:line="270" w:lineRule="auto"/>
        <w:tabs>
          <w:tab w:leader="none" w:pos="1168"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that there is no other information known to the Company or its employees, agents or sub-contractors and not disclosed to us which would affect the opinions expressed below; and</w:t>
      </w:r>
    </w:p>
    <w:p>
      <w:pPr>
        <w:spacing w:after="0" w:line="156" w:lineRule="exact"/>
        <w:rPr>
          <w:rFonts w:ascii="Arial" w:cs="Arial" w:eastAsia="Arial" w:hAnsi="Arial"/>
          <w:sz w:val="19"/>
          <w:szCs w:val="19"/>
          <w:color w:val="auto"/>
        </w:rPr>
      </w:pPr>
    </w:p>
    <w:p>
      <w:pPr>
        <w:ind w:left="1497" w:right="20" w:hanging="739"/>
        <w:spacing w:after="0" w:line="270" w:lineRule="auto"/>
        <w:tabs>
          <w:tab w:leader="none" w:pos="1206"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that there has been no change in the facts and matters disclosed in the search and enquiry referred to in paragraph 2.5 since we made them.</w:t>
      </w:r>
    </w:p>
    <w:p>
      <w:pPr>
        <w:spacing w:after="0" w:line="372" w:lineRule="exact"/>
        <w:rPr>
          <w:rFonts w:ascii="Arial" w:cs="Arial" w:eastAsia="Arial" w:hAnsi="Arial"/>
          <w:sz w:val="19"/>
          <w:szCs w:val="19"/>
          <w:color w:val="auto"/>
        </w:rPr>
      </w:pPr>
    </w:p>
    <w:p>
      <w:pPr>
        <w:ind w:left="757" w:hanging="757"/>
        <w:spacing w:after="0"/>
        <w:tabs>
          <w:tab w:leader="none" w:pos="757"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color w:val="auto"/>
        </w:rPr>
        <w:t>Opinion</w:t>
      </w:r>
    </w:p>
    <w:p>
      <w:pPr>
        <w:spacing w:after="0" w:line="214" w:lineRule="exact"/>
        <w:rPr>
          <w:sz w:val="20"/>
          <w:szCs w:val="20"/>
          <w:color w:val="auto"/>
        </w:rPr>
      </w:pPr>
    </w:p>
    <w:p>
      <w:pPr>
        <w:jc w:val="both"/>
        <w:ind w:left="677" w:right="20" w:hanging="681"/>
        <w:spacing w:after="0" w:line="254" w:lineRule="auto"/>
        <w:tabs>
          <w:tab w:leader="none" w:pos="656"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On the basis of the above assumptions (and subject to the reservations and qualifications set out herein and to any matters not disclosed to us) we are of the opinion that as at today’s date the PIPE Ordinary Shares have been duly and validly authorized and issued, fully paid or credited as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584200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7"/>
          </w:cols>
          <w:pgMar w:left="463" w:top="1354" w:right="1319" w:bottom="1440" w:gutter="0" w:footer="0" w:header="0"/>
        </w:sectPr>
      </w:pPr>
    </w:p>
    <w:bookmarkStart w:id="74" w:name="page75"/>
    <w:bookmarkEnd w:id="74"/>
    <w:p>
      <w:pPr>
        <w:ind w:left="757" w:hanging="757"/>
        <w:spacing w:after="0"/>
        <w:tabs>
          <w:tab w:leader="none" w:pos="757"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Extent of opinion</w:t>
      </w:r>
    </w:p>
    <w:p>
      <w:pPr>
        <w:spacing w:after="0" w:line="214" w:lineRule="exact"/>
        <w:rPr>
          <w:sz w:val="20"/>
          <w:szCs w:val="20"/>
          <w:color w:val="auto"/>
        </w:rPr>
      </w:pPr>
    </w:p>
    <w:p>
      <w:pPr>
        <w:jc w:val="both"/>
        <w:ind w:left="677" w:hanging="682"/>
        <w:spacing w:after="0" w:line="254" w:lineRule="auto"/>
        <w:tabs>
          <w:tab w:leader="none" w:pos="656"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color w:val="auto"/>
        </w:rPr>
        <w:t>We express no opinion as to any agreement, instrument or other document other than as specified in this letter or as to any liability to tax or duty which may arise or be suffered as a result of or in connection with the transactions contemplated by the Registration Statement.</w:t>
      </w:r>
    </w:p>
    <w:p>
      <w:pPr>
        <w:spacing w:after="0" w:line="170" w:lineRule="exact"/>
        <w:rPr>
          <w:sz w:val="20"/>
          <w:szCs w:val="20"/>
          <w:color w:val="auto"/>
        </w:rPr>
      </w:pPr>
    </w:p>
    <w:p>
      <w:pPr>
        <w:jc w:val="both"/>
        <w:ind w:left="677" w:hanging="682"/>
        <w:spacing w:after="0" w:line="245" w:lineRule="auto"/>
        <w:tabs>
          <w:tab w:leader="none" w:pos="656"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 Our liability under this opinion is limited to $25m.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590550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7"/>
          </w:cols>
          <w:pgMar w:left="463" w:top="1354" w:right="1319" w:bottom="1440" w:gutter="0" w:footer="0" w:header="0"/>
        </w:sectPr>
      </w:pPr>
    </w:p>
    <w:bookmarkStart w:id="75" w:name="page76"/>
    <w:bookmarkEnd w:id="75"/>
    <w:p>
      <w:pPr>
        <w:spacing w:after="0" w:line="279" w:lineRule="exact"/>
        <w:rPr>
          <w:sz w:val="20"/>
          <w:szCs w:val="20"/>
          <w:color w:val="auto"/>
        </w:rPr>
      </w:pPr>
    </w:p>
    <w:p>
      <w:pPr>
        <w:ind w:left="757" w:hanging="757"/>
        <w:spacing w:after="0"/>
        <w:tabs>
          <w:tab w:leader="none" w:pos="757"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and reliance</w:t>
      </w:r>
    </w:p>
    <w:p>
      <w:pPr>
        <w:spacing w:after="0" w:line="214" w:lineRule="exact"/>
        <w:rPr>
          <w:sz w:val="20"/>
          <w:szCs w:val="20"/>
          <w:color w:val="auto"/>
        </w:rPr>
      </w:pPr>
    </w:p>
    <w:p>
      <w:pPr>
        <w:jc w:val="both"/>
        <w:ind w:left="677" w:hanging="682"/>
        <w:spacing w:after="0" w:line="245" w:lineRule="auto"/>
        <w:tabs>
          <w:tab w:leader="none" w:pos="656"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9"/>
          <w:szCs w:val="19"/>
          <w:color w:val="auto"/>
        </w:rPr>
        <w:t>This letter is rendered to you for your benefit in connection with the Registration Statement. We consent to the filing of this letter as an exhibit to the Registration Statement. We further consent to the incorporation by reference of this letter and consent into any registration statement filed under the Securities Act with respect to the Relevant Shares. In giving such consent, we do not thereby admit that we are in the category of persons whose consent is required under the Securities Act or the rules and regulations thereunder.</w:t>
      </w:r>
    </w:p>
    <w:p>
      <w:pPr>
        <w:spacing w:after="0" w:line="181" w:lineRule="exact"/>
        <w:rPr>
          <w:sz w:val="20"/>
          <w:szCs w:val="20"/>
          <w:color w:val="auto"/>
        </w:rPr>
      </w:pPr>
    </w:p>
    <w:p>
      <w:pPr>
        <w:ind w:left="677" w:right="40" w:hanging="680"/>
        <w:spacing w:after="0" w:line="270" w:lineRule="auto"/>
        <w:tabs>
          <w:tab w:leader="none" w:pos="656"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9"/>
          <w:szCs w:val="19"/>
          <w:color w:val="auto"/>
        </w:rPr>
        <w:t>Other than for the purpose set out in the prior paragraph, this letter may not be relied upon, or assigned, for any purpose, without our prior written consent, which may be granted or withheld in our discretion.</w:t>
      </w:r>
    </w:p>
    <w:p>
      <w:pPr>
        <w:spacing w:after="0" w:line="156" w:lineRule="exact"/>
        <w:rPr>
          <w:sz w:val="20"/>
          <w:szCs w:val="20"/>
          <w:color w:val="auto"/>
        </w:rPr>
      </w:pPr>
    </w:p>
    <w:p>
      <w:pPr>
        <w:ind w:left="17"/>
        <w:spacing w:after="0"/>
        <w:rPr>
          <w:sz w:val="20"/>
          <w:szCs w:val="20"/>
          <w:color w:val="auto"/>
        </w:rPr>
      </w:pPr>
      <w:r>
        <w:rPr>
          <w:rFonts w:ascii="Arial" w:cs="Arial" w:eastAsia="Arial" w:hAnsi="Arial"/>
          <w:sz w:val="19"/>
          <w:szCs w:val="19"/>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15875</wp:posOffset>
            </wp:positionV>
            <wp:extent cx="2219960" cy="4457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22199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7"/>
        <w:spacing w:after="0"/>
        <w:rPr>
          <w:sz w:val="20"/>
          <w:szCs w:val="20"/>
          <w:color w:val="auto"/>
        </w:rPr>
      </w:pPr>
      <w:r>
        <w:rPr>
          <w:rFonts w:ascii="Arial" w:cs="Arial" w:eastAsia="Arial" w:hAnsi="Arial"/>
          <w:sz w:val="19"/>
          <w:szCs w:val="19"/>
          <w:b w:val="1"/>
          <w:bCs w:val="1"/>
          <w:color w:val="auto"/>
        </w:rPr>
        <w:t>Taylor Wessing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611505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7"/>
          </w:cols>
          <w:pgMar w:left="463" w:top="1440" w:right="1319" w:bottom="1440" w:gutter="0" w:footer="0" w:header="0"/>
        </w:sectPr>
      </w:pPr>
    </w:p>
    <w:bookmarkStart w:id="76" w:name="page77"/>
    <w:bookmarkEnd w:id="76"/>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hereby consent to the incorporation by reference in this Registration Statement on Form F-3 of our report dated April 23, 2025, except for Note 17, as to which the date is September 9, 2025, with respects to our audits of the consolidated financial statements of Rezolve AI plc, as of and for the years ended December 31, 2024 and 2023. We also consent to the reference to our firm under the heading “Experts” appearing therein.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1150620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383" w:lineRule="exact"/>
        <w:rPr>
          <w:sz w:val="20"/>
          <w:szCs w:val="20"/>
          <w:color w:val="auto"/>
        </w:rPr>
      </w:pPr>
    </w:p>
    <w:p>
      <w:pPr>
        <w:ind w:left="104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29" w:lineRule="exact"/>
        <w:rPr>
          <w:sz w:val="20"/>
          <w:szCs w:val="20"/>
          <w:color w:val="auto"/>
        </w:rPr>
      </w:pPr>
    </w:p>
    <w:p>
      <w:pPr>
        <w:jc w:val="both"/>
        <w:ind w:left="20" w:right="100"/>
        <w:spacing w:after="0" w:line="247" w:lineRule="auto"/>
        <w:rPr>
          <w:sz w:val="20"/>
          <w:szCs w:val="20"/>
          <w:color w:val="auto"/>
        </w:rPr>
      </w:pPr>
      <w:r>
        <w:rPr>
          <w:rFonts w:ascii="Arial" w:cs="Arial" w:eastAsia="Arial" w:hAnsi="Arial"/>
          <w:sz w:val="18"/>
          <w:szCs w:val="18"/>
          <w:color w:val="auto"/>
        </w:rPr>
        <w:t>We consent to the incorporation by reference in this Registration Statement on form F-3 of our auditor’s report dated April 14, 2025, with respect to the combined consolidated financial statements of GroupBy Group of Companies as at December 31, 2024 and 2023 and for each of the years then ended, as filed with the United States Securities and Exchange Commission. We also consent to the reference to our firm under the heading “Experts” in such registration statement.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Chartered Professional Accountants Licensed Public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Accountants Toronto, Canada</w:t>
      </w:r>
    </w:p>
    <w:p>
      <w:pPr>
        <w:ind w:left="20"/>
        <w:spacing w:after="0"/>
        <w:rPr>
          <w:sz w:val="20"/>
          <w:szCs w:val="20"/>
          <w:color w:val="auto"/>
        </w:rPr>
      </w:pPr>
      <w:r>
        <w:rPr>
          <w:rFonts w:ascii="Arial" w:cs="Arial" w:eastAsia="Arial" w:hAnsi="Arial"/>
          <w:sz w:val="18"/>
          <w:szCs w:val="18"/>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216535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78" w:name="page79"/>
    <w:bookmarkEnd w:id="78"/>
    <w:p>
      <w:pPr>
        <w:ind w:left="10260"/>
        <w:spacing w:after="0"/>
        <w:rPr>
          <w:sz w:val="20"/>
          <w:szCs w:val="20"/>
          <w:color w:val="auto"/>
        </w:rPr>
      </w:pPr>
      <w:r>
        <w:rPr>
          <w:rFonts w:ascii="Times New Roman" w:cs="Times New Roman" w:eastAsia="Times New Roman" w:hAnsi="Times New Roman"/>
          <w:sz w:val="19"/>
          <w:szCs w:val="19"/>
          <w:b w:val="1"/>
          <w:bCs w:val="1"/>
          <w:color w:val="auto"/>
        </w:rPr>
        <w:t>Exhibit 107</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Table 1: Newly Registered Securities</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86"/>
        </w:trPr>
        <w:tc>
          <w:tcPr>
            <w:tcW w:w="980" w:type="dxa"/>
            <w:vAlign w:val="bottom"/>
            <w:tcBorders>
              <w:left w:val="single" w:sz="8" w:color="auto"/>
              <w:right w:val="single" w:sz="8" w:color="auto"/>
            </w:tcBorders>
          </w:tcPr>
          <w:p>
            <w:pPr>
              <w:spacing w:after="0"/>
              <w:rPr>
                <w:sz w:val="24"/>
                <w:szCs w:val="24"/>
                <w:color w:val="auto"/>
              </w:rPr>
            </w:pPr>
          </w:p>
        </w:tc>
        <w:tc>
          <w:tcPr>
            <w:tcW w:w="1480" w:type="dxa"/>
            <w:vAlign w:val="bottom"/>
            <w:vMerge w:val="restart"/>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Class</w:t>
            </w:r>
          </w:p>
        </w:tc>
        <w:tc>
          <w:tcPr>
            <w:tcW w:w="11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2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30"/>
        </w:trPr>
        <w:tc>
          <w:tcPr>
            <w:tcW w:w="980" w:type="dxa"/>
            <w:vAlign w:val="bottom"/>
            <w:tcBorders>
              <w:left w:val="single" w:sz="8" w:color="auto"/>
              <w:right w:val="single" w:sz="8" w:color="auto"/>
            </w:tcBorders>
          </w:tcPr>
          <w:p>
            <w:pPr>
              <w:spacing w:after="0"/>
              <w:rPr>
                <w:sz w:val="11"/>
                <w:szCs w:val="11"/>
                <w:color w:val="auto"/>
              </w:rPr>
            </w:pPr>
          </w:p>
        </w:tc>
        <w:tc>
          <w:tcPr>
            <w:tcW w:w="148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Instruction</w:t>
            </w:r>
          </w:p>
        </w:tc>
        <w:tc>
          <w:tcPr>
            <w:tcW w:w="104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22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bottom w:val="single" w:sz="8" w:color="auto"/>
              <w:right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gridSpan w:val="2"/>
            <w:vMerge w:val="continue"/>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gridSpan w:val="2"/>
            <w:vMerge w:val="continue"/>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14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Equity</w:t>
            </w:r>
          </w:p>
        </w:tc>
        <w:tc>
          <w:tcPr>
            <w:tcW w:w="24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Ordinary Shares</w:t>
            </w:r>
          </w:p>
        </w:tc>
        <w:tc>
          <w:tcPr>
            <w:tcW w:w="260" w:type="dxa"/>
            <w:vAlign w:val="bottom"/>
          </w:tcPr>
          <w:p>
            <w:pPr>
              <w:spacing w:after="0"/>
              <w:rPr>
                <w:sz w:val="21"/>
                <w:szCs w:val="21"/>
                <w:color w:val="auto"/>
              </w:rPr>
            </w:pPr>
          </w:p>
        </w:tc>
        <w:tc>
          <w:tcPr>
            <w:tcW w:w="86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457(c)</w:t>
            </w:r>
          </w:p>
        </w:tc>
        <w:tc>
          <w:tcPr>
            <w:tcW w:w="10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37,000,000</w:t>
            </w:r>
          </w:p>
        </w:tc>
        <w:tc>
          <w:tcPr>
            <w:tcW w:w="1120" w:type="dxa"/>
            <w:vAlign w:val="bottom"/>
            <w:tcBorders>
              <w:right w:val="single" w:sz="8" w:color="auto"/>
            </w:tcBorders>
            <w:gridSpan w:val="2"/>
          </w:tcPr>
          <w:p>
            <w:pPr>
              <w:jc w:val="center"/>
              <w:ind w:right="300"/>
              <w:spacing w:after="0" w:line="250" w:lineRule="exact"/>
              <w:rPr>
                <w:sz w:val="20"/>
                <w:szCs w:val="20"/>
                <w:color w:val="auto"/>
              </w:rPr>
            </w:pPr>
            <w:r>
              <w:rPr>
                <w:rFonts w:ascii="Times New Roman" w:cs="Times New Roman" w:eastAsia="Times New Roman" w:hAnsi="Times New Roman"/>
                <w:sz w:val="18"/>
                <w:szCs w:val="18"/>
                <w:color w:val="auto"/>
              </w:rPr>
              <w:t>$5.66</w:t>
            </w:r>
            <w:r>
              <w:rPr>
                <w:rFonts w:ascii="Times New Roman" w:cs="Times New Roman" w:eastAsia="Times New Roman" w:hAnsi="Times New Roman"/>
                <w:sz w:val="24"/>
                <w:szCs w:val="24"/>
                <w:color w:val="auto"/>
                <w:vertAlign w:val="superscript"/>
              </w:rPr>
              <w:t>(1)</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$209,420,000.0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$32,062.21</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Paid</w:t>
            </w:r>
          </w:p>
        </w:tc>
        <w:tc>
          <w:tcPr>
            <w:tcW w:w="14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88"/>
              </w:rPr>
              <w:t>0</w:t>
            </w:r>
          </w:p>
        </w:tc>
        <w:tc>
          <w:tcPr>
            <w:tcW w:w="96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9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Fees</w:t>
            </w:r>
          </w:p>
        </w:tc>
        <w:tc>
          <w:tcPr>
            <w:tcW w:w="1480" w:type="dxa"/>
            <w:vAlign w:val="bottom"/>
            <w:vMerge w:val="restart"/>
          </w:tcPr>
          <w:p>
            <w:pPr>
              <w:jc w:val="center"/>
              <w:ind w:left="9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gridSpan w:val="2"/>
            <w:vMerge w:val="restart"/>
          </w:tcPr>
          <w:p>
            <w:pPr>
              <w:jc w:val="right"/>
              <w:ind w:right="47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vMerge w:val="restart"/>
          </w:tcPr>
          <w:p>
            <w:pPr>
              <w:jc w:val="right"/>
              <w:ind w:right="43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07"/>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148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980" w:type="dxa"/>
            <w:vAlign w:val="bottom"/>
            <w:tcBorders>
              <w:left w:val="single" w:sz="8" w:color="auto"/>
              <w:right w:val="single" w:sz="8" w:color="auto"/>
            </w:tcBorders>
          </w:tcPr>
          <w:p>
            <w:pPr>
              <w:spacing w:after="0"/>
              <w:rPr>
                <w:sz w:val="22"/>
                <w:szCs w:val="22"/>
                <w:color w:val="auto"/>
              </w:rPr>
            </w:pPr>
          </w:p>
        </w:tc>
        <w:tc>
          <w:tcPr>
            <w:tcW w:w="1480" w:type="dxa"/>
            <w:vAlign w:val="bottom"/>
          </w:tcPr>
          <w:p>
            <w:pPr>
              <w:spacing w:after="0"/>
              <w:rPr>
                <w:sz w:val="22"/>
                <w:szCs w:val="22"/>
                <w:color w:val="auto"/>
              </w:rPr>
            </w:pPr>
          </w:p>
        </w:tc>
        <w:tc>
          <w:tcPr>
            <w:tcW w:w="2680" w:type="dxa"/>
            <w:vAlign w:val="bottom"/>
            <w:gridSpan w:val="4"/>
          </w:tcPr>
          <w:p>
            <w:pPr>
              <w:jc w:val="center"/>
              <w:ind w:right="430"/>
              <w:spacing w:after="0"/>
              <w:rPr>
                <w:sz w:val="20"/>
                <w:szCs w:val="20"/>
                <w:color w:val="auto"/>
              </w:rPr>
            </w:pPr>
            <w:r>
              <w:rPr>
                <w:rFonts w:ascii="Times New Roman" w:cs="Times New Roman" w:eastAsia="Times New Roman" w:hAnsi="Times New Roman"/>
                <w:sz w:val="18"/>
                <w:szCs w:val="18"/>
                <w:color w:val="auto"/>
              </w:rPr>
              <w:t>Total Offering Amounts</w:t>
            </w:r>
          </w:p>
        </w:tc>
        <w:tc>
          <w:tcPr>
            <w:tcW w:w="1040" w:type="dxa"/>
            <w:vAlign w:val="bottom"/>
            <w:tcBorders>
              <w:right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$209,420,000.0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$32,062.21</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bottom w:val="single" w:sz="8" w:color="auto"/>
              <w:right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88"/>
              </w:rPr>
              <w:t>0</w:t>
            </w:r>
          </w:p>
        </w:tc>
        <w:tc>
          <w:tcPr>
            <w:tcW w:w="96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center"/>
              <w:ind w:right="41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0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right="67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rPr>
              <w:t>Net Fee Due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$32,062.21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80" w:right="40" w:hanging="372"/>
        <w:spacing w:after="0" w:line="247" w:lineRule="auto"/>
        <w:tabs>
          <w:tab w:leader="none" w:pos="3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Pursuant to Rule 416(a) under the Securities Act of 1933, as amended (the “Securities Act”), Rezolve AI plc (the “Company”) is also registering an indeterminable number of additional securities as may be issued to prevent dilution resulting from stock splits, stock dividends or similar transactions.</w:t>
      </w:r>
    </w:p>
    <w:p>
      <w:pPr>
        <w:ind w:left="380" w:right="20" w:hanging="372"/>
        <w:spacing w:after="0" w:line="249" w:lineRule="auto"/>
        <w:tabs>
          <w:tab w:leader="none" w:pos="42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Estimated solely for the purpose of the calculation of the registration fee pursuant to Rule 457(c) under the Securities Act, based on the average of the high and the low prices as reported on the Nasdaq Stock Market LLC on September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lowerLetter"/>
      <w:start w:val="1"/>
    </w:lvl>
  </w:abstractNum>
  <w:abstractNum w:abstractNumId="19">
    <w:nsid w:val="51EAD36B"/>
    <w:multiLevelType w:val="hybridMultilevel"/>
    <w:lvl w:ilvl="0">
      <w:lvlJc w:val="left"/>
      <w:lvlText w:val="(%1)"/>
      <w:numFmt w:val="lowerLetter"/>
      <w:start w:val="6"/>
    </w:lvl>
  </w:abstractNum>
  <w:abstractNum w:abstractNumId="20">
    <w:nsid w:val="2D517796"/>
    <w:multiLevelType w:val="hybridMultilevel"/>
    <w:lvl w:ilvl="0">
      <w:lvlJc w:val="left"/>
      <w:lvlText w:val="(%1)"/>
      <w:numFmt w:val="lowerLetter"/>
      <w:start w:val="18"/>
    </w:lvl>
  </w:abstractNum>
  <w:abstractNum w:abstractNumId="21">
    <w:nsid w:val="580BD78F"/>
    <w:multiLevelType w:val="hybridMultilevel"/>
    <w:lvl w:ilvl="0">
      <w:lvlJc w:val="left"/>
      <w:lvlText w:val="(%1)"/>
      <w:numFmt w:val="lowerLetter"/>
      <w:start w:val="23"/>
    </w:lvl>
  </w:abstractNum>
  <w:abstractNum w:abstractNumId="22">
    <w:nsid w:val="153EA438"/>
    <w:multiLevelType w:val="hybridMultilevel"/>
    <w:lvl w:ilvl="0">
      <w:lvlJc w:val="left"/>
      <w:lvlText w:val="(%1)"/>
      <w:numFmt w:val="lowerLetter"/>
      <w:start w:val="27"/>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lowerRoman"/>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lvl w:ilvl="1">
      <w:lvlJc w:val="left"/>
      <w:lvlText w:val="(%2)"/>
      <w:numFmt w:val="decimal"/>
      <w:start w:val="1"/>
    </w:lvl>
  </w:abstractNum>
  <w:abstractNum w:abstractNumId="33">
    <w:nsid w:val="542289EC"/>
    <w:multiLevelType w:val="hybridMultilevel"/>
    <w:lvl w:ilvl="0">
      <w:lvlJc w:val="left"/>
      <w:lvlText w:val="(%1)"/>
      <w:numFmt w:val="decimal"/>
      <w:start w:val="2"/>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2"/>
    </w:lvl>
  </w:abstractNum>
  <w:abstractNum w:abstractNumId="40">
    <w:nsid w:val="749ABB43"/>
    <w:multiLevelType w:val="hybridMultilevel"/>
    <w:lvl w:ilvl="0">
      <w:lvlJc w:val="left"/>
      <w:lvlText w:val="(%1)"/>
      <w:numFmt w:val="lowerLetter"/>
      <w:start w:val="1"/>
    </w:lvl>
  </w:abstractNum>
  <w:abstractNum w:abstractNumId="41">
    <w:nsid w:val="3DC240FB"/>
    <w:multiLevelType w:val="hybridMultilevel"/>
    <w:lvl w:ilvl="0">
      <w:lvlJc w:val="left"/>
      <w:lvlText w:val="(%1)"/>
      <w:numFmt w:val="lowerLetter"/>
      <w:start w:val="3"/>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decimal"/>
      <w:start w:val="3"/>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Letter"/>
      <w:start w:val="8"/>
    </w:lvl>
  </w:abstractNum>
  <w:abstractNum w:abstractNumId="47">
    <w:nsid w:val="520EEDD1"/>
    <w:multiLevelType w:val="hybridMultilevel"/>
    <w:lvl w:ilvl="0">
      <w:lvlJc w:val="left"/>
      <w:lvlText w:val="(%1)"/>
      <w:numFmt w:val="lowerLetter"/>
      <w:start w:val="11"/>
    </w:lvl>
    <w:lvl w:ilvl="1">
      <w:lvlJc w:val="left"/>
      <w:lvlText w:val="(%2)"/>
      <w:numFmt w:val="lowerLetter"/>
      <w:start w:val="61"/>
    </w:lvl>
  </w:abstractNum>
  <w:abstractNum w:abstractNumId="48">
    <w:nsid w:val="374A3FE6"/>
    <w:multiLevelType w:val="hybridMultilevel"/>
    <w:lvl w:ilvl="0">
      <w:lvlJc w:val="left"/>
      <w:lvlText w:val="(%1)"/>
      <w:numFmt w:val="lowerLetter"/>
      <w:start w:val="16"/>
    </w:lvl>
    <w:lvl w:ilvl="1">
      <w:lvlJc w:val="left"/>
      <w:lvlText w:val="(%2)"/>
      <w:numFmt w:val="lowerRoman"/>
      <w:start w:val="2"/>
    </w:lvl>
    <w:lvl w:ilvl="2">
      <w:lvlJc w:val="left"/>
      <w:lvlText w:val="(%3)"/>
      <w:numFmt w:val="lowerRoman"/>
      <w:start w:val="1"/>
    </w:lvl>
  </w:abstractNum>
  <w:abstractNum w:abstractNumId="49">
    <w:nsid w:val="4F4EF00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50">
    <w:nsid w:val="23F9C13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6"/>
    </w:lvl>
  </w:abstractNum>
  <w:abstractNum w:abstractNumId="51">
    <w:nsid w:val="649BB77C"/>
    <w:multiLevelType w:val="hybridMultilevel"/>
    <w:lvl w:ilvl="0">
      <w:lvlJc w:val="left"/>
      <w:lvlText w:val="%1"/>
      <w:numFmt w:val="lowerRoman"/>
      <w:start w:val="1"/>
    </w:lvl>
    <w:lvl w:ilvl="1">
      <w:lvlJc w:val="left"/>
      <w:lvlText w:val="(%2)"/>
      <w:numFmt w:val="lowerRoman"/>
      <w:start w:val="7"/>
    </w:lvl>
    <w:lvl w:ilvl="2">
      <w:lvlJc w:val="left"/>
      <w:lvlText w:val="%3"/>
      <w:numFmt w:val="lowerRoman"/>
      <w:start w:val="1"/>
    </w:lvl>
  </w:abstractNum>
  <w:abstractNum w:abstractNumId="52">
    <w:nsid w:val="275AC794"/>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abstractNum>
  <w:abstractNum w:abstractNumId="53">
    <w:nsid w:val="39386575"/>
    <w:multiLevelType w:val="hybridMultilevel"/>
    <w:lvl w:ilvl="0">
      <w:lvlJc w:val="left"/>
      <w:lvlText w:val="%1"/>
      <w:numFmt w:val="decimal"/>
      <w:start w:val="1"/>
    </w:lvl>
    <w:lvl w:ilvl="1">
      <w:lvlJc w:val="left"/>
      <w:lvlText w:val="(%2)"/>
      <w:numFmt w:val="lowerLetter"/>
      <w:start w:val="23"/>
    </w:lvl>
    <w:lvl w:ilvl="2">
      <w:lvlJc w:val="left"/>
      <w:lvlText w:val="%3"/>
      <w:numFmt w:val="lowerLetter"/>
      <w:start w:val="1"/>
    </w:lvl>
  </w:abstractNum>
  <w:abstractNum w:abstractNumId="54">
    <w:nsid w:val="1CF10FD8"/>
    <w:multiLevelType w:val="hybridMultilevel"/>
    <w:lvl w:ilvl="0">
      <w:lvlJc w:val="left"/>
      <w:lvlText w:val="%1"/>
      <w:numFmt w:val="decimal"/>
      <w:start w:val="1"/>
    </w:lvl>
    <w:lvl w:ilvl="1">
      <w:lvlJc w:val="left"/>
      <w:lvlText w:val="(%2)"/>
      <w:numFmt w:val="lowerLetter"/>
      <w:start w:val="27"/>
    </w:lvl>
    <w:lvl w:ilvl="2">
      <w:lvlJc w:val="left"/>
      <w:lvlText w:val="%3"/>
      <w:numFmt w:val="lowerLetter"/>
      <w:start w:val="1"/>
    </w:lvl>
  </w:abstractNum>
  <w:abstractNum w:abstractNumId="55">
    <w:nsid w:val="180115B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6">
    <w:nsid w:val="235BA861"/>
    <w:multiLevelType w:val="hybridMultilevel"/>
    <w:lvl w:ilvl="0">
      <w:lvlJc w:val="left"/>
      <w:lvlText w:val="%1."/>
      <w:numFmt w:val="decimal"/>
      <w:start w:val="5"/>
    </w:lvl>
  </w:abstractNum>
  <w:abstractNum w:abstractNumId="57">
    <w:nsid w:val="47398C89"/>
    <w:multiLevelType w:val="hybridMultilevel"/>
    <w:lvl w:ilvl="0">
      <w:lvlJc w:val="left"/>
      <w:lvlText w:val="%1."/>
      <w:numFmt w:val="decimal"/>
      <w:start w:val="6"/>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jpe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144" Type="http://schemas.openxmlformats.org/officeDocument/2006/relationships/hyperlink" Target="https://www.sec.gov/Archives/edgar/data/1920294/000095017025057622/rzlv-20241231.htm" TargetMode="External"/><Relationship Id="rId145" Type="http://schemas.openxmlformats.org/officeDocument/2006/relationships/hyperlink" Target="https://www.sec.gov/Archives/edgar/data/1920294/000095017025047916/groupby_closing_6-k.htm" TargetMode="External"/><Relationship Id="rId146" Type="http://schemas.openxmlformats.org/officeDocument/2006/relationships/hyperlink" Target="https://www.sec.gov/Archives/edgar/data/1920294/000095017025098147/pricing_6-k.htm" TargetMode="External"/><Relationship Id="rId147" Type="http://schemas.openxmlformats.org/officeDocument/2006/relationships/hyperlink" Target="https://www.sec.gov/Archives/edgar/data/1920294/000095017025098781/litigation_6-k.htm" TargetMode="External"/><Relationship Id="rId148" Type="http://schemas.openxmlformats.org/officeDocument/2006/relationships/hyperlink" Target="https://www.sec.gov/Archives/edgar/data/1920294/000095017025098790/pipe_closing_6-k.htm" TargetMode="External"/><Relationship Id="rId149" Type="http://schemas.openxmlformats.org/officeDocument/2006/relationships/hyperlink" Target="https://www.sec.gov/Archives/edgar/data/1920294/000119312525213667/warrants_6-k.htm" TargetMode="External"/><Relationship Id="rId150" Type="http://schemas.openxmlformats.org/officeDocument/2006/relationships/hyperlink" Target="https://www.sec.gov/Archives/edgar/data/1920294/000119312525214041/second_pricing_6-k.htm" TargetMode="External"/><Relationship Id="rId151" Type="http://schemas.openxmlformats.org/officeDocument/2006/relationships/hyperlink" Target="https://www.sec.gov/Archives/edgar/data/1920294/000119312525220703/second_closing_6-k.htm" TargetMode="External"/><Relationship Id="rId152" Type="http://schemas.openxmlformats.org/officeDocument/2006/relationships/hyperlink" Target="https://www.sec.gov/Archives/edgar/data/1920294/000119312524201396/d873446d8a12b.htm" TargetMode="External"/><Relationship Id="rId155" Type="http://schemas.openxmlformats.org/officeDocument/2006/relationships/hyperlink" Target="https://www.sec.gov/Archives/edgar/data/1920294/000119312523240685/d309194df4a.htm#anxacov" TargetMode="External"/><Relationship Id="rId156" Type="http://schemas.openxmlformats.org/officeDocument/2006/relationships/hyperlink" Target="https://www.sec.gov/Archives/edgar/data/1920294/000119312523240685/d309194df4a.htm#anxaa" TargetMode="External"/><Relationship Id="rId157" Type="http://schemas.openxmlformats.org/officeDocument/2006/relationships/hyperlink" Target="https://www.sec.gov/Archives/edgar/data/1920294/000095017025047916/rzlv-ex3_1.htm" TargetMode="External"/><Relationship Id="rId158" Type="http://schemas.openxmlformats.org/officeDocument/2006/relationships/hyperlink" Target="https://www.sec.gov/Archives/edgar/data/1920294/000119312524204510/d885107dex21.htm" TargetMode="External"/><Relationship Id="rId159" Type="http://schemas.openxmlformats.org/officeDocument/2006/relationships/hyperlink" Target="https://www.sec.gov/Archives/edgar/data/1920294/000119312524204510/d885107dex22.htm" TargetMode="External"/><Relationship Id="rId160" Type="http://schemas.openxmlformats.org/officeDocument/2006/relationships/hyperlink" Target="https://www.sec.gov/Archives/edgar/data/1920294/000119312524204510/d885107dex43.htm" TargetMode="External"/><Relationship Id="rId161" Type="http://schemas.openxmlformats.org/officeDocument/2006/relationships/hyperlink" Target="https://www.sec.gov/Archives/edgar/data/1920294/000119312524204510/d885107dex44.htm" TargetMode="External"/><Relationship Id="rId162" Type="http://schemas.openxmlformats.org/officeDocument/2006/relationships/hyperlink" Target="https://www.sec.gov/Archives/edgar/data/1920294/000119312524204510/d885107dex46.htm" TargetMode="External"/><Relationship Id="rId163" Type="http://schemas.openxmlformats.org/officeDocument/2006/relationships/hyperlink" Target="https://www.sec.gov/Archives/edgar/data/1920294/000119312524204510/d885107dex47.htm" TargetMode="External"/><Relationship Id="rId164" Type="http://schemas.openxmlformats.org/officeDocument/2006/relationships/hyperlink" Target="https://www.sec.gov/Archives/edgar/data/1920294/000119312524159410/d309194dex1017.htm" TargetMode="External"/><Relationship Id="rId165" Type="http://schemas.openxmlformats.org/officeDocument/2006/relationships/hyperlink" Target="https://www.sec.gov/Archives/edgar/data/1920294/000119312524143103/d309194dex1018.htm" TargetMode="External"/><Relationship Id="rId166" Type="http://schemas.openxmlformats.org/officeDocument/2006/relationships/hyperlink" Target="https://www.sec.gov/Archives/edgar/data/1920294/000119312524143103/d309194dex1019.htm" TargetMode="External"/><Relationship Id="rId167" Type="http://schemas.openxmlformats.org/officeDocument/2006/relationships/hyperlink" Target="https://www.sec.gov/Archives/edgar/data/1920294/000119312524143103/d309194dex1020.htm" TargetMode="External"/><Relationship Id="rId168" Type="http://schemas.openxmlformats.org/officeDocument/2006/relationships/hyperlink" Target="https://www.sec.gov/Archives/edgar/data/1920294/000119312524143103/d309194dex1021.htm" TargetMode="External"/><Relationship Id="rId169" Type="http://schemas.openxmlformats.org/officeDocument/2006/relationships/hyperlink" Target="https://www.sec.gov/Archives/edgar/data/1920294/000119312524143103/d309194dex1022.htm" TargetMode="External"/><Relationship Id="rId170" Type="http://schemas.openxmlformats.org/officeDocument/2006/relationships/hyperlink" Target="https://www.sec.gov/Archives/edgar/data/1920294/000119312524143103/d309194dex1023.htm" TargetMode="External"/><Relationship Id="rId171" Type="http://schemas.openxmlformats.org/officeDocument/2006/relationships/hyperlink" Target="https://www.sec.gov/Archives/edgar/data/1920294/000119312524143103/d309194dex1024.htm" TargetMode="External"/><Relationship Id="rId174" Type="http://schemas.openxmlformats.org/officeDocument/2006/relationships/hyperlink" Target="https://www.sec.gov/Archives/edgar/data/1844817/000119312524028592/d701134dex21.htm" TargetMode="External"/><Relationship Id="rId175" Type="http://schemas.openxmlformats.org/officeDocument/2006/relationships/hyperlink" Target="https://www.sec.gov/Archives/edgar/data/1920294/000095017024104513/rzlv-ex10_13.htm" TargetMode="External"/><Relationship Id="rId176" Type="http://schemas.openxmlformats.org/officeDocument/2006/relationships/hyperlink" Target="https://www.sec.gov/Archives/edgar/data/1920294/000095017024106474/rzlv-ex99_2.htm" TargetMode="External"/><Relationship Id="rId177" Type="http://schemas.openxmlformats.org/officeDocument/2006/relationships/hyperlink" Target="https://www.sec.gov/Archives/edgar/data/1920294/000095017024133740/rzlv-ex99_1.htm" TargetMode="External"/><Relationship Id="rId178" Type="http://schemas.openxmlformats.org/officeDocument/2006/relationships/hyperlink" Target="https://www.sec.gov/Archives/edgar/data/1920294/000095017024137626/rzlv-ex10_2.htm" TargetMode="External"/><Relationship Id="rId179" Type="http://schemas.openxmlformats.org/officeDocument/2006/relationships/hyperlink" Target="https://www.sec.gov/Archives/edgar/data/1920294/000095017024137626/rzlv-ex10_3.htm" TargetMode="External"/><Relationship Id="rId180" Type="http://schemas.openxmlformats.org/officeDocument/2006/relationships/hyperlink" Target="https://www.sec.gov/Archives/edgar/data/1920294/000095017024139714/rzlv-ex10_1.htm" TargetMode="External"/><Relationship Id="rId181" Type="http://schemas.openxmlformats.org/officeDocument/2006/relationships/hyperlink" Target="https://www.sec.gov/Archives/edgar/data/1920294/000095017025010226/rzlv-ex10_1.htm" TargetMode="External"/><Relationship Id="rId182" Type="http://schemas.openxmlformats.org/officeDocument/2006/relationships/hyperlink" Target="https://www.sec.gov/Archives/edgar/data/1920294/000095017025016341/rzlv-ex10_1.htm" TargetMode="External"/><Relationship Id="rId183" Type="http://schemas.openxmlformats.org/officeDocument/2006/relationships/hyperlink" Target="https://www.sec.gov/Archives/edgar/data/1920294/000095017025024898/rzlv-ex10_1.htm" TargetMode="External"/><Relationship Id="rId184" Type="http://schemas.openxmlformats.org/officeDocument/2006/relationships/hyperlink" Target="https://www.sec.gov/Archives/edgar/data/1920294/000095017025026125/rzlv-ex10_1.htm" TargetMode="External"/><Relationship Id="rId185" Type="http://schemas.openxmlformats.org/officeDocument/2006/relationships/hyperlink" Target="https://www.sec.gov/Archives/edgar/data/1920294/000095017025026125/rzlv-ex10_2.htm" TargetMode="External"/><Relationship Id="rId186" Type="http://schemas.openxmlformats.org/officeDocument/2006/relationships/hyperlink" Target="https://www.sec.gov/Archives/edgar/data/1920294/000095017025034867/rzlv-ex10_1.htm" TargetMode="External"/><Relationship Id="rId187" Type="http://schemas.openxmlformats.org/officeDocument/2006/relationships/hyperlink" Target="https://www.sec.gov/Archives/edgar/data/1920294/000095017025098790/rzlv-ex10_1.htm" TargetMode="External"/><Relationship Id="rId188" Type="http://schemas.openxmlformats.org/officeDocument/2006/relationships/hyperlink" Target="https://www.sec.gov/Archives/edgar/data/1920294/000095017025098790/rzlv-ex10_2.htm" TargetMode="External"/><Relationship Id="rId189" Type="http://schemas.openxmlformats.org/officeDocument/2006/relationships/hyperlink" Target="https://www.sec.gov/Archives/edgar/data/1920294/000095017025098790/rzlv-ex10_3.htm" TargetMode="External"/><Relationship Id="rId190" Type="http://schemas.openxmlformats.org/officeDocument/2006/relationships/hyperlink" Target="https://www.sec.gov/Archives/edgar/data/1920294/000119312525220703/rzlv-ex10_1.htm" TargetMode="External"/><Relationship Id="rId191" Type="http://schemas.openxmlformats.org/officeDocument/2006/relationships/hyperlink" Target="https://www.sec.gov/Archives/edgar/data/1920294/000119312525220703/rzlv-ex10_2.htm" TargetMode="External"/><Relationship Id="rId192" Type="http://schemas.openxmlformats.org/officeDocument/2006/relationships/hyperlink" Target="https://www.sec.gov/Archives/edgar/data/1920294/000119312525220703/rzlv-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2025-09-30T16:56:15Z</dcterms:created>
  <dcterms:modified xsi:type="dcterms:W3CDTF">2025-09-30T16:56:15Z</dcterms:modified>
</cp:coreProperties>
</file>