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0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5080" w:type="dxa"/>
            <w:vAlign w:val="bottom"/>
            <w:gridSpan w:val="3"/>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POST-EFFECTIVE AMENDMENT NO. 1</w:t>
            </w:r>
          </w:p>
        </w:tc>
        <w:tc>
          <w:tcPr>
            <w:tcW w:w="12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261"/>
        </w:trPr>
        <w:tc>
          <w:tcPr>
            <w:tcW w:w="3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16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9"/>
              </w:rPr>
              <w:t>TO</w:t>
            </w:r>
          </w:p>
        </w:tc>
        <w:tc>
          <w:tcPr>
            <w:tcW w:w="120" w:type="dxa"/>
            <w:vAlign w:val="bottom"/>
          </w:tcPr>
          <w:p>
            <w:pPr>
              <w:spacing w:after="0"/>
              <w:rPr>
                <w:sz w:val="22"/>
                <w:szCs w:val="22"/>
                <w:color w:val="auto"/>
              </w:rPr>
            </w:pPr>
          </w:p>
        </w:tc>
        <w:tc>
          <w:tcPr>
            <w:tcW w:w="2560" w:type="dxa"/>
            <w:vAlign w:val="bottom"/>
          </w:tcPr>
          <w:p>
            <w:pPr>
              <w:spacing w:after="0"/>
              <w:rPr>
                <w:sz w:val="22"/>
                <w:szCs w:val="22"/>
                <w:color w:val="auto"/>
              </w:rPr>
            </w:pPr>
          </w:p>
        </w:tc>
      </w:tr>
      <w:tr>
        <w:trPr>
          <w:trHeight w:val="216"/>
        </w:trPr>
        <w:tc>
          <w:tcPr>
            <w:tcW w:w="3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FORM F-1</w:t>
            </w: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80" w:type="dxa"/>
            <w:vAlign w:val="bottom"/>
            <w:gridSpan w:val="2"/>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rPr>
              <w:t>REGISTRATION STATEMENT</w:t>
            </w: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38"/>
        </w:trPr>
        <w:tc>
          <w:tcPr>
            <w:tcW w:w="3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80" w:type="dxa"/>
            <w:vAlign w:val="bottom"/>
            <w:gridSpan w:val="2"/>
          </w:tcPr>
          <w:p>
            <w:pPr>
              <w:jc w:val="center"/>
              <w:ind w:right="1510"/>
              <w:spacing w:after="0"/>
              <w:rPr>
                <w:sz w:val="20"/>
                <w:szCs w:val="20"/>
                <w:color w:val="auto"/>
              </w:rPr>
            </w:pPr>
            <w:r>
              <w:rPr>
                <w:rFonts w:ascii="Times New Roman" w:cs="Times New Roman" w:eastAsia="Times New Roman" w:hAnsi="Times New Roman"/>
                <w:sz w:val="18"/>
                <w:szCs w:val="18"/>
                <w:b w:val="1"/>
                <w:bCs w:val="1"/>
                <w:i w:val="1"/>
                <w:iCs w:val="1"/>
                <w:color w:val="auto"/>
                <w:w w:val="99"/>
              </w:rPr>
              <w:t>THE SECURITIES ACT OF 1933</w:t>
            </w:r>
          </w:p>
        </w:tc>
        <w:tc>
          <w:tcPr>
            <w:tcW w:w="12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284"/>
        </w:trPr>
        <w:tc>
          <w:tcPr>
            <w:tcW w:w="3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9"/>
              </w:rPr>
              <w:t>Rezolve AI plc</w:t>
            </w: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75"/>
        </w:trPr>
        <w:tc>
          <w:tcPr>
            <w:tcW w:w="3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1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(formerly Rezolve AI Limited)</w:t>
            </w:r>
          </w:p>
        </w:tc>
        <w:tc>
          <w:tcPr>
            <w:tcW w:w="120" w:type="dxa"/>
            <w:vAlign w:val="bottom"/>
          </w:tcPr>
          <w:p>
            <w:pPr>
              <w:spacing w:after="0"/>
              <w:rPr>
                <w:sz w:val="23"/>
                <w:szCs w:val="23"/>
                <w:color w:val="auto"/>
              </w:rPr>
            </w:pPr>
          </w:p>
        </w:tc>
        <w:tc>
          <w:tcPr>
            <w:tcW w:w="2560" w:type="dxa"/>
            <w:vAlign w:val="bottom"/>
          </w:tcPr>
          <w:p>
            <w:pPr>
              <w:spacing w:after="0"/>
              <w:rPr>
                <w:sz w:val="23"/>
                <w:szCs w:val="23"/>
                <w:color w:val="auto"/>
              </w:rPr>
            </w:pPr>
          </w:p>
        </w:tc>
      </w:tr>
      <w:tr>
        <w:trPr>
          <w:trHeight w:val="238"/>
        </w:trPr>
        <w:tc>
          <w:tcPr>
            <w:tcW w:w="3480" w:type="dxa"/>
            <w:vAlign w:val="bottom"/>
          </w:tcPr>
          <w:p>
            <w:pPr>
              <w:spacing w:after="0"/>
              <w:rPr>
                <w:sz w:val="20"/>
                <w:szCs w:val="20"/>
                <w:color w:val="auto"/>
              </w:rPr>
            </w:pPr>
          </w:p>
        </w:tc>
        <w:tc>
          <w:tcPr>
            <w:tcW w:w="5080" w:type="dxa"/>
            <w:vAlign w:val="bottom"/>
            <w:gridSpan w:val="3"/>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2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297"/>
        </w:trPr>
        <w:tc>
          <w:tcPr>
            <w:tcW w:w="348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508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7370</w:t>
            </w:r>
          </w:p>
        </w:tc>
        <w:tc>
          <w:tcPr>
            <w:tcW w:w="12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87"/>
        </w:trPr>
        <w:tc>
          <w:tcPr>
            <w:tcW w:w="3480" w:type="dxa"/>
            <w:vAlign w:val="bottom"/>
            <w:tcBorders>
              <w:top w:val="single" w:sz="8" w:color="auto"/>
            </w:tcBorders>
          </w:tcPr>
          <w:p>
            <w:pPr>
              <w:jc w:val="center"/>
              <w:ind w:left="7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1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(Primary Standard Industrial</w:t>
            </w:r>
          </w:p>
        </w:tc>
        <w:tc>
          <w:tcPr>
            <w:tcW w:w="120" w:type="dxa"/>
            <w:vAlign w:val="bottom"/>
          </w:tcPr>
          <w:p>
            <w:pPr>
              <w:spacing w:after="0"/>
              <w:rPr>
                <w:sz w:val="16"/>
                <w:szCs w:val="16"/>
                <w:color w:val="auto"/>
              </w:rPr>
            </w:pPr>
          </w:p>
        </w:tc>
        <w:tc>
          <w:tcPr>
            <w:tcW w:w="25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48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Classification Code Number)</w:t>
            </w:r>
          </w:p>
        </w:tc>
        <w:tc>
          <w:tcPr>
            <w:tcW w:w="12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bl>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(+44 204 625 9700)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+1 (212) 947-7200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Gerry Williams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Penny Minna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DLA Piper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1201 W Peachtree St NE #2800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Atlanta, GA 30309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(404) 736-7800</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this Registration Statement becomes effective.</w:t>
      </w:r>
    </w:p>
    <w:p>
      <w:pPr>
        <w:spacing w:after="0" w:line="81"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35"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2" w:lineRule="exact"/>
        <w:rPr>
          <w:sz w:val="24"/>
          <w:szCs w:val="24"/>
          <w:color w:val="auto"/>
        </w:rPr>
      </w:pPr>
    </w:p>
    <w:p>
      <w:pPr>
        <w:ind w:right="5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2"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35" w:lineRule="exact"/>
        <w:rPr>
          <w:sz w:val="24"/>
          <w:szCs w:val="24"/>
          <w:color w:val="auto"/>
        </w:rPr>
      </w:pPr>
    </w:p>
    <w:p>
      <w:pPr>
        <w:ind w:right="5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Emerging growth company</w:t>
      </w:r>
      <w:r>
        <w:rPr>
          <w:rFonts w:ascii="MS PGothic" w:cs="MS PGothic" w:eastAsia="MS PGothic" w:hAnsi="MS PGothic"/>
          <w:sz w:val="18"/>
          <w:szCs w:val="18"/>
          <w:color w:val="auto"/>
        </w:rPr>
        <w:t>☒</w:t>
      </w:r>
    </w:p>
    <w:p>
      <w:pPr>
        <w:spacing w:after="0" w:line="9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 w:name="page2"/>
    <w:bookmarkEnd w:id="1"/>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center"/>
        <w:ind w:right="20"/>
        <w:spacing w:after="0" w:line="266" w:lineRule="auto"/>
        <w:rPr>
          <w:sz w:val="20"/>
          <w:szCs w:val="20"/>
          <w:color w:val="auto"/>
        </w:rPr>
      </w:pPr>
      <w:r>
        <w:rPr>
          <w:rFonts w:ascii="Times New Roman" w:cs="Times New Roman" w:eastAsia="Times New Roman" w:hAnsi="Times New Roman"/>
          <w:sz w:val="18"/>
          <w:szCs w:val="18"/>
          <w:color w:val="auto"/>
        </w:rPr>
        <w:t>On September 9, 2024, the registrant filed a Registration Statement on Form F-1 (Registration No. 333-282004), which was amended on October 29, 2024, and declared effective by the United States Securities and Exchange Commission on November 27, 2024 (as amended and supplemented, the “Registration Statement”).</w:t>
      </w:r>
    </w:p>
    <w:p>
      <w:pPr>
        <w:spacing w:after="0" w:line="176" w:lineRule="exact"/>
        <w:rPr>
          <w:sz w:val="20"/>
          <w:szCs w:val="20"/>
          <w:color w:val="auto"/>
        </w:rPr>
      </w:pPr>
    </w:p>
    <w:p>
      <w:pPr>
        <w:jc w:val="center"/>
        <w:ind w:right="20"/>
        <w:spacing w:after="0" w:line="266" w:lineRule="auto"/>
        <w:rPr>
          <w:sz w:val="20"/>
          <w:szCs w:val="20"/>
          <w:color w:val="auto"/>
        </w:rPr>
      </w:pPr>
      <w:r>
        <w:rPr>
          <w:rFonts w:ascii="Times New Roman" w:cs="Times New Roman" w:eastAsia="Times New Roman" w:hAnsi="Times New Roman"/>
          <w:sz w:val="18"/>
          <w:szCs w:val="18"/>
          <w:color w:val="auto"/>
        </w:rPr>
        <w:t>This Post-Effective Amendment No. 1 to Form F-1 (the “Post-Effective Amendment”) is being filed to update the Registration Statement to include information contained in the registrant’s Annual Report on Form 20-F for the year ended December 31, 2024 and certain other information in the Registration Statement.</w:t>
      </w:r>
    </w:p>
    <w:p>
      <w:pPr>
        <w:spacing w:after="0" w:line="176"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No additional securities are being registered under this Post-Effective Amendment. All applicable registration fees were paid at the time of the original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FC0000"/>
        </w:rPr>
        <w:t>The information in this prospectus is not complete and may be changed. No securities may be sold pursuant to this prospectus until the registration statement filed with the Securities and Exchange Commission is effective. This prospectus is not an offer to sell and is not soliciting an offer to buy the securities in any jurisdiction where the offer or sale is not permitted.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C0000"/>
        </w:rPr>
        <w:t>SUBJECT TO COMPLETION, DATED May 2, 2025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C0000"/>
        </w:rPr>
        <w:t>PRELIMINARY PROSPECTUS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Up to 7,499,994 Ordinary Shares </w:t>
      </w:r>
      <w:r>
        <w:rPr>
          <w:rFonts w:ascii="Times New Roman" w:cs="Times New Roman" w:eastAsia="Times New Roman" w:hAnsi="Times New Roman"/>
          <w:sz w:val="18"/>
          <w:szCs w:val="18"/>
          <w:b w:val="1"/>
          <w:bCs w:val="1"/>
          <w:i w:val="1"/>
          <w:iCs w:val="1"/>
          <w:color w:val="auto"/>
        </w:rPr>
        <w:t>(for issuance)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Up to 156,515,540 Ordinary Shares </w:t>
      </w:r>
      <w:r>
        <w:rPr>
          <w:rFonts w:ascii="Times New Roman" w:cs="Times New Roman" w:eastAsia="Times New Roman" w:hAnsi="Times New Roman"/>
          <w:sz w:val="18"/>
          <w:szCs w:val="18"/>
          <w:b w:val="1"/>
          <w:bCs w:val="1"/>
          <w:i w:val="1"/>
          <w:iCs w:val="1"/>
          <w:color w:val="auto"/>
        </w:rPr>
        <w:t>(for resale)</w:t>
      </w:r>
    </w:p>
    <w:p>
      <w:pPr>
        <w:spacing w:after="0" w:line="2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color w:val="auto"/>
        </w:rPr>
        <w:t xml:space="preserve">This prospectus relates to the issuance by us of up to 7,499,994 ordinary shares, par value </w:t>
      </w:r>
      <w:r>
        <w:rPr>
          <w:rFonts w:ascii="Times New Roman" w:cs="Times New Roman" w:eastAsia="Times New Roman" w:hAnsi="Times New Roman"/>
          <w:sz w:val="17"/>
          <w:szCs w:val="17"/>
          <w:color w:val="auto"/>
        </w:rPr>
        <w:t>£</w:t>
      </w:r>
      <w:r>
        <w:rPr>
          <w:rFonts w:ascii="Times New Roman" w:cs="Times New Roman" w:eastAsia="Times New Roman" w:hAnsi="Times New Roman"/>
          <w:sz w:val="18"/>
          <w:szCs w:val="18"/>
          <w:color w:val="auto"/>
        </w:rPr>
        <w:t>0.0001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issuable upon the exercise of public warrants to purchase Ordinary Shares at a price of $11.50 per share (“</w:t>
      </w:r>
      <w:r>
        <w:rPr>
          <w:rFonts w:ascii="Times New Roman" w:cs="Times New Roman" w:eastAsia="Times New Roman" w:hAnsi="Times New Roman"/>
          <w:sz w:val="18"/>
          <w:szCs w:val="18"/>
          <w:b w:val="1"/>
          <w:bCs w:val="1"/>
          <w:i w:val="1"/>
          <w:iCs w:val="1"/>
          <w:color w:val="auto"/>
        </w:rPr>
        <w:t>Public Warrants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We are also registering for resale by certain selling securityholders named herein (the “</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an aggregate of up to 156,515,540 Ordinary Shares, consisting of (i) up to 121,156,424 Ordinary Shares; (ii) up to 544,982 Ordinary Shares issuable upon the exercise of private warrants to purchase Ordinary Shares at a price of $8.00 per share (“</w:t>
      </w:r>
      <w:r>
        <w:rPr>
          <w:rFonts w:ascii="Times New Roman" w:cs="Times New Roman" w:eastAsia="Times New Roman" w:hAnsi="Times New Roman"/>
          <w:sz w:val="18"/>
          <w:szCs w:val="18"/>
          <w:b w:val="1"/>
          <w:bCs w:val="1"/>
          <w:i w:val="1"/>
          <w:iCs w:val="1"/>
          <w:color w:val="auto"/>
        </w:rPr>
        <w:t>Private Warrants</w:t>
      </w:r>
      <w:r>
        <w:rPr>
          <w:rFonts w:ascii="Times New Roman" w:cs="Times New Roman" w:eastAsia="Times New Roman" w:hAnsi="Times New Roman"/>
          <w:sz w:val="18"/>
          <w:szCs w:val="18"/>
          <w:color w:val="auto"/>
        </w:rPr>
        <w:t>” and together with the Public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(iii) 19,079,139 Ordinary Shares issuable upon the conversion of the Convertible Notes (as defined herein); (iv) 15,207,479 Ordinary Shares issuable pursuant to the advanced subscription agreements; (v) 527,516 Ordinary Shares issuable upon the conversion of the Promissory Notes (as defined herein).</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of the Selling Holders may have acquired the securities registered hereunder at prices substantially below current market prices and may therefore have incentive to sell their securities in this offering. Public securityholders who purchased their Rezolve securities at higher prices than the Selling Holders may experience lower rates of return (if any) than the Selling Holders, due to differences in purchase prices and the potential trading price at which they may be able to sell (see “</w:t>
      </w:r>
      <w:r>
        <w:rPr>
          <w:rFonts w:ascii="Times New Roman" w:cs="Times New Roman" w:eastAsia="Times New Roman" w:hAnsi="Times New Roman"/>
          <w:sz w:val="18"/>
          <w:szCs w:val="18"/>
          <w:i w:val="1"/>
          <w:iCs w:val="1"/>
          <w:color w:val="auto"/>
        </w:rPr>
        <w:t>Risk Factors —  Risks Related to Ownership of Ordinary Shares and Rezolve Operating as a Public Company —  The 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price of Ordinary Shares could be volatile, and the value of Ordinary Shares may decline.</w:t>
      </w:r>
      <w:r>
        <w:rPr>
          <w:rFonts w:ascii="Times New Roman" w:cs="Times New Roman" w:eastAsia="Times New Roman" w:hAnsi="Times New Roman"/>
          <w:sz w:val="18"/>
          <w:szCs w:val="18"/>
          <w:color w:val="auto"/>
        </w:rPr>
        <w:t>”). The Ordinary Shares being offered for resale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by the Selling Holders represent approximately 64.23% of the outstanding Ordinary Shares as of the date of this prospectus, assuming the exercise of all Warrants. Given the substantial number of Ordinary Shares being registered for potential resale by Selling Holders pursuant to this prospectus, the sale of shares by the Selling Holders, or the perception in the market that the Selling Securityholders of a large number of shares intend to sell shares, could increase the volatility of the market price of the Ordinary Shares or result in a significant decline in the public trading price of the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 w:name="page3"/>
    <w:bookmarkEnd w:id="2"/>
    <w:p>
      <w:pPr>
        <w:ind w:right="8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the Selling Holders may offer or sell the securities. More specific terms of any securities that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We will not receive any proceeds from the sale of the Ordinary Shares by the Selling Holders pursuant to this prospectus. We also will not receive any proceeds from the issuance of the Ordinary Shares by us pursuant to this prospectus, except with respect to amounts received by us upon exercise of the Warrants to the extent such Warrants are exercised for cash. However, as of the date of this prospectus, the Public Warrants are “out-of-the money,” which means that the trading price of Ordinary Shares underlying the Public Warrants is below the $11.50 exercise price of the Public Warrants. For so long as the Public Warrants remain “out-of-the money,” we do not expect warrant holders to exercise their Public Warrants and, therefore, we do not expect to receive cash proceeds from any such exercise. See the risk factor entitled </w:t>
      </w:r>
      <w:r>
        <w:rPr>
          <w:rFonts w:ascii="Times New Roman" w:cs="Times New Roman" w:eastAsia="Times New Roman" w:hAnsi="Times New Roman"/>
          <w:sz w:val="18"/>
          <w:szCs w:val="18"/>
          <w:i w:val="1"/>
          <w:iCs w:val="1"/>
          <w:color w:val="auto"/>
        </w:rPr>
        <w:t>“There can be no assurance that the Public Warrants will ever be in the money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time they become exercisable or otherwise, and they may expire worthless” </w:t>
      </w:r>
      <w:r>
        <w:rPr>
          <w:rFonts w:ascii="Times New Roman" w:cs="Times New Roman" w:eastAsia="Times New Roman" w:hAnsi="Times New Roman"/>
          <w:sz w:val="18"/>
          <w:szCs w:val="18"/>
          <w:color w:val="auto"/>
        </w:rPr>
        <w:t>for more information. We will pay the expenses, other than underwriting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discounts and commissions, associated with the sale of securities pursuant to this prospectus. Our registration of the securities covered by this prospectus does not mean that either the Selling Holders will issue, offer or sell, as applicable, any of the securities. The Selling Holders may offer and sell the securities covered by this prospectus in a number of different ways and at varying prices. We provide more information in the section entitled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w:t>
      </w:r>
    </w:p>
    <w:p>
      <w:pPr>
        <w:spacing w:after="0" w:line="221"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The Ordinary Shares and the Public Warrants are traded on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under the symbols “RZLV” and “RZLVW,” respectively. On May 1, 2025, the closing price of the Ordinary Shares was $2.19 per share and the closing price of the Public Warrants was $0.5501 per warrant.</w:t>
      </w:r>
    </w:p>
    <w:p>
      <w:pPr>
        <w:spacing w:after="0" w:line="16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Given the substantial amount of redemptions in connection with the Business Combination, and the relative lack of liquidity in our stock, sales of the Ordinary Shares under the registration statement of which this prospectus is a part could result in a significant decline in the market price of our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12 and in any applicable prospectus supplement.</w:t>
      </w:r>
    </w:p>
    <w:p>
      <w:pPr>
        <w:spacing w:after="0" w:line="22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155" w:lineRule="exact"/>
        <w:rPr>
          <w:sz w:val="20"/>
          <w:szCs w:val="20"/>
          <w:color w:val="auto"/>
        </w:rPr>
      </w:pPr>
    </w:p>
    <w:tbl>
      <w:tblPr>
        <w:tblLayout w:type="fixed"/>
        <w:tblInd w:w="412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207"/>
        </w:trPr>
        <w:tc>
          <w:tcPr>
            <w:tcW w:w="9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ABOUT THIS PROSPECTUS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TRADEMARKS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SELECTED DEFINITIONS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vii</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PROSPECTUS SUMMARY</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THE OFFERING</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USE OF PROCEEDS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660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UNAUDITED PRO FORMA CONDENSED COMBINED FINANCIAL INFORMATION</w:t>
            </w:r>
          </w:p>
        </w:tc>
        <w:tc>
          <w:tcPr>
            <w:tcW w:w="3360" w:type="dxa"/>
            <w:vAlign w:val="bottom"/>
            <w:gridSpan w:val="2"/>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MANAGEMENT AND COMPENSATION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BENEFICIAL OWNERSHIP OF SECURITIES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SELLING HOLDERS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MATERIAL INCOME TAX CONSIDERATIONS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PLAN OF DISTRIBUTION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EXPENSES RELATED TO THIS OFFERING</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20" w:type="dxa"/>
            <w:vAlign w:val="bottom"/>
            <w:tcBorders>
              <w:right w:val="single" w:sz="8" w:color="0000FF"/>
            </w:tcBorders>
            <w:gridSpan w:val="6"/>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LEGAL MATTERS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EXPERTS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r>
      <w:tr>
        <w:trPr>
          <w:trHeight w:val="20"/>
        </w:trPr>
        <w:tc>
          <w:tcPr>
            <w:tcW w:w="8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500" w:type="dxa"/>
            <w:vAlign w:val="bottom"/>
            <w:gridSpan w:val="8"/>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ENFORCEABILITY OF CIVIL LIABILITY</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r>
      <w:tr>
        <w:trPr>
          <w:trHeight w:val="20"/>
        </w:trPr>
        <w:tc>
          <w:tcPr>
            <w:tcW w:w="3300" w:type="dxa"/>
            <w:vAlign w:val="bottom"/>
            <w:tcBorders>
              <w:left w:val="single" w:sz="8" w:color="0000EE"/>
              <w:right w:val="single" w:sz="8" w:color="0000EE"/>
            </w:tcBorders>
            <w:gridSpan w:val="9"/>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WHERE YOU CAN FIND MORE INFORMATION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89" w:lineRule="exact"/>
        <w:rPr>
          <w:sz w:val="20"/>
          <w:szCs w:val="20"/>
          <w:color w:val="auto"/>
        </w:rPr>
      </w:pPr>
    </w:p>
    <w:p>
      <w:pPr>
        <w:ind w:right="20" w:firstLine="576"/>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F-l that we filed with the SEC using a “shelf’ registration process. Under this shelf registration process, we and the Selling Holders may, from time to time, issue, offer and sell, as applicable, any combination of the securities described in this prospectus in one or more offerings. We may use the shelf registration statement to issue up to an aggregate of 7,499,994 Ordinary Shares upon exercise of the Public Warrants. The Selling Holders may use the shelf registration statement to sell up to an aggregate of 185,068,790 Ordinary Shares from time to time through any means described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More specific terms of any securities that the Selling Holders offer and sell may be provided in a prospectus supplement that describes, among other things, the specific amounts and prices of the Ordinary Shares and/or warrants being offered and the terms of the offering the Selling Holders may, from time to time, issue, offer and sell, as applicable, any combination of the securities described in this prospectus in one or more offerings.</w:t>
      </w:r>
    </w:p>
    <w:p>
      <w:pPr>
        <w:spacing w:after="0" w:line="192" w:lineRule="exact"/>
        <w:rPr>
          <w:sz w:val="20"/>
          <w:szCs w:val="20"/>
          <w:color w:val="auto"/>
        </w:rPr>
      </w:pPr>
    </w:p>
    <w:p>
      <w:pPr>
        <w:ind w:right="80" w:firstLine="576"/>
        <w:spacing w:after="0" w:line="258" w:lineRule="auto"/>
        <w:rPr>
          <w:sz w:val="20"/>
          <w:szCs w:val="20"/>
          <w:color w:val="auto"/>
        </w:rPr>
      </w:pPr>
      <w:r>
        <w:rPr>
          <w:rFonts w:ascii="Times New Roman" w:cs="Times New Roman" w:eastAsia="Times New Roman" w:hAnsi="Times New Roman"/>
          <w:sz w:val="18"/>
          <w:szCs w:val="18"/>
          <w:color w:val="auto"/>
        </w:rPr>
        <w:t xml:space="preserve">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More Information.”</w:t>
      </w:r>
    </w:p>
    <w:p>
      <w:pPr>
        <w:spacing w:after="0" w:line="183" w:lineRule="exact"/>
        <w:rPr>
          <w:sz w:val="20"/>
          <w:szCs w:val="20"/>
          <w:color w:val="auto"/>
        </w:rPr>
      </w:pPr>
    </w:p>
    <w:p>
      <w:pPr>
        <w:ind w:right="20" w:firstLine="576"/>
        <w:spacing w:after="0" w:line="254" w:lineRule="auto"/>
        <w:rPr>
          <w:sz w:val="20"/>
          <w:szCs w:val="20"/>
          <w:color w:val="auto"/>
        </w:rPr>
      </w:pPr>
      <w:r>
        <w:rPr>
          <w:rFonts w:ascii="Times New Roman" w:cs="Times New Roman" w:eastAsia="Times New Roman" w:hAnsi="Times New Roman"/>
          <w:sz w:val="18"/>
          <w:szCs w:val="18"/>
          <w:color w:val="auto"/>
        </w:rPr>
        <w:t>Neither we nor the Selling Holders have authorized anyone to provide any information or to make any representations other than those contained in this prospectus, any accompanying prospectus supplement or any free writing prospectus we have prepared. We and the Selling 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ind w:right="80" w:firstLine="576"/>
        <w:spacing w:after="0" w:line="282"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4" w:name="page5"/>
    <w:bookmarkEnd w:id="4"/>
    <w:p>
      <w:pPr>
        <w:jc w:val="both"/>
        <w:ind w:right="680"/>
        <w:spacing w:after="0" w:line="266" w:lineRule="auto"/>
        <w:rPr>
          <w:sz w:val="20"/>
          <w:szCs w:val="20"/>
          <w:color w:val="auto"/>
        </w:rPr>
      </w:pPr>
      <w:r>
        <w:rPr>
          <w:rFonts w:ascii="Times New Roman" w:cs="Times New Roman" w:eastAsia="Times New Roman" w:hAnsi="Times New Roman"/>
          <w:sz w:val="18"/>
          <w:szCs w:val="18"/>
          <w:color w:val="auto"/>
        </w:rPr>
        <w:t xml:space="preserve">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p>
    <w:p>
      <w:pPr>
        <w:spacing w:after="0" w:line="172" w:lineRule="exact"/>
        <w:rPr>
          <w:sz w:val="20"/>
          <w:szCs w:val="20"/>
          <w:color w:val="auto"/>
        </w:rPr>
      </w:pPr>
    </w:p>
    <w:p>
      <w:pPr>
        <w:ind w:right="80" w:firstLine="576"/>
        <w:spacing w:after="0" w:line="253" w:lineRule="auto"/>
        <w:rPr>
          <w:sz w:val="20"/>
          <w:szCs w:val="20"/>
          <w:color w:val="auto"/>
        </w:rPr>
      </w:pPr>
      <w:r>
        <w:rPr>
          <w:rFonts w:ascii="Times New Roman" w:cs="Times New Roman" w:eastAsia="Times New Roman" w:hAnsi="Times New Roman"/>
          <w:sz w:val="18"/>
          <w:szCs w:val="18"/>
          <w:color w:val="auto"/>
        </w:rPr>
        <w:t>On August 15, 2024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Armada Acquisition Corp. I, a Delaware corporation (“</w:t>
      </w:r>
      <w:r>
        <w:rPr>
          <w:rFonts w:ascii="Times New Roman" w:cs="Times New Roman" w:eastAsia="Times New Roman" w:hAnsi="Times New Roman"/>
          <w:sz w:val="18"/>
          <w:szCs w:val="18"/>
          <w:b w:val="1"/>
          <w:bCs w:val="1"/>
          <w:i w:val="1"/>
          <w:iCs w:val="1"/>
          <w:color w:val="auto"/>
        </w:rPr>
        <w:t>Armada</w:t>
      </w:r>
      <w:r>
        <w:rPr>
          <w:rFonts w:ascii="Times New Roman" w:cs="Times New Roman" w:eastAsia="Times New Roman" w:hAnsi="Times New Roman"/>
          <w:sz w:val="18"/>
          <w:szCs w:val="18"/>
          <w:color w:val="auto"/>
        </w:rPr>
        <w:t>”), Rezolve AI Limited, a private limited company registered under the laws of England and Wales with registration number 14573691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Rezolve Merger Sub, Inc., a Delaware corporation (“</w:t>
      </w:r>
      <w:r>
        <w:rPr>
          <w:rFonts w:ascii="Times New Roman" w:cs="Times New Roman" w:eastAsia="Times New Roman" w:hAnsi="Times New Roman"/>
          <w:sz w:val="18"/>
          <w:szCs w:val="18"/>
          <w:b w:val="1"/>
          <w:bCs w:val="1"/>
          <w:i w:val="1"/>
          <w:iCs w:val="1"/>
          <w:color w:val="auto"/>
        </w:rPr>
        <w:t>Rezolve Merger Sub</w:t>
      </w:r>
      <w:r>
        <w:rPr>
          <w:rFonts w:ascii="Times New Roman" w:cs="Times New Roman" w:eastAsia="Times New Roman" w:hAnsi="Times New Roman"/>
          <w:sz w:val="18"/>
          <w:szCs w:val="18"/>
          <w:color w:val="auto"/>
        </w:rPr>
        <w:t>”), consummated the business combination pursuant to the terms of the Business Combination Agreement, dated as of December 17, 2021 (as amended or supplemented from time to time,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pursuant to which, among other things, (i) on July 4, 2024, Rezolve Limited, a private limited company organized under the laws of England and Wales ("</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effected a pre-Closing demerger (the “</w:t>
      </w:r>
      <w:r>
        <w:rPr>
          <w:rFonts w:ascii="Times New Roman" w:cs="Times New Roman" w:eastAsia="Times New Roman" w:hAnsi="Times New Roman"/>
          <w:sz w:val="18"/>
          <w:szCs w:val="18"/>
          <w:b w:val="1"/>
          <w:bCs w:val="1"/>
          <w:i w:val="1"/>
          <w:iCs w:val="1"/>
          <w:color w:val="auto"/>
        </w:rPr>
        <w:t>Pre-Closing Demerger</w:t>
      </w:r>
      <w:r>
        <w:rPr>
          <w:rFonts w:ascii="Times New Roman" w:cs="Times New Roman" w:eastAsia="Times New Roman" w:hAnsi="Times New Roman"/>
          <w:sz w:val="18"/>
          <w:szCs w:val="18"/>
          <w:color w:val="auto"/>
        </w:rPr>
        <w:t>”)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 (ii) on the Closing Date, the Company effected a company reorganization whereby the Company’s series A shares were reclassified as Ordinary Shares and (iii) on the Closing Date,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Upon the closing of the Business Combination, the Company became the direct parent of Armada.</w:t>
      </w:r>
    </w:p>
    <w:p>
      <w:pPr>
        <w:spacing w:after="0" w:line="187" w:lineRule="exact"/>
        <w:rPr>
          <w:sz w:val="20"/>
          <w:szCs w:val="20"/>
          <w:color w:val="auto"/>
        </w:rPr>
      </w:pPr>
    </w:p>
    <w:p>
      <w:pPr>
        <w:ind w:right="40" w:firstLine="576"/>
        <w:spacing w:after="0" w:line="266" w:lineRule="auto"/>
        <w:rPr>
          <w:sz w:val="20"/>
          <w:szCs w:val="20"/>
          <w:color w:val="auto"/>
        </w:rPr>
      </w:pPr>
      <w:r>
        <w:rPr>
          <w:rFonts w:ascii="Times New Roman" w:cs="Times New Roman" w:eastAsia="Times New Roman" w:hAnsi="Times New Roman"/>
          <w:sz w:val="18"/>
          <w:szCs w:val="18"/>
          <w:color w:val="auto"/>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or facts or of opinion. The directors accept responsibility accordingly.</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It should be remembered that the price of securities and the income from them can go down as well as up.</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If you are in any doubt about the contents of this prospectus, you should consult your stockbroker, bank manager, solicitor, accountant or financial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adviser.</w:t>
      </w:r>
    </w:p>
    <w:p>
      <w:pPr>
        <w:spacing w:after="0" w:line="207" w:lineRule="exact"/>
        <w:rPr>
          <w:sz w:val="20"/>
          <w:szCs w:val="20"/>
          <w:color w:val="auto"/>
        </w:rPr>
      </w:pPr>
    </w:p>
    <w:p>
      <w:pPr>
        <w:ind w:right="80" w:firstLine="576"/>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“Rezolve,” “we,” “us” and “our”, prior to the Pre-Closing Demerger, refer to Rezolve Limited and after the Pre-Closing Demerger, Rezolve AI plc (formerly Rezolve AI Limited), including its subsidiaries.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02" w:lineRule="exact"/>
        <w:rPr>
          <w:sz w:val="20"/>
          <w:szCs w:val="20"/>
          <w:color w:val="auto"/>
        </w:rPr>
      </w:pPr>
    </w:p>
    <w:p>
      <w:pPr>
        <w:ind w:right="340" w:firstLine="576"/>
        <w:spacing w:after="0" w:line="258"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89"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 w:name="page6"/>
    <w:bookmarkEnd w:id="5"/>
    <w:p>
      <w:pPr>
        <w:ind w:right="140" w:firstLine="576"/>
        <w:spacing w:after="0" w:line="282" w:lineRule="auto"/>
        <w:rPr>
          <w:sz w:val="20"/>
          <w:szCs w:val="20"/>
          <w:color w:val="auto"/>
        </w:rPr>
      </w:pPr>
      <w:r>
        <w:rPr>
          <w:rFonts w:ascii="Times New Roman" w:cs="Times New Roman" w:eastAsia="Times New Roman" w:hAnsi="Times New Roman"/>
          <w:sz w:val="18"/>
          <w:szCs w:val="18"/>
          <w:color w:val="auto"/>
        </w:rPr>
        <w:t>Terms defined in the body of this document shall have the meanings attributed to them therein and in addition the following terms shall have the following meanings:</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w:t>
      </w:r>
      <w:r>
        <w:rPr>
          <w:rFonts w:ascii="Times New Roman" w:cs="Times New Roman" w:eastAsia="Times New Roman" w:hAnsi="Times New Roman"/>
          <w:sz w:val="18"/>
          <w:szCs w:val="18"/>
          <w:color w:val="auto"/>
        </w:rPr>
        <w:t>” means Armada Acquisition Corp. I, a Delaware corporation;</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 Common Stock</w:t>
      </w:r>
      <w:r>
        <w:rPr>
          <w:rFonts w:ascii="Times New Roman" w:cs="Times New Roman" w:eastAsia="Times New Roman" w:hAnsi="Times New Roman"/>
          <w:sz w:val="18"/>
          <w:szCs w:val="18"/>
          <w:color w:val="auto"/>
        </w:rPr>
        <w:t>” means, prior to the Business Combination, an issued and outstanding share of common stock of Armada;</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 Unit</w:t>
      </w:r>
      <w:r>
        <w:rPr>
          <w:rFonts w:ascii="Times New Roman" w:cs="Times New Roman" w:eastAsia="Times New Roman" w:hAnsi="Times New Roman"/>
          <w:sz w:val="18"/>
          <w:szCs w:val="18"/>
          <w:color w:val="auto"/>
        </w:rPr>
        <w:t>” means, prior to the Business Combination, an issued and outstanding unit of Armada;</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 Warran</w:t>
      </w:r>
      <w:r>
        <w:rPr>
          <w:rFonts w:ascii="Times New Roman" w:cs="Times New Roman" w:eastAsia="Times New Roman" w:hAnsi="Times New Roman"/>
          <w:sz w:val="18"/>
          <w:szCs w:val="18"/>
          <w:color w:val="auto"/>
        </w:rPr>
        <w:t>t” means, prior to the Business Combination, an issued and outstanding warrant of Armada;</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means Rezolve’s articles of association;</w:t>
      </w:r>
    </w:p>
    <w:p>
      <w:pPr>
        <w:spacing w:after="0" w:line="225" w:lineRule="exact"/>
        <w:rPr>
          <w:sz w:val="20"/>
          <w:szCs w:val="20"/>
          <w:color w:val="auto"/>
        </w:rPr>
      </w:pPr>
    </w:p>
    <w:p>
      <w:pPr>
        <w:ind w:right="100" w:firstLine="57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means the business combination agreement dated as of December 17, 2021, as amended on November 10, 2022 and as further amended and restated on June 16, 2023, as amended on August 4, 2023, and as may be amended from time to time, by and among Armada, Rezolve Limited, Rezolve and Rezolve Merger Sub;</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Channels</w:t>
      </w:r>
      <w:r>
        <w:rPr>
          <w:rFonts w:ascii="Times New Roman" w:cs="Times New Roman" w:eastAsia="Times New Roman" w:hAnsi="Times New Roman"/>
          <w:sz w:val="18"/>
          <w:szCs w:val="18"/>
          <w:color w:val="auto"/>
        </w:rPr>
        <w:t>” means the Rezolve’s distribution partners who distribute Rezolve’s offerings and services;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has the meaning given to it in the Business Combination Agreement;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has the meaning given to it in the Business Combination Agreement;;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Notes</w:t>
      </w:r>
      <w:r>
        <w:rPr>
          <w:rFonts w:ascii="Times New Roman" w:cs="Times New Roman" w:eastAsia="Times New Roman" w:hAnsi="Times New Roman"/>
          <w:sz w:val="18"/>
          <w:szCs w:val="18"/>
          <w:color w:val="auto"/>
        </w:rPr>
        <w:t>” means the convertible loan notes issued on the terms of the Loan Note Instrument and the JVB Note;</w:t>
      </w:r>
    </w:p>
    <w:p>
      <w:pPr>
        <w:spacing w:after="0" w:line="225" w:lineRule="exact"/>
        <w:rPr>
          <w:sz w:val="20"/>
          <w:szCs w:val="20"/>
          <w:color w:val="auto"/>
        </w:rPr>
      </w:pPr>
    </w:p>
    <w:p>
      <w:pPr>
        <w:ind w:right="30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color w:val="auto"/>
        </w:rPr>
        <w:t>” means, collectively, the shares of Armada Common Stock held by the Sponsor, the chief executive officer of Armada, the president of Armada and independent directors of Armada;</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GeoZone</w:t>
      </w:r>
      <w:r>
        <w:rPr>
          <w:rFonts w:ascii="Times New Roman" w:cs="Times New Roman" w:eastAsia="Times New Roman" w:hAnsi="Times New Roman"/>
          <w:sz w:val="18"/>
          <w:szCs w:val="18"/>
          <w:color w:val="auto"/>
        </w:rPr>
        <w:t>” means a location-based marketing tool which is a feature of Rezolve’s platform;</w:t>
      </w:r>
    </w:p>
    <w:p>
      <w:pPr>
        <w:spacing w:after="0" w:line="225" w:lineRule="exact"/>
        <w:rPr>
          <w:sz w:val="20"/>
          <w:szCs w:val="20"/>
          <w:color w:val="auto"/>
        </w:rPr>
      </w:pPr>
    </w:p>
    <w:p>
      <w:pPr>
        <w:ind w:right="30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 Rights Agreement</w:t>
      </w:r>
      <w:r>
        <w:rPr>
          <w:rFonts w:ascii="Times New Roman" w:cs="Times New Roman" w:eastAsia="Times New Roman" w:hAnsi="Times New Roman"/>
          <w:sz w:val="18"/>
          <w:szCs w:val="18"/>
          <w:color w:val="auto"/>
        </w:rPr>
        <w:t>” means the amended form investor rights agreements entered into by Rezolve, Armada, the Sponsor and certain stockholders of Rezolve;</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JVB Note</w:t>
      </w:r>
      <w:r>
        <w:rPr>
          <w:rFonts w:ascii="Times New Roman" w:cs="Times New Roman" w:eastAsia="Times New Roman" w:hAnsi="Times New Roman"/>
          <w:sz w:val="18"/>
          <w:szCs w:val="18"/>
          <w:color w:val="auto"/>
        </w:rPr>
        <w:t>” means the convertible note issued by Rezolve to J.V.B. Financial Group, LLC, a registered broker-dealer,on August 14, 2024.</w:t>
      </w:r>
    </w:p>
    <w:p>
      <w:pPr>
        <w:spacing w:after="0" w:line="225" w:lineRule="exact"/>
        <w:rPr>
          <w:sz w:val="20"/>
          <w:szCs w:val="20"/>
          <w:color w:val="auto"/>
        </w:rPr>
      </w:pPr>
    </w:p>
    <w:p>
      <w:pPr>
        <w:ind w:right="14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 Note Instrument</w:t>
      </w:r>
      <w:r>
        <w:rPr>
          <w:rFonts w:ascii="Times New Roman" w:cs="Times New Roman" w:eastAsia="Times New Roman" w:hAnsi="Times New Roman"/>
          <w:sz w:val="18"/>
          <w:szCs w:val="18"/>
          <w:color w:val="auto"/>
        </w:rPr>
        <w:t>” means the secured convertible loan note instrument dated December 16, 2021, as amended and restated on November 21, 2022 and May 23, 2023 and further amended on and on December 18, 2023, December 29, 2023 and January 26, 2024, to which Rezolve is party;</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Major Investor</w:t>
      </w:r>
      <w:r>
        <w:rPr>
          <w:rFonts w:ascii="Times New Roman" w:cs="Times New Roman" w:eastAsia="Times New Roman" w:hAnsi="Times New Roman"/>
          <w:sz w:val="18"/>
          <w:szCs w:val="18"/>
          <w:color w:val="auto"/>
        </w:rPr>
        <w:t>” has the meaning given to it in the Loan Note Instrument.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right="22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Noteholder Majority</w:t>
      </w:r>
      <w:r>
        <w:rPr>
          <w:rFonts w:ascii="Times New Roman" w:cs="Times New Roman" w:eastAsia="Times New Roman" w:hAnsi="Times New Roman"/>
          <w:sz w:val="18"/>
          <w:szCs w:val="18"/>
          <w:color w:val="auto"/>
        </w:rPr>
        <w:t>” means the prior consent of holders of more than two-thirds of the aggregate principal amount of the Convertible Notes outstanding from time to time;</w:t>
      </w:r>
    </w:p>
    <w:p>
      <w:pPr>
        <w:spacing w:after="0" w:line="155" w:lineRule="exact"/>
        <w:rPr>
          <w:sz w:val="20"/>
          <w:szCs w:val="20"/>
          <w:color w:val="auto"/>
        </w:rPr>
      </w:pPr>
    </w:p>
    <w:p>
      <w:pPr>
        <w:ind w:firstLine="57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Pre-Closing Demerger</w:t>
      </w:r>
      <w:r>
        <w:rPr>
          <w:rFonts w:ascii="Times New Roman" w:cs="Times New Roman" w:eastAsia="Times New Roman" w:hAnsi="Times New Roman"/>
          <w:sz w:val="18"/>
          <w:szCs w:val="18"/>
          <w:color w:val="auto"/>
        </w:rPr>
        <w:t>” means the demerger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1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Registerable Securities</w:t>
      </w:r>
      <w:r>
        <w:rPr>
          <w:rFonts w:ascii="Times New Roman" w:cs="Times New Roman" w:eastAsia="Times New Roman" w:hAnsi="Times New Roman"/>
          <w:sz w:val="18"/>
          <w:szCs w:val="18"/>
          <w:color w:val="auto"/>
        </w:rPr>
        <w:t>” has the meaning given to it in the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8" w:right="459" w:bottom="1440" w:gutter="0" w:footer="0" w:header="0"/>
        </w:sectPr>
      </w:pPr>
    </w:p>
    <w:bookmarkStart w:id="6" w:name="page7"/>
    <w:bookmarkEnd w:id="6"/>
    <w:p>
      <w:pPr>
        <w:ind w:right="28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Rezolve AI Limited, a private limited liability company registered under the laws of England and Wales with registration number 14573691 and, following its re-registration as a public limited company, Rezolve AI plc;</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Founder</w:t>
      </w:r>
      <w:r>
        <w:rPr>
          <w:rFonts w:ascii="Times New Roman" w:cs="Times New Roman" w:eastAsia="Times New Roman" w:hAnsi="Times New Roman"/>
          <w:sz w:val="18"/>
          <w:szCs w:val="18"/>
          <w:color w:val="auto"/>
        </w:rPr>
        <w:t>” means Daniel Wagner;</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Incentive Equity Plan</w:t>
      </w:r>
      <w:r>
        <w:rPr>
          <w:rFonts w:ascii="Times New Roman" w:cs="Times New Roman" w:eastAsia="Times New Roman" w:hAnsi="Times New Roman"/>
          <w:sz w:val="18"/>
          <w:szCs w:val="18"/>
          <w:color w:val="auto"/>
        </w:rPr>
        <w:t>” means the incentive equity plan adopted by Rezolve;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means Rezolve Limited, a private limited company organized under the laws of England and Wales;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Merger Sub</w:t>
      </w:r>
      <w:r>
        <w:rPr>
          <w:rFonts w:ascii="Times New Roman" w:cs="Times New Roman" w:eastAsia="Times New Roman" w:hAnsi="Times New Roman"/>
          <w:sz w:val="18"/>
          <w:szCs w:val="18"/>
          <w:color w:val="auto"/>
        </w:rPr>
        <w:t>” means Rezolve Merger Sub, Inc., a Delaware corporation;</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means the ordinary shares of Rezolve, par value £0.0001;</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Options</w:t>
      </w:r>
      <w:r>
        <w:rPr>
          <w:rFonts w:ascii="Times New Roman" w:cs="Times New Roman" w:eastAsia="Times New Roman" w:hAnsi="Times New Roman"/>
          <w:sz w:val="18"/>
          <w:szCs w:val="18"/>
          <w:color w:val="auto"/>
        </w:rPr>
        <w:t>” means options to subscribe for Ordinary Shares;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Shareholder</w:t>
      </w:r>
      <w:r>
        <w:rPr>
          <w:rFonts w:ascii="Times New Roman" w:cs="Times New Roman" w:eastAsia="Times New Roman" w:hAnsi="Times New Roman"/>
          <w:sz w:val="18"/>
          <w:szCs w:val="18"/>
          <w:color w:val="auto"/>
        </w:rPr>
        <w:t>” means a holder of shares of stock in the capital of Rezolve;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Warrant</w:t>
      </w:r>
      <w:r>
        <w:rPr>
          <w:rFonts w:ascii="Times New Roman" w:cs="Times New Roman" w:eastAsia="Times New Roman" w:hAnsi="Times New Roman"/>
          <w:sz w:val="18"/>
          <w:szCs w:val="18"/>
          <w:color w:val="auto"/>
        </w:rPr>
        <w:t>” means a private warrant to purchase one Ordinary Share;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Warrant</w:t>
      </w:r>
      <w:r>
        <w:rPr>
          <w:rFonts w:ascii="Times New Roman" w:cs="Times New Roman" w:eastAsia="Times New Roman" w:hAnsi="Times New Roman"/>
          <w:sz w:val="18"/>
          <w:szCs w:val="18"/>
          <w:color w:val="auto"/>
        </w:rPr>
        <w:t>” means a public warrant to purchase one Ordinary Share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mean, collectively, the Private Warrants and the Public Warrants;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means the selling security holders named in this Registration Statement on Form F-1;</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SMBs</w:t>
      </w:r>
      <w:r>
        <w:rPr>
          <w:rFonts w:ascii="Times New Roman" w:cs="Times New Roman" w:eastAsia="Times New Roman" w:hAnsi="Times New Roman"/>
          <w:sz w:val="18"/>
          <w:szCs w:val="18"/>
          <w:color w:val="auto"/>
        </w:rPr>
        <w:t>” means small and medium-sized businesses;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means Armada Sponsor LLC;</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means the United Kingdom;</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means the UK Companies Act 2006 (as amended from time to time);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refers to the United States of America; and</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USD</w:t>
      </w:r>
      <w:r>
        <w:rPr>
          <w:rFonts w:ascii="Times New Roman" w:cs="Times New Roman" w:eastAsia="Times New Roman" w:hAnsi="Times New Roman"/>
          <w:sz w:val="18"/>
          <w:szCs w:val="18"/>
          <w:color w:val="auto"/>
        </w:rPr>
        <w:t>” refers to the U.S. Dollar.</w:t>
      </w:r>
    </w:p>
    <w:p>
      <w:pPr>
        <w:spacing w:after="0" w:line="229" w:lineRule="exact"/>
        <w:rPr>
          <w:sz w:val="20"/>
          <w:szCs w:val="20"/>
          <w:color w:val="auto"/>
        </w:rPr>
      </w:pPr>
    </w:p>
    <w:p>
      <w:pPr>
        <w:ind w:right="60" w:firstLine="576"/>
        <w:spacing w:after="0" w:line="282" w:lineRule="auto"/>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all references in this prospectus to the Warrants include such Ordinary Shares underlying the Warrants.</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2" w:lineRule="exact"/>
        <w:rPr>
          <w:sz w:val="20"/>
          <w:szCs w:val="20"/>
          <w:color w:val="auto"/>
        </w:rPr>
      </w:pPr>
    </w:p>
    <w:p>
      <w:pPr>
        <w:ind w:right="40" w:firstLine="576"/>
        <w:spacing w:after="0" w:line="261" w:lineRule="auto"/>
        <w:rPr>
          <w:sz w:val="20"/>
          <w:szCs w:val="20"/>
          <w:color w:val="auto"/>
        </w:rPr>
      </w:pPr>
      <w:r>
        <w:rPr>
          <w:rFonts w:ascii="Times New Roman" w:cs="Times New Roman" w:eastAsia="Times New Roman" w:hAnsi="Times New Roman"/>
          <w:sz w:val="18"/>
          <w:szCs w:val="18"/>
          <w:color w:val="auto"/>
        </w:rPr>
        <w:t>We believe that certain of the information in this 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207" w:lineRule="exact"/>
        <w:rPr>
          <w:sz w:val="20"/>
          <w:szCs w:val="20"/>
          <w:color w:val="auto"/>
        </w:rPr>
      </w:pPr>
    </w:p>
    <w:p>
      <w:pPr>
        <w:ind w:left="960" w:hanging="367"/>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future expectations;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projections of future results of operations or financial condition; or</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other “forward-looking” information.</w:t>
      </w:r>
    </w:p>
    <w:p>
      <w:pPr>
        <w:spacing w:after="0" w:line="225"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We believe it is important to communicate our expectations to our security holders. However, there may be events in the future that we are not able to predict accurately or over which we have no control. The risk factors and cautionary language discussed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7" w:name="page8"/>
    <w:bookmarkEnd w:id="7"/>
    <w:p>
      <w:pPr>
        <w:ind w:right="620"/>
        <w:spacing w:after="0" w:line="284" w:lineRule="auto"/>
        <w:rPr>
          <w:sz w:val="20"/>
          <w:szCs w:val="20"/>
          <w:color w:val="auto"/>
        </w:rPr>
      </w:pPr>
      <w:r>
        <w:rPr>
          <w:rFonts w:ascii="Times New Roman" w:cs="Times New Roman" w:eastAsia="Times New Roman" w:hAnsi="Times New Roman"/>
          <w:sz w:val="18"/>
          <w:szCs w:val="18"/>
          <w:color w:val="auto"/>
        </w:rPr>
        <w:t>prospectus, including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provide examples of risks, uncertainties and events that may cause actual results to differ materially from the expectations we described in such forward-looking statements, including among other things:</w:t>
      </w:r>
    </w:p>
    <w:p>
      <w:pPr>
        <w:spacing w:after="0" w:line="187" w:lineRule="exact"/>
        <w:rPr>
          <w:sz w:val="20"/>
          <w:szCs w:val="20"/>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anticipated benefits of the transactions with Armada;</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meet Nasdaq’s listing standards;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our business;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COVID-19 pandemic on our business;</w:t>
      </w:r>
    </w:p>
    <w:p>
      <w:pPr>
        <w:spacing w:after="0" w:line="252" w:lineRule="exact"/>
        <w:rPr>
          <w:rFonts w:ascii="Times New Roman" w:cs="Times New Roman" w:eastAsia="Times New Roman" w:hAnsi="Times New Roman"/>
          <w:sz w:val="18"/>
          <w:szCs w:val="18"/>
          <w:color w:val="auto"/>
        </w:rPr>
      </w:pPr>
    </w:p>
    <w:p>
      <w:pPr>
        <w:ind w:left="960" w:right="360" w:hanging="367"/>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us following the consummation of the Business Combination and the transactions contemplated thereby</w:t>
      </w:r>
    </w:p>
    <w:p>
      <w:pPr>
        <w:spacing w:after="0" w:line="188"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conflict in Ukraine or other hostilities;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or regulations;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plans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future financing efforts; and</w:t>
      </w:r>
    </w:p>
    <w:p>
      <w:pPr>
        <w:spacing w:after="0" w:line="250"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detailed in the section entitled </w:t>
      </w:r>
      <w:r>
        <w:rPr>
          <w:rFonts w:ascii="Times New Roman" w:cs="Times New Roman" w:eastAsia="Times New Roman" w:hAnsi="Times New Roman"/>
          <w:sz w:val="18"/>
          <w:szCs w:val="18"/>
          <w:i w:val="1"/>
          <w:iCs w:val="1"/>
          <w:color w:val="auto"/>
        </w:rPr>
        <w:t>“Risk Factors.”</w:t>
      </w:r>
    </w:p>
    <w:p>
      <w:pPr>
        <w:spacing w:after="0" w:line="2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of this prospectus.</w:t>
      </w:r>
    </w:p>
    <w:p>
      <w:pPr>
        <w:spacing w:after="0" w:line="225" w:lineRule="exact"/>
        <w:rPr>
          <w:sz w:val="20"/>
          <w:szCs w:val="20"/>
          <w:color w:val="auto"/>
        </w:rPr>
      </w:pPr>
    </w:p>
    <w:p>
      <w:pPr>
        <w:jc w:val="both"/>
        <w:ind w:right="40" w:firstLine="576"/>
        <w:spacing w:after="0" w:line="266" w:lineRule="auto"/>
        <w:rPr>
          <w:sz w:val="20"/>
          <w:szCs w:val="20"/>
          <w:color w:val="auto"/>
        </w:rPr>
      </w:pPr>
      <w:r>
        <w:rPr>
          <w:rFonts w:ascii="Times New Roman" w:cs="Times New Roman" w:eastAsia="Times New Roman" w:hAnsi="Times New Roman"/>
          <w:sz w:val="18"/>
          <w:szCs w:val="18"/>
          <w:color w:val="auto"/>
        </w:rPr>
        <w:t>All forward-looking statements included herein are expressly qualified in their entirety by the cautionary statements contained or referred to in this section. Except to the extent required by applicable laws and regulations, Rezolve undertakes no obligations to update these forward-looking statements to reflect events or circumstances after the date of this prospectus or to reflect the occurrence of unanticipated events.</w:t>
      </w:r>
    </w:p>
    <w:p>
      <w:pPr>
        <w:spacing w:after="0" w:line="176"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 xml:space="preserve">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12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92" w:lineRule="exact"/>
        <w:rPr>
          <w:sz w:val="20"/>
          <w:szCs w:val="20"/>
          <w:color w:val="auto"/>
        </w:rPr>
      </w:pPr>
    </w:p>
    <w:p>
      <w:pPr>
        <w:jc w:val="both"/>
        <w:ind w:right="60" w:firstLine="576"/>
        <w:spacing w:after="0" w:line="266" w:lineRule="auto"/>
        <w:rPr>
          <w:sz w:val="20"/>
          <w:szCs w:val="20"/>
          <w:color w:val="auto"/>
        </w:rPr>
      </w:pPr>
      <w:r>
        <w:rPr>
          <w:rFonts w:ascii="Times New Roman" w:cs="Times New Roman" w:eastAsia="Times New Roman" w:hAnsi="Times New Roman"/>
          <w:sz w:val="18"/>
          <w:szCs w:val="18"/>
          <w:color w:val="auto"/>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For additional information, please see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1059180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226" w:right="37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87"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i w:val="1"/>
          <w:iCs w:val="1"/>
          <w:color w:val="auto"/>
        </w:rPr>
        <w:t>summary highlights, and is qualified in its entirety by, the more detailed information and financial statements included elsewhere in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prospectus. This summary does not contain all of the information that may be important to you in making your investment 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our securities.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w:t>
      </w:r>
    </w:p>
    <w:p>
      <w:pPr>
        <w:spacing w:after="0" w:line="12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2 of 2025, initially in Europe and the USA. Revenues from braincommerce are also forecast to begin in Q2 2025, increasing significantly in Q3 and Q4 2025. We also expect to generate revenues in Q4 2025 in South America and the Asia. We expect revenues to increase in 2026 through our signed partner agreements with Microsoft, Google and others. For additional information regarding the partner agreements see “</w:t>
      </w:r>
      <w:r>
        <w:rPr>
          <w:rFonts w:ascii="Times New Roman" w:cs="Times New Roman" w:eastAsia="Times New Roman" w:hAnsi="Times New Roman"/>
          <w:sz w:val="18"/>
          <w:szCs w:val="18"/>
          <w:i w:val="1"/>
          <w:iCs w:val="1"/>
          <w:color w:val="auto"/>
        </w:rPr>
        <w:t>Business of Rezolve-Partner Agreements</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295"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mailing address of Rezolve AI plc’s registered office is 21 Sackville Street, London, W1S 3DN, United Kingdom, +44 204 625 9700 and its principal executive office is 21 Sackville Street, London, W1S 3DN, United Kingdom.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the Closing Date, we consummated the previously announced Business Combination with Armada.</w:t>
      </w:r>
    </w:p>
    <w:p>
      <w:pPr>
        <w:spacing w:after="0" w:line="333"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On July 4, 2024, prior to the Closing Date, Rezolve Limited effected the Pre-Closing Demerger pursuant to UK legislation under which (x) part of Rezolve Limited’s business and assets (being all of its business and assets except for certain shares in Rezolve Information Technology (Shanghai) Co Ltd and its wholly owned subsidiary Nine Stone (Shanghai) Ltd and Rezolve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16884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10" w:lineRule="exact"/>
        <w:rPr>
          <w:sz w:val="20"/>
          <w:szCs w:val="20"/>
          <w:color w:val="auto"/>
        </w:rPr>
      </w:pPr>
    </w:p>
    <w:p>
      <w:pPr>
        <w:ind w:right="420" w:firstLine="8"/>
        <w:spacing w:after="0" w:line="223" w:lineRule="auto"/>
        <w:tabs>
          <w:tab w:leader="none" w:pos="105"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 brain-heralds-new-era-of-commerce-enabled-ai/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622935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9" w:name="page10"/>
    <w:bookmarkEnd w:id="9"/>
    <w:p>
      <w:pPr>
        <w:spacing w:after="0" w:line="261" w:lineRule="auto"/>
        <w:rPr>
          <w:sz w:val="20"/>
          <w:szCs w:val="20"/>
          <w:color w:val="auto"/>
        </w:rPr>
      </w:pPr>
      <w:r>
        <w:rPr>
          <w:rFonts w:ascii="Times New Roman" w:cs="Times New Roman" w:eastAsia="Times New Roman" w:hAnsi="Times New Roman"/>
          <w:sz w:val="18"/>
          <w:szCs w:val="18"/>
          <w:color w:val="auto"/>
        </w:rPr>
        <w:t>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2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on the Closing Date (i) the Company effected a company reorganization whereby the Company’s series A shares were reclassified as Ordinary Shares and (ii)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The foregoing description of the Business Combination does not purport to be complete and is qualified in its entirety by the full text of the Business Combination Agreement, which is incorporated by reference hereto as Exhibit 2.1.</w:t>
      </w:r>
    </w:p>
    <w:p>
      <w:pPr>
        <w:spacing w:after="0" w:line="29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holders of an aggregate of 1,300,391 shares of Armada Common Stock exercised their right to redeem such shares for a pro rata portion of the funds in Armada’s Trust Account. Following redemptions and the payment of transaction expenses, Armada delivered an aggregate of approximately $14.8 million to the Company on the Closing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21" w:lineRule="exact"/>
        <w:rPr>
          <w:sz w:val="20"/>
          <w:szCs w:val="20"/>
          <w:color w:val="auto"/>
        </w:rPr>
      </w:pPr>
    </w:p>
    <w:p>
      <w:pPr>
        <w:ind w:right="240" w:firstLine="576"/>
        <w:spacing w:after="0" w:line="266" w:lineRule="auto"/>
        <w:rPr>
          <w:sz w:val="20"/>
          <w:szCs w:val="20"/>
          <w:color w:val="auto"/>
        </w:rPr>
      </w:pPr>
      <w:r>
        <w:rPr>
          <w:rFonts w:ascii="Times New Roman" w:cs="Times New Roman" w:eastAsia="Times New Roman" w:hAnsi="Times New Roman"/>
          <w:sz w:val="18"/>
          <w:szCs w:val="18"/>
          <w:color w:val="auto"/>
        </w:rPr>
        <w:t>At the Closing, the Company entered into that certain Investor Rights Agreement with certain directors and officers and certain other parties identified therein (such persons,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Investor Rights Agreement</w:t>
      </w:r>
      <w:r>
        <w:rPr>
          <w:rFonts w:ascii="Times New Roman" w:cs="Times New Roman" w:eastAsia="Times New Roman" w:hAnsi="Times New Roman"/>
          <w:sz w:val="18"/>
          <w:szCs w:val="18"/>
          <w:color w:val="auto"/>
        </w:rPr>
        <w:t>”). Pursuant to the terms of the Investor Rights Agreement, the Holders are entitled to certain piggyback registration rights and customary registration rights.</w:t>
      </w:r>
    </w:p>
    <w:p>
      <w:pPr>
        <w:spacing w:after="0" w:line="176" w:lineRule="exact"/>
        <w:rPr>
          <w:sz w:val="20"/>
          <w:szCs w:val="20"/>
          <w:color w:val="auto"/>
        </w:rPr>
      </w:pPr>
    </w:p>
    <w:p>
      <w:pPr>
        <w:ind w:right="80" w:firstLine="576"/>
        <w:spacing w:after="0" w:line="261" w:lineRule="auto"/>
        <w:rPr>
          <w:sz w:val="20"/>
          <w:szCs w:val="20"/>
          <w:color w:val="auto"/>
        </w:rPr>
      </w:pPr>
      <w:r>
        <w:rPr>
          <w:rFonts w:ascii="Times New Roman" w:cs="Times New Roman" w:eastAsia="Times New Roman" w:hAnsi="Times New Roman"/>
          <w:sz w:val="18"/>
          <w:szCs w:val="18"/>
          <w:color w:val="auto"/>
        </w:rPr>
        <w:t>Pursuant to terms of the Investor Rights Agreement, subject to certain exceptions, the Holders agreed to not transfer or make any announcement of any intention to effect a transfer, in respect of the shares beneficially owned or otherwise held by the Holders prior to the termination of the applicable lock-up period, subject to certain customary exceptions, including (i) transfers to permitted transferees, such as a member of a person’s immediate family or to a trust, the beneficiary of which is a member of a person’s immediate family or an affiliate of such person.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ind w:right="120" w:firstLine="576"/>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a secured convertible loan note instrument, as amended and restated on November 21, 2022 and May 23, 2023 and as further amended on December 18, 2023, December 29, 2023 and January 26, 2024 (the “</w:t>
      </w:r>
      <w:r>
        <w:rPr>
          <w:rFonts w:ascii="Times New Roman" w:cs="Times New Roman" w:eastAsia="Times New Roman" w:hAnsi="Times New Roman"/>
          <w:sz w:val="18"/>
          <w:szCs w:val="18"/>
          <w:b w:val="1"/>
          <w:bCs w:val="1"/>
          <w:i w:val="1"/>
          <w:iCs w:val="1"/>
          <w:color w:val="auto"/>
        </w:rPr>
        <w:t>Loan Note Instrument</w:t>
      </w:r>
      <w:r>
        <w:rPr>
          <w:rFonts w:ascii="Times New Roman" w:cs="Times New Roman" w:eastAsia="Times New Roman" w:hAnsi="Times New Roman"/>
          <w:sz w:val="18"/>
          <w:szCs w:val="18"/>
          <w:color w:val="auto"/>
        </w:rPr>
        <w:t>”). Upon the closing of the Pre-Closing Demerger, the Loan Note Instrument was novated to Rezolve and was secured by a debenture over the assets of Rezolve. As of December 5, 2024, there was outstanding an aggregate amount of approximately $49 million of convertible notes (the "Convertible Notes") outstanding under the Loan Note Instrument.</w:t>
      </w:r>
    </w:p>
    <w:p>
      <w:pPr>
        <w:spacing w:after="0" w:line="75" w:lineRule="exact"/>
        <w:rPr>
          <w:sz w:val="20"/>
          <w:szCs w:val="20"/>
          <w:color w:val="auto"/>
        </w:rPr>
      </w:pPr>
    </w:p>
    <w:p>
      <w:pPr>
        <w:ind w:right="740" w:firstLine="576"/>
        <w:spacing w:after="0" w:line="282" w:lineRule="auto"/>
        <w:rPr>
          <w:sz w:val="20"/>
          <w:szCs w:val="20"/>
          <w:color w:val="auto"/>
        </w:rPr>
      </w:pPr>
      <w:r>
        <w:rPr>
          <w:rFonts w:ascii="Times New Roman" w:cs="Times New Roman" w:eastAsia="Times New Roman" w:hAnsi="Times New Roman"/>
          <w:sz w:val="18"/>
          <w:szCs w:val="18"/>
          <w:color w:val="auto"/>
        </w:rPr>
        <w:t>On December 5, 2024, pursuant to the terms of the Loan Note Instrument, one of the holders of the Convertible Notes converted all of his approximately $8 million of outstanding Convertible Notes at a conversion price of $7 per ordinary share.</w:t>
      </w:r>
    </w:p>
    <w:p>
      <w:pPr>
        <w:spacing w:after="0" w:line="54" w:lineRule="exact"/>
        <w:rPr>
          <w:sz w:val="20"/>
          <w:szCs w:val="20"/>
          <w:color w:val="auto"/>
        </w:rPr>
      </w:pPr>
    </w:p>
    <w:p>
      <w:pPr>
        <w:ind w:right="120" w:firstLine="576"/>
        <w:spacing w:after="0" w:line="261" w:lineRule="auto"/>
        <w:rPr>
          <w:sz w:val="20"/>
          <w:szCs w:val="20"/>
          <w:color w:val="auto"/>
        </w:rPr>
      </w:pPr>
      <w:r>
        <w:rPr>
          <w:rFonts w:ascii="Times New Roman" w:cs="Times New Roman" w:eastAsia="Times New Roman" w:hAnsi="Times New Roman"/>
          <w:sz w:val="18"/>
          <w:szCs w:val="18"/>
          <w:color w:val="auto"/>
        </w:rPr>
        <w:t>On December 17, 2024, the Company, Apeiron Investment Group Ltd. and Bradley Wickens, the beneficial holders of the majority of Convertible Notes entered into an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amend the Loan Note Instrument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and that the beneficial holders shall procure that the registered nominees holding their Convertible Notes provide the necessary consents to the Amendment. Pursuant to the Amendment, the conversion price with respect to approximately $41 million of outstanding Convertible Notes was revised to equal $2 per ordinary share.</w:t>
      </w:r>
    </w:p>
    <w:p>
      <w:pPr>
        <w:spacing w:after="0" w:line="72" w:lineRule="exact"/>
        <w:rPr>
          <w:sz w:val="20"/>
          <w:szCs w:val="20"/>
          <w:color w:val="auto"/>
        </w:rPr>
      </w:pPr>
    </w:p>
    <w:p>
      <w:pPr>
        <w:ind w:right="360" w:firstLine="576"/>
        <w:spacing w:after="0" w:line="282" w:lineRule="auto"/>
        <w:rPr>
          <w:sz w:val="20"/>
          <w:szCs w:val="20"/>
          <w:color w:val="auto"/>
        </w:rPr>
      </w:pPr>
      <w:r>
        <w:rPr>
          <w:rFonts w:ascii="Times New Roman" w:cs="Times New Roman" w:eastAsia="Times New Roman" w:hAnsi="Times New Roman"/>
          <w:sz w:val="18"/>
          <w:szCs w:val="18"/>
          <w:color w:val="auto"/>
        </w:rPr>
        <w:t>In December 2024, all of the remaining Convertible Note holders elected to convert. As of December 31, 2024, $0.4 million of the Convertible Notes remained outstanding under the Loan Note Instrument.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Promissory Note and Capital Commitment</w:t>
      </w:r>
    </w:p>
    <w:p>
      <w:pPr>
        <w:spacing w:after="0" w:line="333" w:lineRule="exact"/>
        <w:rPr>
          <w:sz w:val="20"/>
          <w:szCs w:val="20"/>
          <w:color w:val="auto"/>
        </w:rPr>
      </w:pPr>
    </w:p>
    <w:p>
      <w:pPr>
        <w:ind w:right="120" w:firstLine="749"/>
        <w:spacing w:after="0" w:line="262" w:lineRule="auto"/>
        <w:rPr>
          <w:sz w:val="20"/>
          <w:szCs w:val="20"/>
          <w:color w:val="auto"/>
        </w:rPr>
      </w:pPr>
      <w:r>
        <w:rPr>
          <w:rFonts w:ascii="Times New Roman" w:cs="Times New Roman" w:eastAsia="Times New Roman" w:hAnsi="Times New Roman"/>
          <w:sz w:val="18"/>
          <w:szCs w:val="18"/>
          <w:color w:val="212529"/>
        </w:rPr>
        <w:t>On February 23, 2023, Rezolve Limited entered into a $250 million standby equity purchase agreement with YA II PN, LTD (“</w:t>
      </w:r>
      <w:r>
        <w:rPr>
          <w:rFonts w:ascii="Times New Roman" w:cs="Times New Roman" w:eastAsia="Times New Roman" w:hAnsi="Times New Roman"/>
          <w:sz w:val="18"/>
          <w:szCs w:val="18"/>
          <w:b w:val="1"/>
          <w:bCs w:val="1"/>
          <w:i w:val="1"/>
          <w:iCs w:val="1"/>
          <w:color w:val="212529"/>
        </w:rPr>
        <w:t>YA</w:t>
      </w:r>
      <w:r>
        <w:rPr>
          <w:rFonts w:ascii="Times New Roman" w:cs="Times New Roman" w:eastAsia="Times New Roman" w:hAnsi="Times New Roman"/>
          <w:sz w:val="18"/>
          <w:szCs w:val="18"/>
          <w:color w:val="212529"/>
        </w:rPr>
        <w:t>”), a Cayman Islands exempt limited company, which was amended and restated on February 2, 2024 to provide for, inter alia, Rezolve AI Limited joining as a party to the agreement (“</w:t>
      </w:r>
      <w:r>
        <w:rPr>
          <w:rFonts w:ascii="Times New Roman" w:cs="Times New Roman" w:eastAsia="Times New Roman" w:hAnsi="Times New Roman"/>
          <w:sz w:val="18"/>
          <w:szCs w:val="18"/>
          <w:b w:val="1"/>
          <w:bCs w:val="1"/>
          <w:i w:val="1"/>
          <w:iCs w:val="1"/>
          <w:color w:val="212529"/>
        </w:rPr>
        <w:t>YA Agreement</w:t>
      </w:r>
      <w:r>
        <w:rPr>
          <w:rFonts w:ascii="Times New Roman" w:cs="Times New Roman" w:eastAsia="Times New Roman" w:hAnsi="Times New Roman"/>
          <w:sz w:val="18"/>
          <w:szCs w:val="18"/>
          <w:color w:val="212529"/>
        </w:rPr>
        <w:t>”). Pursuant to the YA Agreement, Rezolve has the right to sell to YA up to $250,000,000 Ordinary Shares, subject to certain limitations and conditions set forth in the YA Agreement, from time to time during the term of the YA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0" w:name="page11"/>
    <w:bookmarkEnd w:id="10"/>
    <w:p>
      <w:pPr>
        <w:ind w:right="320" w:firstLine="749"/>
        <w:spacing w:after="0" w:line="266" w:lineRule="auto"/>
        <w:rPr>
          <w:sz w:val="20"/>
          <w:szCs w:val="20"/>
          <w:color w:val="auto"/>
        </w:rPr>
      </w:pPr>
      <w:r>
        <w:rPr>
          <w:rFonts w:ascii="Times New Roman" w:cs="Times New Roman" w:eastAsia="Times New Roman" w:hAnsi="Times New Roman"/>
          <w:sz w:val="18"/>
          <w:szCs w:val="18"/>
          <w:color w:val="212529"/>
        </w:rPr>
        <w:t>In connection with the amendment and restatement of the YA Agreement, on February 2, 2024, Rezolve Limited and Rezolve issued a convertible note with a total principal amount of $2.5 million (the “</w:t>
      </w:r>
      <w:r>
        <w:rPr>
          <w:rFonts w:ascii="Times New Roman" w:cs="Times New Roman" w:eastAsia="Times New Roman" w:hAnsi="Times New Roman"/>
          <w:sz w:val="18"/>
          <w:szCs w:val="18"/>
          <w:b w:val="1"/>
          <w:bCs w:val="1"/>
          <w:i w:val="1"/>
          <w:iCs w:val="1"/>
          <w:color w:val="212529"/>
        </w:rPr>
        <w:t>YA Note</w:t>
      </w:r>
      <w:r>
        <w:rPr>
          <w:rFonts w:ascii="Times New Roman" w:cs="Times New Roman" w:eastAsia="Times New Roman" w:hAnsi="Times New Roman"/>
          <w:sz w:val="18"/>
          <w:szCs w:val="18"/>
          <w:color w:val="212529"/>
        </w:rPr>
        <w:t>”) to YA, pursuant to the terms of a convertible promissory note instrument entered into by Rezolve Limited and Rezolve (“</w:t>
      </w:r>
      <w:r>
        <w:rPr>
          <w:rFonts w:ascii="Times New Roman" w:cs="Times New Roman" w:eastAsia="Times New Roman" w:hAnsi="Times New Roman"/>
          <w:sz w:val="18"/>
          <w:szCs w:val="18"/>
          <w:b w:val="1"/>
          <w:bCs w:val="1"/>
          <w:i w:val="1"/>
          <w:iCs w:val="1"/>
          <w:color w:val="212529"/>
        </w:rPr>
        <w:t>YA Note Instrument</w:t>
      </w:r>
      <w:r>
        <w:rPr>
          <w:rFonts w:ascii="Times New Roman" w:cs="Times New Roman" w:eastAsia="Times New Roman" w:hAnsi="Times New Roman"/>
          <w:sz w:val="18"/>
          <w:szCs w:val="18"/>
          <w:color w:val="212529"/>
        </w:rPr>
        <w:t>”).</w:t>
      </w:r>
    </w:p>
    <w:p>
      <w:pPr>
        <w:spacing w:after="0" w:line="280" w:lineRule="exact"/>
        <w:rPr>
          <w:sz w:val="20"/>
          <w:szCs w:val="20"/>
          <w:color w:val="auto"/>
        </w:rPr>
      </w:pPr>
    </w:p>
    <w:p>
      <w:pPr>
        <w:ind w:right="340" w:firstLine="749"/>
        <w:spacing w:after="0" w:line="256" w:lineRule="auto"/>
        <w:rPr>
          <w:sz w:val="20"/>
          <w:szCs w:val="20"/>
          <w:color w:val="auto"/>
        </w:rPr>
      </w:pPr>
      <w:r>
        <w:rPr>
          <w:rFonts w:ascii="Times New Roman" w:cs="Times New Roman" w:eastAsia="Times New Roman" w:hAnsi="Times New Roman"/>
          <w:sz w:val="18"/>
          <w:szCs w:val="18"/>
          <w:color w:val="212529"/>
        </w:rPr>
        <w:t>On September 6, 2024, YA and Rezolve amended and restated the YA Agreement (the “</w:t>
      </w:r>
      <w:r>
        <w:rPr>
          <w:rFonts w:ascii="Times New Roman" w:cs="Times New Roman" w:eastAsia="Times New Roman" w:hAnsi="Times New Roman"/>
          <w:sz w:val="18"/>
          <w:szCs w:val="18"/>
          <w:b w:val="1"/>
          <w:bCs w:val="1"/>
          <w:i w:val="1"/>
          <w:iCs w:val="1"/>
          <w:color w:val="212529"/>
        </w:rPr>
        <w:t>Second A&amp;R YA Agreement</w:t>
      </w:r>
      <w:r>
        <w:rPr>
          <w:rFonts w:ascii="Times New Roman" w:cs="Times New Roman" w:eastAsia="Times New Roman" w:hAnsi="Times New Roman"/>
          <w:sz w:val="18"/>
          <w:szCs w:val="18"/>
          <w:color w:val="212529"/>
        </w:rPr>
        <w:t>”) to incorporate an additional prepaid advance arrangement pursuant to which YA committed to provide Rezolve with prepaid advances in an aggregate original principal amount of an additional Seven Million Five Hundred Thousand Dollars ($7,500,000), payable in three tranches, with the first tranche in an original principal amount of Two Million Five Hundred Thousand Dollars ($2,500,000) that was funded as part of the Second YA Note (as defined below), the second tranche in an original principal amount of Two Million Five Hundred Thousand Dollars ($2,500,000) that was funded as part of the Second YA Note and the third tranche in an original principal amount of Two Million Five Hundred Thousand Dollars ($2,500,000) that was funded as part of the Third YA Note (as defined below). The Second A&amp;R YA Agreement superseded the original agreement.</w:t>
      </w:r>
    </w:p>
    <w:p>
      <w:pPr>
        <w:spacing w:after="0" w:line="29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212529"/>
        </w:rPr>
        <w:t>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8"/>
          <w:szCs w:val="18"/>
          <w:b w:val="1"/>
          <w:bCs w:val="1"/>
          <w:i w:val="1"/>
          <w:iCs w:val="1"/>
          <w:color w:val="212529"/>
        </w:rPr>
        <w:t>YA Note Amendment</w:t>
      </w:r>
      <w:r>
        <w:rPr>
          <w:rFonts w:ascii="Times New Roman" w:cs="Times New Roman" w:eastAsia="Times New Roman" w:hAnsi="Times New Roman"/>
          <w:sz w:val="18"/>
          <w:szCs w:val="18"/>
          <w:color w:val="212529"/>
        </w:rPr>
        <w:t>” and the YA Note, as amended by the YA Note Amendment, the “</w:t>
      </w:r>
      <w:r>
        <w:rPr>
          <w:rFonts w:ascii="Times New Roman" w:cs="Times New Roman" w:eastAsia="Times New Roman" w:hAnsi="Times New Roman"/>
          <w:sz w:val="18"/>
          <w:szCs w:val="18"/>
          <w:b w:val="1"/>
          <w:bCs w:val="1"/>
          <w:i w:val="1"/>
          <w:iCs w:val="1"/>
          <w:color w:val="212529"/>
        </w:rPr>
        <w:t>Amended YA Note</w:t>
      </w:r>
      <w:r>
        <w:rPr>
          <w:rFonts w:ascii="Times New Roman" w:cs="Times New Roman" w:eastAsia="Times New Roman" w:hAnsi="Times New Roman"/>
          <w:sz w:val="18"/>
          <w:szCs w:val="18"/>
          <w:color w:val="212529"/>
        </w:rPr>
        <w: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291"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212529"/>
        </w:rPr>
        <w:t>Also in connection with the Second A&amp;R YA Agreement, on September 9, 2024, Rezolve issued YA a promissory note in the principal amount of $5,000,000 (the “</w:t>
      </w:r>
      <w:r>
        <w:rPr>
          <w:rFonts w:ascii="Times New Roman" w:cs="Times New Roman" w:eastAsia="Times New Roman" w:hAnsi="Times New Roman"/>
          <w:sz w:val="18"/>
          <w:szCs w:val="18"/>
          <w:b w:val="1"/>
          <w:bCs w:val="1"/>
          <w:i w:val="1"/>
          <w:iCs w:val="1"/>
          <w:color w:val="212529"/>
        </w:rPr>
        <w:t>Second YA Note</w:t>
      </w:r>
      <w:r>
        <w:rPr>
          <w:rFonts w:ascii="Times New Roman" w:cs="Times New Roman" w:eastAsia="Times New Roman" w:hAnsi="Times New Roman"/>
          <w:sz w:val="18"/>
          <w:szCs w:val="18"/>
          <w:color w:val="212529"/>
        </w:rPr>
        <w:t>”), reflecting the first and second tranche of the prepaid advances, and on November 29, 2024, upon effectiveness of the F-1 Registration Statement originally filed with the U.S. Securities and Exchange Commission on September 6, 2024, and declared effective on November 27, 2024, Rezolve issued YA a promissory note in the principal amount of $2,500,000 (the "</w:t>
      </w:r>
      <w:r>
        <w:rPr>
          <w:rFonts w:ascii="Times New Roman" w:cs="Times New Roman" w:eastAsia="Times New Roman" w:hAnsi="Times New Roman"/>
          <w:sz w:val="18"/>
          <w:szCs w:val="18"/>
          <w:b w:val="1"/>
          <w:bCs w:val="1"/>
          <w:i w:val="1"/>
          <w:iCs w:val="1"/>
          <w:color w:val="212529"/>
        </w:rPr>
        <w:t>Third YA Note</w:t>
      </w:r>
      <w:r>
        <w:rPr>
          <w:rFonts w:ascii="Times New Roman" w:cs="Times New Roman" w:eastAsia="Times New Roman" w:hAnsi="Times New Roman"/>
          <w:sz w:val="18"/>
          <w:szCs w:val="18"/>
          <w:color w:val="212529"/>
        </w:rPr>
        <w:t>", and together with the Amended YA Note and Second YA Note, the "</w:t>
      </w:r>
      <w:r>
        <w:rPr>
          <w:rFonts w:ascii="Times New Roman" w:cs="Times New Roman" w:eastAsia="Times New Roman" w:hAnsi="Times New Roman"/>
          <w:sz w:val="18"/>
          <w:szCs w:val="18"/>
          <w:b w:val="1"/>
          <w:bCs w:val="1"/>
          <w:i w:val="1"/>
          <w:iCs w:val="1"/>
          <w:color w:val="212529"/>
        </w:rPr>
        <w:t>YA Notes</w:t>
      </w:r>
      <w:r>
        <w:rPr>
          <w:rFonts w:ascii="Times New Roman" w:cs="Times New Roman" w:eastAsia="Times New Roman" w:hAnsi="Times New Roman"/>
          <w:sz w:val="18"/>
          <w:szCs w:val="18"/>
          <w:color w:val="212529"/>
        </w:rPr>
        <w:t>").</w:t>
      </w:r>
    </w:p>
    <w:p>
      <w:pPr>
        <w:spacing w:after="0" w:line="291"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212529"/>
        </w:rPr>
        <w:t>In December 2024, the Company received the Noteholder's request to convert of all of the principal and interest outstanding under the YA Notes. In connection therewith, the Company issued an aggregate of 4,310,208 Ordinary Shares (including in payment of a fee to YA) in December 2024. A loss on extinguishment of $4,175,791 was recognized. As of December 31, 2024, $2,705,929 in principal and interest was outstanding, which was subsequently settled in 1,413,946 Ordinary Shares on February 5, 2025, and no further amounts remain outstanding.</w:t>
      </w:r>
    </w:p>
    <w:p>
      <w:pPr>
        <w:spacing w:after="0" w:line="288"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212529"/>
        </w:rPr>
        <w:t>Pursuant to the Second A&amp;R YA Agreement, we have the right to sell to YA up to $250 million ordinary shares of Rezolve, subject to certain limitations and conditions set forth in the Second A&amp;R YA Agreement, from time to time during the term of the Second A&amp;R YA Agreement. Sales of ordinary shares YA under the Second A&amp;R YA Agreement, and the timing of any such sales, are at our option, and we are under no obligation to sell any securities to YA under the Second A&amp;R YA Agreement. In accordance with our obligations under the Second A&amp;R YA Agreement, we have filed the registration statement of which this prospectus forms a part with the Securities and Exchange Commission (the “SEC”) to register under the Securities Act the resale by YA of up to 4,838,779 ordinary shares that we may elect, in our sole discretion, to issue and sell to YA, from time to time under the Second A&amp;R YA Agreement. From time to time at our discretion until August 23, 2027, upon the satisfaction of the conditions to YA’s purchase obligation set forth in the Second A&amp;R YA Agreement, including that the registration statement of which this prospectus forms a part be declared effective by the SEC and the final form of this prospectus is filed with the SEC, we will have the right, but not the obligation to direct YA to purchase a specified number of ordinary shares (each such sale, an “Advance”) by delivering written notice to YA (each, an “Advance Notice”). While there is no mandatory minimum amount for any Advance, it may not to exceed the greater of (i) 2,000,000; or (ii) 100.0% of the average of the daily trading volume of the ordinary shares on the five consecutive trading days immediately preceding an Advance Notice. The per share purchase price for the ordinary shares, if any, that we elect to sell to YA in an Advance pursuant to the Second A&amp;R YA Agreement will be determined by reference to the volume weighted average price of our ordinary shares (the “VWAP”) and calculated in accordance with the Second A&amp;R YA Agreement; provided, however, that the Company may establish a minimum acceptable price in certain Advance Notices, as specified in the Second A&amp;R YA Agreement, below which it shall not be obligated to make any sales to YA. There is no upper limit on the price per share that YA could be obligated to pay for the ordinary shares we may elect to sell to it in any Advance. We will control the timing and amount of any sales of ordinary shares to YA. Actual sales of shares of our ordinary shares to YA under the Second A&amp;R YA Agreement will depend on a variety of factors to be determined by us from time to time, which may include, among other things, market conditions, the trading price of our ordinary shares, and determinations by us as to the appropriate sources of funding for our business and its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617220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1" w:name="page12"/>
    <w:bookmarkEnd w:id="11"/>
    <w:p>
      <w:pPr>
        <w:ind w:firstLine="749"/>
        <w:spacing w:after="0" w:line="253" w:lineRule="auto"/>
        <w:rPr>
          <w:sz w:val="20"/>
          <w:szCs w:val="20"/>
          <w:color w:val="auto"/>
        </w:rPr>
      </w:pPr>
      <w:r>
        <w:rPr>
          <w:rFonts w:ascii="Times New Roman" w:cs="Times New Roman" w:eastAsia="Times New Roman" w:hAnsi="Times New Roman"/>
          <w:sz w:val="18"/>
          <w:szCs w:val="18"/>
          <w:color w:val="212529"/>
        </w:rPr>
        <w:t>Under the applicable rules of The Nasdaq Stock Market LLC (“Nasdaq”), in no event may we issue to YA under the Second A&amp;R YA Agreement more than 34,419,336 ordinary shares, which number of shares is equal to 19.99% of the aggregate number of shares of ordinary shares issued and outstanding as of the "Effective Date", as such term is defined in the Second A&amp;R YA Agreement (the “Exchange Cap”), unless (i) we obtain stockholder approval to issue ordinary shares in excess of the Exchange Cap in accordance with applicable Nasdaq rules, (ii) all applicable sales of ordinary shares under the Second A&amp;R YA Agreement equal or exceed the “Minimum Price” (as such term is defined in Nasdaq Rule 5635), or (iii) as to any Advance, the issuance of ordinary shares pursuant to an Advance Notice would be excluded from the Exchange Cap under Nasdaq rules (or interpretive guidance provided by Nasdaq with respect thereto). Moreover, we may not issue or sell any ordinary shares to YA under the Second A&amp;R YA Agreement which, when aggregated with all other ordinary shares then beneficially owned by YA and its affiliates (as calculated pursuant to Section 13(d) of the U.S. Securities Exchange Act of 1934, as amended (the “Exchange Act”), and Rule 13d-3 promulgated thereunder), would result in YA beneficially owning more than 4.99% of the then outstanding voting power or number of ordinary shares (the “Ownership Limitation”).</w:t>
      </w:r>
    </w:p>
    <w:p>
      <w:pPr>
        <w:spacing w:after="0" w:line="30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212529"/>
        </w:rPr>
        <w:t>Pursuant to the terms of the Second A&amp;R YA Agreement, the Exchange Cap will not apply if the Company is permitted to follow its home country practices instead of the stockholder approval requirements of Nasdaq Rule 5635, and has made such election to follow home country practice in accordance with the Nasdaq Rules. On December 18, 2024, we notified Nasdaq that we intend to follow our home country practice in lieu of following Nasdaq rule Rule 5635, which requires that a listed company obtain shareholder approval prior to an issuance of securities in connection with: (i) the acquisition of the stock or assets of another company; (ii) equity-based compensation of officers, directors, employees or consultants; (iii) a change of control; and (iv) private placements of common stock (or securities convertible into or exercisable for common stock) equal to 20% or more of the common stock or 20% or more of the voting power outstanding before the issuance for less than the greater of book or market value of the stock.</w:t>
      </w:r>
    </w:p>
    <w:p>
      <w:pPr>
        <w:spacing w:after="0" w:line="29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212529"/>
        </w:rPr>
        <w:t>The net proceeds from sales, if any, under the Second A&amp;R YA Agreement to us will depend on the frequency and prices at which we sell shares to YA. We expect that any proceeds received by us from such sales to YA will be used for working capital and general corporate purposes, including the repayment of debt. YA has agreed that it and its affiliates will not engage in any short sales of the ordinary shares nor enter into any transaction that establishes a net short position in the ordinary shares during the term of the Second A&amp;R YA Agreement. The Second A&amp;R YA Agreement will automatically terminate on the earlier to occur of (i) August 23, 2027 and (ii) the date on which YA shall have purchased from us under the Second A&amp;R YA Agreement ordinary shares for an aggregate gross purchase price of $250 million. We have the right to terminate the Second A&amp;R YA Agreement at no cost or penalty upon five trading days’ prior written notice to YA; provided that there are no outstanding Advance Notices and all outstanding amounts the Company owes to YA pursuant to the Second A&amp;R YA Agreement are repaid. We and YA may also agree to terminate the Second A&amp;R YA Agreement by mutual written consent. Neither we nor YA may assign or transfer our respective rights and obligations under the Second A&amp;R YA Agreement, and no provision of the Second A&amp;R YA Agreement may be modified or waived by us or YA other than by an instrument in writing signed by both parties.</w:t>
      </w:r>
    </w:p>
    <w:p>
      <w:pPr>
        <w:spacing w:after="0" w:line="300"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212529"/>
        </w:rPr>
        <w:t>The Second A&amp;R YA Agreement contains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Convertible Promissory Notes and Warrants</w:t>
      </w:r>
    </w:p>
    <w:p>
      <w:pPr>
        <w:spacing w:after="0" w:line="121" w:lineRule="exact"/>
        <w:rPr>
          <w:sz w:val="20"/>
          <w:szCs w:val="20"/>
          <w:color w:val="auto"/>
        </w:rPr>
      </w:pPr>
    </w:p>
    <w:p>
      <w:pPr>
        <w:ind w:right="140" w:firstLine="576"/>
        <w:spacing w:after="0" w:line="261"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(all on substantially the same terms) with Rezolve Limited and Rezolve (“</w:t>
      </w:r>
      <w:r>
        <w:rPr>
          <w:rFonts w:ascii="Times New Roman" w:cs="Times New Roman" w:eastAsia="Times New Roman" w:hAnsi="Times New Roman"/>
          <w:sz w:val="18"/>
          <w:szCs w:val="18"/>
          <w:b w:val="1"/>
          <w:bCs w:val="1"/>
          <w:i w:val="1"/>
          <w:iCs w:val="1"/>
          <w:color w:val="auto"/>
        </w:rPr>
        <w:t>Subscription Agreements</w:t>
      </w:r>
      <w:r>
        <w:rPr>
          <w:rFonts w:ascii="Times New Roman" w:cs="Times New Roman" w:eastAsia="Times New Roman" w:hAnsi="Times New Roman"/>
          <w:sz w:val="18"/>
          <w:szCs w:val="18"/>
          <w:color w:val="auto"/>
        </w:rPr>
        <w:t>”) to subscribe for convertible promissory notes with a total principal amount of $2,849,906 (the “</w:t>
      </w:r>
      <w:r>
        <w:rPr>
          <w:rFonts w:ascii="Times New Roman" w:cs="Times New Roman" w:eastAsia="Times New Roman" w:hAnsi="Times New Roman"/>
          <w:sz w:val="18"/>
          <w:szCs w:val="18"/>
          <w:b w:val="1"/>
          <w:bCs w:val="1"/>
          <w:i w:val="1"/>
          <w:iCs w:val="1"/>
          <w:color w:val="auto"/>
        </w:rPr>
        <w:t>Promissory Notes</w:t>
      </w:r>
      <w:r>
        <w:rPr>
          <w:rFonts w:ascii="Times New Roman" w:cs="Times New Roman" w:eastAsia="Times New Roman" w:hAnsi="Times New Roman"/>
          <w:sz w:val="18"/>
          <w:szCs w:val="18"/>
          <w:color w:val="auto"/>
        </w:rPr>
        <w:t>”) in consideration for an advance by each subscriber to Rezolve Limited of an amount equal to 80% of the principal amount subscribed (such amount being the “</w:t>
      </w:r>
      <w:r>
        <w:rPr>
          <w:rFonts w:ascii="Times New Roman" w:cs="Times New Roman" w:eastAsia="Times New Roman" w:hAnsi="Times New Roman"/>
          <w:sz w:val="18"/>
          <w:szCs w:val="18"/>
          <w:b w:val="1"/>
          <w:bCs w:val="1"/>
          <w:i w:val="1"/>
          <w:iCs w:val="1"/>
          <w:color w:val="auto"/>
        </w:rPr>
        <w:t>Net Investment Amount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40" w:firstLine="576"/>
        <w:spacing w:after="0" w:line="282" w:lineRule="auto"/>
        <w:rPr>
          <w:sz w:val="20"/>
          <w:szCs w:val="20"/>
          <w:color w:val="auto"/>
        </w:rPr>
      </w:pPr>
      <w:r>
        <w:rPr>
          <w:rFonts w:ascii="Times New Roman" w:cs="Times New Roman" w:eastAsia="Times New Roman" w:hAnsi="Times New Roman"/>
          <w:sz w:val="18"/>
          <w:szCs w:val="18"/>
          <w:color w:val="auto"/>
        </w:rPr>
        <w:t>The Promissory Notes were issued during the course of February, 2024 pursuant to the terms of convertible promissory note instruments entered into by Rezolve Limited and Rezolve (all on substantially the same terms) in favour of the subscribers (“</w:t>
      </w:r>
      <w:r>
        <w:rPr>
          <w:rFonts w:ascii="Times New Roman" w:cs="Times New Roman" w:eastAsia="Times New Roman" w:hAnsi="Times New Roman"/>
          <w:sz w:val="18"/>
          <w:szCs w:val="18"/>
          <w:b w:val="1"/>
          <w:bCs w:val="1"/>
          <w:i w:val="1"/>
          <w:iCs w:val="1"/>
          <w:color w:val="auto"/>
        </w:rPr>
        <w:t>Promissory Note Instruments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60" w:firstLine="576"/>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were novated to Rezolve AI Limited.</w:t>
      </w:r>
    </w:p>
    <w:p>
      <w:pPr>
        <w:spacing w:after="0" w:line="162" w:lineRule="exact"/>
        <w:rPr>
          <w:sz w:val="20"/>
          <w:szCs w:val="20"/>
          <w:color w:val="auto"/>
        </w:rPr>
      </w:pPr>
    </w:p>
    <w:p>
      <w:pPr>
        <w:ind w:right="280" w:firstLine="576"/>
        <w:spacing w:after="0" w:line="266"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(save where an event of default has occurred and is continuing, an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interest rate will apply). The Promissory Notes are freely transferrable in whole or in part, subject to the terms of the Promissory Notes Instrument.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Promissory Notes are convertible into Ordinary Shares pursuant to their terms. The noteholders may elect to convert all or part of the amount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under their Promissory Note into Ordinary Shares at the “</w:t>
      </w:r>
      <w:r>
        <w:rPr>
          <w:rFonts w:ascii="Times New Roman" w:cs="Times New Roman" w:eastAsia="Times New Roman" w:hAnsi="Times New Roman"/>
          <w:sz w:val="18"/>
          <w:szCs w:val="18"/>
          <w:b w:val="1"/>
          <w:bCs w:val="1"/>
          <w:i w:val="1"/>
          <w:iCs w:val="1"/>
          <w:color w:val="auto"/>
        </w:rPr>
        <w:t>Promissory Note Conversion Price</w:t>
      </w:r>
      <w:r>
        <w:rPr>
          <w:rFonts w:ascii="Times New Roman" w:cs="Times New Roman" w:eastAsia="Times New Roman" w:hAnsi="Times New Roman"/>
          <w:sz w:val="18"/>
          <w:szCs w:val="18"/>
          <w:color w:val="auto"/>
        </w:rPr>
        <w:t>” (being the lower of (i) $10 per share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Promissory Note Conversion Fixed Price</w:t>
      </w:r>
      <w:r>
        <w:rPr>
          <w:rFonts w:ascii="Times New Roman" w:cs="Times New Roman" w:eastAsia="Times New Roman" w:hAnsi="Times New Roman"/>
          <w:sz w:val="18"/>
          <w:szCs w:val="18"/>
          <w:color w:val="auto"/>
        </w:rPr>
        <w:t>”) or (ii) 90% of the lowest daily VWAP during the ten (10) consecutive trading days immediately preceding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date or other date of determination (the “</w:t>
      </w:r>
      <w:r>
        <w:rPr>
          <w:rFonts w:ascii="Times New Roman" w:cs="Times New Roman" w:eastAsia="Times New Roman" w:hAnsi="Times New Roman"/>
          <w:sz w:val="18"/>
          <w:szCs w:val="18"/>
          <w:b w:val="1"/>
          <w:bCs w:val="1"/>
          <w:i w:val="1"/>
          <w:iCs w:val="1"/>
          <w:color w:val="auto"/>
        </w:rPr>
        <w:t>Variable Price</w:t>
      </w:r>
      <w:r>
        <w:rPr>
          <w:rFonts w:ascii="Times New Roman" w:cs="Times New Roman" w:eastAsia="Times New Roman" w:hAnsi="Times New Roman"/>
          <w:sz w:val="18"/>
          <w:szCs w:val="18"/>
          <w:color w:val="auto"/>
        </w:rPr>
        <w:t>”) but which Variable Price shall not be lower than the “</w:t>
      </w:r>
      <w:r>
        <w:rPr>
          <w:rFonts w:ascii="Times New Roman" w:cs="Times New Roman" w:eastAsia="Times New Roman" w:hAnsi="Times New Roman"/>
          <w:sz w:val="18"/>
          <w:szCs w:val="18"/>
          <w:b w:val="1"/>
          <w:bCs w:val="1"/>
          <w:i w:val="1"/>
          <w:iCs w:val="1"/>
          <w:color w:val="auto"/>
        </w:rPr>
        <w:t>Promissory Note Conversion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Floor Price</w:t>
      </w:r>
      <w:r>
        <w:rPr>
          <w:rFonts w:ascii="Times New Roman" w:cs="Times New Roman" w:eastAsia="Times New Roman" w:hAnsi="Times New Roman"/>
          <w:sz w:val="18"/>
          <w:szCs w:val="18"/>
          <w:color w:val="auto"/>
        </w:rPr>
        <w:t>” (being $2.00 per share unless reduced by Rezolve) then in effect), however subject to the conversion limitation whereby the issue of Ordinary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upon conversion would not exceed the number of Ordinary Shares that Rezolve AI Limited may issue in a transaction in compliance with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under rules or regulations of Nasdaq (the “</w:t>
      </w:r>
      <w:r>
        <w:rPr>
          <w:rFonts w:ascii="Times New Roman" w:cs="Times New Roman" w:eastAsia="Times New Roman" w:hAnsi="Times New Roman"/>
          <w:sz w:val="18"/>
          <w:szCs w:val="18"/>
          <w:b w:val="1"/>
          <w:bCs w:val="1"/>
          <w:i w:val="1"/>
          <w:iCs w:val="1"/>
          <w:color w:val="auto"/>
        </w:rPr>
        <w:t>Promissory Note Exchange Cap</w:t>
      </w:r>
      <w:r>
        <w:rPr>
          <w:rFonts w:ascii="Times New Roman" w:cs="Times New Roman" w:eastAsia="Times New Roman" w:hAnsi="Times New Roman"/>
          <w:sz w:val="18"/>
          <w:szCs w:val="18"/>
          <w:color w:val="auto"/>
        </w:rPr>
        <w:t>”) (unless Rezolve AI Limited shareholders have approved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issuances, or if Rezolve AI Limited is permitted to follow (and has elected to do so) its home country practices instead of the stockholder approval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of Nasdaq Rule 5635).</w:t>
      </w:r>
    </w:p>
    <w:p>
      <w:pPr>
        <w:spacing w:after="0" w:line="207" w:lineRule="exact"/>
        <w:rPr>
          <w:sz w:val="20"/>
          <w:szCs w:val="20"/>
          <w:color w:val="auto"/>
        </w:rPr>
      </w:pPr>
    </w:p>
    <w:p>
      <w:pPr>
        <w:ind w:right="20" w:firstLine="576"/>
        <w:spacing w:after="0" w:line="258" w:lineRule="auto"/>
        <w:rPr>
          <w:sz w:val="20"/>
          <w:szCs w:val="20"/>
          <w:color w:val="auto"/>
        </w:rPr>
      </w:pPr>
      <w:r>
        <w:rPr>
          <w:rFonts w:ascii="Times New Roman" w:cs="Times New Roman" w:eastAsia="Times New Roman" w:hAnsi="Times New Roman"/>
          <w:sz w:val="18"/>
          <w:szCs w:val="18"/>
          <w:color w:val="auto"/>
        </w:rPr>
        <w:t>Rezolve AI Limited has the right to redeem early a portion or all amounts outstanding under the Promissory Notes pursuant to a Redemption Notice, provided that on the date of the Redemption Notice the VWAP of the ordinary shares in Rezolve AI Limited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183"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auto"/>
        </w:rPr>
        <w:t>If a Trigger Event occurs (being where (i) the daily VWAP is less than the Floor Price for five (5) trading days during a period of seven (7) consecutive trading days (the “</w:t>
      </w:r>
      <w:r>
        <w:rPr>
          <w:rFonts w:ascii="Times New Roman" w:cs="Times New Roman" w:eastAsia="Times New Roman" w:hAnsi="Times New Roman"/>
          <w:sz w:val="18"/>
          <w:szCs w:val="18"/>
          <w:b w:val="1"/>
          <w:bCs w:val="1"/>
          <w:i w:val="1"/>
          <w:iCs w:val="1"/>
          <w:color w:val="auto"/>
        </w:rPr>
        <w:t>Promissory Note Conversion Floor Price Trigger</w:t>
      </w:r>
      <w:r>
        <w:rPr>
          <w:rFonts w:ascii="Times New Roman" w:cs="Times New Roman" w:eastAsia="Times New Roman" w:hAnsi="Times New Roman"/>
          <w:sz w:val="18"/>
          <w:szCs w:val="18"/>
          <w:color w:val="auto"/>
        </w:rPr>
        <w:t>”), or (ii) Rezolve AI Limited has issued in excess of 99% of the Ordinary Shares available under the Promissory Note Exchange Cap unless Rezolve AI Limited 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8"/>
          <w:szCs w:val="18"/>
          <w:b w:val="1"/>
          <w:bCs w:val="1"/>
          <w:i w:val="1"/>
          <w:iCs w:val="1"/>
          <w:color w:val="auto"/>
        </w:rPr>
        <w:t>Promissory Note Conversion Exchange Cap Trigger</w:t>
      </w:r>
      <w:r>
        <w:rPr>
          <w:rFonts w:ascii="Times New Roman" w:cs="Times New Roman" w:eastAsia="Times New Roman" w:hAnsi="Times New Roman"/>
          <w:sz w:val="18"/>
          <w:szCs w:val="18"/>
          <w:color w:val="auto"/>
        </w:rPr>
        <w:t>”)), then Rezolve AI Limited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Limited reduces the Promissory Note Floor Price (in accordance with its rights to do so under the Promissory Note Instruments), or (ii) in the event of a Promissory Note Exchange Cap Trigger, the date Rezolve AI Limited has obtained stockholder approval to increase the number of Ordinary Shares under the Promissory Note Exchange Cap (or if the Promissory Note Exchange Cap no longer applies), unless a subsequent Trigger Event occurs.</w:t>
      </w:r>
    </w:p>
    <w:p>
      <w:pPr>
        <w:spacing w:after="0" w:line="190" w:lineRule="exact"/>
        <w:rPr>
          <w:sz w:val="20"/>
          <w:szCs w:val="20"/>
          <w:color w:val="auto"/>
        </w:rPr>
      </w:pPr>
    </w:p>
    <w:p>
      <w:pPr>
        <w:ind w:right="340" w:firstLine="576"/>
        <w:spacing w:after="0" w:line="266" w:lineRule="auto"/>
        <w:rPr>
          <w:sz w:val="20"/>
          <w:szCs w:val="20"/>
          <w:color w:val="auto"/>
        </w:rPr>
      </w:pPr>
      <w:r>
        <w:rPr>
          <w:rFonts w:ascii="Times New Roman" w:cs="Times New Roman" w:eastAsia="Times New Roman" w:hAnsi="Times New Roman"/>
          <w:sz w:val="18"/>
          <w:szCs w:val="18"/>
          <w:color w:val="auto"/>
        </w:rPr>
        <w:t>On December 30, 2024, the Company repaid $1,472,231 of principal and interest to noteholders and related persons. As at December 31, 2024, certain noteholders and related parties have agreed to convert an aggregate of $1,189,096 of principal and interest into 425,288 Ordinary Shares. The outstanding balance at December 31, 2024 is $406,238, which the Company intends to settle by conversion into Ordinary Shares.</w:t>
      </w:r>
    </w:p>
    <w:p>
      <w:pPr>
        <w:spacing w:after="0" w:line="172" w:lineRule="exact"/>
        <w:rPr>
          <w:sz w:val="20"/>
          <w:szCs w:val="20"/>
          <w:color w:val="auto"/>
        </w:rPr>
      </w:pPr>
    </w:p>
    <w:p>
      <w:pPr>
        <w:ind w:right="120" w:firstLine="576"/>
        <w:spacing w:after="0" w:line="255" w:lineRule="auto"/>
        <w:rPr>
          <w:sz w:val="20"/>
          <w:szCs w:val="20"/>
          <w:color w:val="auto"/>
        </w:rPr>
      </w:pPr>
      <w:r>
        <w:rPr>
          <w:rFonts w:ascii="Times New Roman" w:cs="Times New Roman" w:eastAsia="Times New Roman" w:hAnsi="Times New Roman"/>
          <w:sz w:val="18"/>
          <w:szCs w:val="18"/>
          <w:color w:val="auto"/>
        </w:rPr>
        <w:t>On August 14, 2024, Armada issued a promissory note to J.V.B. Financial Group, LLC (“</w:t>
      </w:r>
      <w:r>
        <w:rPr>
          <w:rFonts w:ascii="Times New Roman" w:cs="Times New Roman" w:eastAsia="Times New Roman" w:hAnsi="Times New Roman"/>
          <w:sz w:val="18"/>
          <w:szCs w:val="18"/>
          <w:b w:val="1"/>
          <w:bCs w:val="1"/>
          <w:i w:val="1"/>
          <w:iCs w:val="1"/>
          <w:color w:val="auto"/>
        </w:rPr>
        <w:t>JVB</w:t>
      </w:r>
      <w:r>
        <w:rPr>
          <w:rFonts w:ascii="Times New Roman" w:cs="Times New Roman" w:eastAsia="Times New Roman" w:hAnsi="Times New Roman"/>
          <w:sz w:val="18"/>
          <w:szCs w:val="18"/>
          <w:color w:val="auto"/>
        </w:rPr>
        <w:t>”) for an amount of $7,500,000 and agreed to pay interest on the principal amount outstanding from time to time from August 14, 2024, until the note is fully paid, at the rate of 4.95% per annum. The note is to be repaid in installments of $625,000 (the “</w:t>
      </w:r>
      <w:r>
        <w:rPr>
          <w:rFonts w:ascii="Times New Roman" w:cs="Times New Roman" w:eastAsia="Times New Roman" w:hAnsi="Times New Roman"/>
          <w:sz w:val="18"/>
          <w:szCs w:val="18"/>
          <w:b w:val="1"/>
          <w:bCs w:val="1"/>
          <w:i w:val="1"/>
          <w:iCs w:val="1"/>
          <w:color w:val="auto"/>
        </w:rPr>
        <w:t>JVB Amortization Payment</w:t>
      </w:r>
      <w:r>
        <w:rPr>
          <w:rFonts w:ascii="Times New Roman" w:cs="Times New Roman" w:eastAsia="Times New Roman" w:hAnsi="Times New Roman"/>
          <w:sz w:val="18"/>
          <w:szCs w:val="18"/>
          <w:color w:val="auto"/>
        </w:rPr>
        <w:t>”) beginning on January 31, 2025, and on each month end thereafter until December 31, 2025. Armada may, in its sole discretion, elect to pay all or any portion of the Amortization Payment or any interest due and payable on the maturity date in Ordinary Shares, with the number of such shares determined by dividing the JVB Amortization Payment by a price per Ordinary Share equal to 95% of the arithmetic average of the daily VWAP for the 5 days ending on the day immediately preceding the due date of the JVB Amortization Payment. All of Armada’s obligations under the Note were guaranteed by the Company and Rezolve Limited. On February 26, 2025, the Company issued 778,165 ordinary shares to settle $2,000,000 of principle outstanding to the JVB promissory note.</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On August 14, 2024 Armada issued a promissory note to pay to Cohen &amp; Company Financial Management LLC (“</w:t>
      </w:r>
      <w:r>
        <w:rPr>
          <w:rFonts w:ascii="Times New Roman" w:cs="Times New Roman" w:eastAsia="Times New Roman" w:hAnsi="Times New Roman"/>
          <w:sz w:val="18"/>
          <w:szCs w:val="18"/>
          <w:b w:val="1"/>
          <w:bCs w:val="1"/>
          <w:i w:val="1"/>
          <w:iCs w:val="1"/>
          <w:color w:val="auto"/>
        </w:rPr>
        <w:t>Cohen</w:t>
      </w:r>
      <w:r>
        <w:rPr>
          <w:rFonts w:ascii="Times New Roman" w:cs="Times New Roman" w:eastAsia="Times New Roman" w:hAnsi="Times New Roman"/>
          <w:sz w:val="18"/>
          <w:szCs w:val="18"/>
          <w:color w:val="auto"/>
        </w:rPr>
        <w:t>”) as an agent for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Sponsor, in the principal sum of $3,144,883.06 (the “</w:t>
      </w:r>
      <w:r>
        <w:rPr>
          <w:rFonts w:ascii="Times New Roman" w:cs="Times New Roman" w:eastAsia="Times New Roman" w:hAnsi="Times New Roman"/>
          <w:sz w:val="18"/>
          <w:szCs w:val="18"/>
          <w:b w:val="1"/>
          <w:bCs w:val="1"/>
          <w:i w:val="1"/>
          <w:iCs w:val="1"/>
          <w:color w:val="auto"/>
        </w:rPr>
        <w:t>Original Cohen Amount</w:t>
      </w:r>
      <w:r>
        <w:rPr>
          <w:rFonts w:ascii="Times New Roman" w:cs="Times New Roman" w:eastAsia="Times New Roman" w:hAnsi="Times New Roman"/>
          <w:sz w:val="18"/>
          <w:szCs w:val="18"/>
          <w:color w:val="auto"/>
        </w:rPr>
        <w:t>”), with the Original Cohen Amount, the accrued interest thereon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due and payable (unless prepaid earlier or converted into shares of common stock) on August 14, 2027 (the “</w:t>
      </w:r>
      <w:r>
        <w:rPr>
          <w:rFonts w:ascii="Times New Roman" w:cs="Times New Roman" w:eastAsia="Times New Roman" w:hAnsi="Times New Roman"/>
          <w:sz w:val="18"/>
          <w:szCs w:val="18"/>
          <w:b w:val="1"/>
          <w:bCs w:val="1"/>
          <w:i w:val="1"/>
          <w:iCs w:val="1"/>
          <w:color w:val="auto"/>
        </w:rPr>
        <w:t>Maturity Date</w:t>
      </w:r>
      <w:r>
        <w:rPr>
          <w:rFonts w:ascii="Times New Roman" w:cs="Times New Roman" w:eastAsia="Times New Roman" w:hAnsi="Times New Roman"/>
          <w:sz w:val="18"/>
          <w:szCs w:val="18"/>
          <w:color w:val="auto"/>
        </w:rPr>
        <w:t>’). The note bears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at 4.95% per annum. Starting from January 31, 2025, upon Cohen’s request, the Company shall pay Cohen the principal amount plus all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in increments of 1/18 of the outstanding principal amount (the “</w:t>
      </w:r>
      <w:r>
        <w:rPr>
          <w:rFonts w:ascii="Times New Roman" w:cs="Times New Roman" w:eastAsia="Times New Roman" w:hAnsi="Times New Roman"/>
          <w:sz w:val="18"/>
          <w:szCs w:val="18"/>
          <w:b w:val="1"/>
          <w:bCs w:val="1"/>
          <w:i w:val="1"/>
          <w:iCs w:val="1"/>
          <w:color w:val="auto"/>
        </w:rPr>
        <w:t>Cohen Amortization Payment</w:t>
      </w:r>
      <w:r>
        <w:rPr>
          <w:rFonts w:ascii="Times New Roman" w:cs="Times New Roman" w:eastAsia="Times New Roman" w:hAnsi="Times New Roman"/>
          <w:sz w:val="18"/>
          <w:szCs w:val="18"/>
          <w:color w:val="auto"/>
        </w:rPr>
        <w:t>”) on a date determined by Cohen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Payment Date</w:t>
      </w:r>
      <w:r>
        <w:rPr>
          <w:rFonts w:ascii="Times New Roman" w:cs="Times New Roman" w:eastAsia="Times New Roman" w:hAnsi="Times New Roman"/>
          <w:sz w:val="18"/>
          <w:szCs w:val="18"/>
          <w:color w:val="auto"/>
        </w:rPr>
        <w:t>”) until the Original Cohen Amount has been paid in full prior to or on the Maturity Date or, if earlier, upon acceleration, of prepayment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 in accordance with the terms of the note. At the option of the Company, the Cohen Amortization Payments shall be made in cash or in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3" w:name="page14"/>
    <w:bookmarkEnd w:id="13"/>
    <w:p>
      <w:pPr>
        <w:ind w:right="100"/>
        <w:spacing w:after="0" w:line="261" w:lineRule="auto"/>
        <w:rPr>
          <w:sz w:val="20"/>
          <w:szCs w:val="20"/>
          <w:color w:val="auto"/>
        </w:rPr>
      </w:pPr>
      <w:r>
        <w:rPr>
          <w:rFonts w:ascii="Times New Roman" w:cs="Times New Roman" w:eastAsia="Times New Roman" w:hAnsi="Times New Roman"/>
          <w:sz w:val="18"/>
          <w:szCs w:val="18"/>
          <w:color w:val="auto"/>
        </w:rPr>
        <w:t>ordinary shares of the Company, based on the price described in the promissory note. From and after January 15, 2025, Cohen shall have the right, at Cohen’s sole option, on any business day, to convert at the conversion price described in the note all or any portion of the outstanding principal amount of the note up to an amount described in the note. The promissory note was settled on February 10, 2025 by issuing ordinary shares, and no further amounts remain outstanding.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100" w:firstLine="576"/>
        <w:spacing w:after="0" w:line="256" w:lineRule="auto"/>
        <w:rPr>
          <w:sz w:val="20"/>
          <w:szCs w:val="20"/>
          <w:color w:val="auto"/>
        </w:rPr>
      </w:pPr>
      <w:r>
        <w:rPr>
          <w:rFonts w:ascii="Times New Roman" w:cs="Times New Roman" w:eastAsia="Times New Roman" w:hAnsi="Times New Roman"/>
          <w:sz w:val="18"/>
          <w:szCs w:val="18"/>
          <w:color w:val="auto"/>
        </w:rPr>
        <w:t>The Company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187"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 xml:space="preserve">The Ordinary Shares and Public Warrants are listed on Nasdaq under the symbols “RZLV” and “RZLVW,” respectively. The mailing address of the Company’s registered office is 21 Sackville Street, London, W1S 3DN, United Kingdom, +44 204 625 9700 and its principal executive office is 21 Sackville Street, London, W1S 3DN, United Kingdom. Our website address is </w:t>
      </w:r>
      <w:r>
        <w:rPr>
          <w:rFonts w:ascii="Times New Roman" w:cs="Times New Roman" w:eastAsia="Times New Roman" w:hAnsi="Times New Roman"/>
          <w:sz w:val="18"/>
          <w:szCs w:val="18"/>
          <w:i w:val="1"/>
          <w:iCs w:val="1"/>
          <w:color w:val="auto"/>
        </w:rPr>
        <w:t>www.rezolve.com.</w:t>
      </w:r>
      <w:r>
        <w:rPr>
          <w:rFonts w:ascii="Times New Roman" w:cs="Times New Roman" w:eastAsia="Times New Roman" w:hAnsi="Times New Roman"/>
          <w:sz w:val="18"/>
          <w:szCs w:val="18"/>
          <w:color w:val="auto"/>
        </w:rPr>
        <w:t xml:space="preserve"> Our website and the information contained on, or that can be accessed through, our website is not deemed to be incorporated by reference in, and is not considered part of, this 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right="40" w:firstLine="576"/>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3" w:lineRule="exact"/>
        <w:rPr>
          <w:sz w:val="20"/>
          <w:szCs w:val="20"/>
          <w:color w:val="auto"/>
        </w:rPr>
      </w:pPr>
    </w:p>
    <w:p>
      <w:pPr>
        <w:ind w:right="80" w:firstLine="576"/>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92" w:lineRule="exact"/>
        <w:rPr>
          <w:sz w:val="20"/>
          <w:szCs w:val="20"/>
          <w:color w:val="auto"/>
        </w:rPr>
      </w:pPr>
    </w:p>
    <w:p>
      <w:pPr>
        <w:ind w:right="20" w:firstLine="576"/>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(i) the last day of the fiscal year (a) following the fifth anniversary of the closing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References herein to “emerging growth company” shall have the meaning associated with it in the JOBS 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ind w:right="40" w:firstLine="576"/>
        <w:spacing w:after="0" w:line="261" w:lineRule="auto"/>
        <w:rPr>
          <w:sz w:val="20"/>
          <w:szCs w:val="20"/>
          <w:color w:val="auto"/>
        </w:rPr>
      </w:pPr>
      <w:r>
        <w:rPr>
          <w:rFonts w:ascii="Times New Roman" w:cs="Times New Roman" w:eastAsia="Times New Roman" w:hAnsi="Times New Roman"/>
          <w:sz w:val="18"/>
          <w:szCs w:val="18"/>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 authorizations, those related to the public reporting of insider stock ownership and trading activities, and those requiring the filing with the SEC of quarterly reports on Form 10-Q or current reports on Form 8-K.</w:t>
      </w:r>
    </w:p>
    <w:p>
      <w:pPr>
        <w:spacing w:after="0" w:line="180" w:lineRule="exact"/>
        <w:rPr>
          <w:sz w:val="20"/>
          <w:szCs w:val="20"/>
          <w:color w:val="auto"/>
        </w:rPr>
      </w:pPr>
    </w:p>
    <w:p>
      <w:pPr>
        <w:ind w:right="120" w:firstLine="576"/>
        <w:spacing w:after="0" w:line="266"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officers, directors and principal shareholders are not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4" w:name="page15"/>
    <w:bookmarkEnd w:id="14"/>
    <w:p>
      <w:pPr>
        <w:ind w:right="400"/>
        <w:spacing w:after="0" w:line="282" w:lineRule="auto"/>
        <w:rPr>
          <w:sz w:val="20"/>
          <w:szCs w:val="20"/>
          <w:color w:val="auto"/>
        </w:rPr>
      </w:pPr>
      <w:r>
        <w:rPr>
          <w:rFonts w:ascii="Times New Roman" w:cs="Times New Roman" w:eastAsia="Times New Roman" w:hAnsi="Times New Roman"/>
          <w:sz w:val="18"/>
          <w:szCs w:val="18"/>
          <w:color w:val="auto"/>
        </w:rPr>
        <w:t>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62" w:lineRule="exact"/>
        <w:rPr>
          <w:sz w:val="20"/>
          <w:szCs w:val="20"/>
          <w:color w:val="auto"/>
        </w:rPr>
      </w:pPr>
    </w:p>
    <w:p>
      <w:pPr>
        <w:ind w:right="20" w:firstLine="576"/>
        <w:spacing w:after="0" w:line="261" w:lineRule="auto"/>
        <w:rPr>
          <w:sz w:val="20"/>
          <w:szCs w:val="20"/>
          <w:color w:val="auto"/>
        </w:rPr>
      </w:pPr>
      <w:r>
        <w:rPr>
          <w:rFonts w:ascii="Times New Roman" w:cs="Times New Roman" w:eastAsia="Times New Roman" w:hAnsi="Times New Roman"/>
          <w:sz w:val="18"/>
          <w:szCs w:val="18"/>
          <w:color w:val="auto"/>
        </w:rPr>
        <w:t>We may utilize these exemptions until such time as we are longer a foreign private issuer. We would cease to be a foreign private issuer at such time as more than 50% of our outstanding voting securities are directly or indirectly held of record by U.S. holders and 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180" w:lineRule="exact"/>
        <w:rPr>
          <w:sz w:val="20"/>
          <w:szCs w:val="20"/>
          <w:color w:val="auto"/>
        </w:rPr>
      </w:pPr>
    </w:p>
    <w:p>
      <w:pPr>
        <w:ind w:right="60" w:firstLine="576"/>
        <w:spacing w:after="0" w:line="261"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right="200" w:firstLine="576"/>
        <w:spacing w:after="0" w:line="266" w:lineRule="auto"/>
        <w:rPr>
          <w:sz w:val="20"/>
          <w:szCs w:val="20"/>
          <w:color w:val="auto"/>
        </w:rPr>
      </w:pPr>
      <w:r>
        <w:rPr>
          <w:rFonts w:ascii="Times New Roman" w:cs="Times New Roman" w:eastAsia="Times New Roman" w:hAnsi="Times New Roman"/>
          <w:sz w:val="18"/>
          <w:szCs w:val="18"/>
          <w:color w:val="auto"/>
        </w:rPr>
        <w:t xml:space="preserve">You should consider carefully the risks and uncertainties described in this prospectus before investing in our securities. These risks are discussed more fully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following this summary. If any of these risks actually occur, our business, financial condition or results of operations would likely be materially adversely affected. These risks include, but are not limited to, the following:</w:t>
      </w:r>
    </w:p>
    <w:p>
      <w:pPr>
        <w:spacing w:after="0" w:line="68" w:lineRule="exact"/>
        <w:rPr>
          <w:sz w:val="20"/>
          <w:szCs w:val="20"/>
          <w:color w:val="auto"/>
        </w:rPr>
      </w:pPr>
    </w:p>
    <w:p>
      <w:pPr>
        <w:ind w:left="1020" w:right="6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generated limited revenues from existing Channels and there is no guarantee that it will be able to attract and retain new merchants and increase sales to new merchants.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an early-stage company with a history of financial losses and expects to incur significant expenses and continuing losses for the foreseeable future.</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the resulting effect on spending by small and medium-sized businesses (“SMBs”) and spending on technology, may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Uneven economic growth or downturns or international trade and other global disruptions, geopolitical tensions, or disputes could adversely affect our business and operating results.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growth depends in part on the success of its strategic relationships with third parties.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could be harmed if it fails to manage its growth effectively.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have the history with its solutions or pricing models necessary to accurately predict optimal pricing necessary to attract new merchants and retain existing merchants.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Rezolve’s business model, it may not be able to accurately assess its financial position and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is susceptible to risks associated with international sales and the use of its platform in various countries.</w:t>
      </w:r>
    </w:p>
    <w:p>
      <w:pPr>
        <w:spacing w:after="0" w:line="117" w:lineRule="exact"/>
        <w:rPr>
          <w:rFonts w:ascii="Times New Roman" w:cs="Times New Roman" w:eastAsia="Times New Roman" w:hAnsi="Times New Roman"/>
          <w:sz w:val="18"/>
          <w:szCs w:val="18"/>
          <w:color w:val="auto"/>
        </w:rPr>
      </w:pPr>
    </w:p>
    <w:p>
      <w:pPr>
        <w:jc w:val="both"/>
        <w:ind w:left="1020" w:right="3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may negatively affect Rezolve’s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operating results are expected to be subject to seasonal fluctuations.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5" w:name="page16"/>
    <w:bookmarkEnd w:id="15"/>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not be able to compete successfully against current and future competitors.</w:t>
      </w:r>
    </w:p>
    <w:p>
      <w:pPr>
        <w:spacing w:after="0" w:line="117"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transactions on Rezolve’s platform may be subject to regulatory requirements and other risks that could be costly and difficult to comply with or that could harm Rezolve’s business.</w:t>
      </w:r>
    </w:p>
    <w:p>
      <w:pPr>
        <w:spacing w:after="0" w:line="53" w:lineRule="exact"/>
        <w:rPr>
          <w:rFonts w:ascii="Times New Roman" w:cs="Times New Roman" w:eastAsia="Times New Roman" w:hAnsi="Times New Roman"/>
          <w:sz w:val="18"/>
          <w:szCs w:val="18"/>
          <w:color w:val="auto"/>
        </w:rPr>
      </w:pPr>
    </w:p>
    <w:p>
      <w:pPr>
        <w:ind w:left="503" w:right="80" w:hanging="503"/>
        <w:spacing w:after="0" w:line="266"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rFonts w:ascii="Times New Roman" w:cs="Times New Roman" w:eastAsia="Times New Roman" w:hAnsi="Times New Roman"/>
          <w:sz w:val="18"/>
          <w:szCs w:val="18"/>
          <w:color w:val="auto"/>
        </w:rPr>
      </w:pPr>
    </w:p>
    <w:p>
      <w:pPr>
        <w:ind w:left="503" w:right="48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need to raise additional funds to pursue its growth strategy or continue its operations, and Rezolve may be unable to raise capital when needed or on acceptable terms.</w:t>
      </w:r>
    </w:p>
    <w:p>
      <w:pPr>
        <w:spacing w:after="0" w:line="53"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3"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availability of Rezolve’s platform does not meet its service-level commitments to customers, Rezolve’s current and future revenues may be negatively impacted.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intend to pay dividends for the foreseeable future.</w:t>
      </w:r>
    </w:p>
    <w:p>
      <w:pPr>
        <w:spacing w:after="0" w:line="117"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503" w:right="54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including the global COVID-19 pandemic, may adversely impact Rezolve’s business, results of operations and financial performance.</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hire, retain and motivate qualified personnel, its business will be adversely affected.</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expects to be dependent upon consumers’ and merchants’ willingness to use the internet and internet-enabled mobile devices for commerce.</w:t>
      </w:r>
    </w:p>
    <w:p>
      <w:pPr>
        <w:spacing w:after="0" w:line="53"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software or platform contains serious errors or defects, Rezolve may lose revenues and market acceptance and may incur costs to defend or settle claims with its merchants.</w:t>
      </w:r>
    </w:p>
    <w:p>
      <w:pPr>
        <w:spacing w:after="0" w:line="53"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denial of service attack or security breach or incident could delay or interrupt service to Rezolve’s merchants and their customers, harm Rezolve’s reputation and subject Rezolve to significant liability.</w:t>
      </w:r>
    </w:p>
    <w:p>
      <w:pPr>
        <w:spacing w:after="0" w:line="53" w:lineRule="exact"/>
        <w:rPr>
          <w:rFonts w:ascii="Times New Roman" w:cs="Times New Roman" w:eastAsia="Times New Roman" w:hAnsi="Times New Roman"/>
          <w:sz w:val="18"/>
          <w:szCs w:val="18"/>
          <w:color w:val="auto"/>
        </w:rPr>
      </w:pPr>
    </w:p>
    <w:p>
      <w:pPr>
        <w:ind w:left="503" w:right="52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uses a limited number of data centers to deliver its services. Any disruption of service at these facilities could harm Rezolve’s business.</w:t>
      </w:r>
    </w:p>
    <w:p>
      <w:pPr>
        <w:spacing w:after="0" w:line="53"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3" w:lineRule="exact"/>
        <w:rPr>
          <w:rFonts w:ascii="Times New Roman" w:cs="Times New Roman" w:eastAsia="Times New Roman" w:hAnsi="Times New Roman"/>
          <w:sz w:val="18"/>
          <w:szCs w:val="18"/>
          <w:color w:val="auto"/>
        </w:rPr>
      </w:pPr>
    </w:p>
    <w:p>
      <w:pPr>
        <w:ind w:left="503" w:right="42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in order to provide its solutions and run its business.</w:t>
      </w:r>
    </w:p>
    <w:p>
      <w:pPr>
        <w:spacing w:after="0" w:line="53" w:lineRule="exact"/>
        <w:rPr>
          <w:rFonts w:ascii="Times New Roman" w:cs="Times New Roman" w:eastAsia="Times New Roman" w:hAnsi="Times New Roman"/>
          <w:sz w:val="18"/>
          <w:szCs w:val="18"/>
          <w:color w:val="auto"/>
        </w:rPr>
      </w:pPr>
    </w:p>
    <w:p>
      <w:pPr>
        <w:ind w:left="503" w:right="80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does not or cannot maintain the compatibility of its platform with third-party applications that its customers use in their businesses, Rezolve’s revenues will decline.</w:t>
      </w:r>
    </w:p>
    <w:p>
      <w:pPr>
        <w:spacing w:after="0" w:line="53" w:lineRule="exact"/>
        <w:rPr>
          <w:rFonts w:ascii="Times New Roman" w:cs="Times New Roman" w:eastAsia="Times New Roman" w:hAnsi="Times New Roman"/>
          <w:sz w:val="18"/>
          <w:szCs w:val="18"/>
          <w:color w:val="auto"/>
        </w:rPr>
      </w:pPr>
    </w:p>
    <w:p>
      <w:pPr>
        <w:ind w:left="503" w:right="200" w:hanging="503"/>
        <w:spacing w:after="0" w:line="266"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67"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3" w:lineRule="exact"/>
        <w:rPr>
          <w:rFonts w:ascii="Times New Roman" w:cs="Times New Roman" w:eastAsia="Times New Roman" w:hAnsi="Times New Roman"/>
          <w:sz w:val="18"/>
          <w:szCs w:val="18"/>
          <w:color w:val="auto"/>
        </w:rPr>
      </w:pPr>
    </w:p>
    <w:p>
      <w:pPr>
        <w:ind w:left="503" w:right="60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brand is important to its success. If Rezolve fails to effectively maintain, promote and enhance Rezolve’s brand, Rezolve’s business and competitive advantage may be harmed.</w:t>
      </w:r>
    </w:p>
    <w:p>
      <w:pPr>
        <w:spacing w:after="0" w:line="53"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merchants or the content of their shops could damage Rezolve’s brand, subject Rezolve to liability and harm its business and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598805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0" w:right="359" w:bottom="1440" w:gutter="0" w:footer="0" w:header="0"/>
        </w:sectPr>
      </w:pPr>
    </w:p>
    <w:bookmarkStart w:id="16" w:name="page17"/>
    <w:bookmarkEnd w:id="16"/>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maintain a consistently high level of customer service, Rezolve’s brand, business and financial results may be harmed.</w:t>
      </w:r>
    </w:p>
    <w:p>
      <w:pPr>
        <w:spacing w:after="0" w:line="117"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subject to claims by third parties of intellectual property infringement.</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use of “open source” software could negatively affect its ability to sell its solutions and subject Rezolve to possible litigation.</w:t>
      </w:r>
    </w:p>
    <w:p>
      <w:pPr>
        <w:spacing w:after="0" w:line="117"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indemnification by Rezolve’s directors and officers may reduce Rezolve’s available funds to satisfy successful third-party claims against Rezolve and may reduce the amount of money available to Rezolve.</w:t>
      </w:r>
    </w:p>
    <w:p>
      <w:pPr>
        <w:spacing w:after="0" w:line="53" w:lineRule="exact"/>
        <w:rPr>
          <w:rFonts w:ascii="Times New Roman" w:cs="Times New Roman" w:eastAsia="Times New Roman" w:hAnsi="Times New Roman"/>
          <w:sz w:val="18"/>
          <w:szCs w:val="18"/>
          <w:color w:val="auto"/>
        </w:rPr>
      </w:pPr>
    </w:p>
    <w:p>
      <w:pPr>
        <w:jc w:val="both"/>
        <w:ind w:left="503" w:right="42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trade tariffs, import restrictions, export restrictions, United States regulations or other trade barriers may materially harm Rezolve’s business.</w:t>
      </w:r>
    </w:p>
    <w:p>
      <w:pPr>
        <w:spacing w:after="0" w:line="53"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Rezolve may be involved in legal proceedings and commercial or contractual disputes, which could have an adverse impact on Rezolve’s profitability and consolidated financial position.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Articles and English law could deter takeover attempts.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Ordinary Shares could be volatile, and the value of Ordinary Shares may decline.</w:t>
      </w:r>
    </w:p>
    <w:p>
      <w:pPr>
        <w:spacing w:after="0" w:line="117"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the Public Warrants will ever be in the money at the time they become exercisable or otherwise, and they may expire worthless.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for our securities may not be sustained, which would adversely affect the liquidity and price of Ordinary Shares.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Rezolve will be able to comply with the continued listing standards of Nasdaq.</w:t>
      </w:r>
    </w:p>
    <w:p>
      <w:pPr>
        <w:spacing w:after="0" w:line="117" w:lineRule="exact"/>
        <w:rPr>
          <w:rFonts w:ascii="Times New Roman" w:cs="Times New Roman" w:eastAsia="Times New Roman" w:hAnsi="Times New Roman"/>
          <w:sz w:val="18"/>
          <w:szCs w:val="18"/>
          <w:color w:val="auto"/>
        </w:rPr>
      </w:pPr>
    </w:p>
    <w:p>
      <w:pPr>
        <w:ind w:left="503" w:right="3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publish reports that are interpreted negatively by the investment community or publish negative research reports about our business, our share price and trading volume could decline.</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our election to comply with the reduced disclosure requirements as a public company may make our Ordinary Shares less attractive to investors.</w:t>
      </w:r>
    </w:p>
    <w:p>
      <w:pPr>
        <w:spacing w:after="0" w:line="53" w:lineRule="exact"/>
        <w:rPr>
          <w:rFonts w:ascii="Times New Roman" w:cs="Times New Roman" w:eastAsia="Times New Roman" w:hAnsi="Times New Roman"/>
          <w:sz w:val="18"/>
          <w:szCs w:val="18"/>
          <w:color w:val="auto"/>
        </w:rPr>
      </w:pPr>
    </w:p>
    <w:p>
      <w:pPr>
        <w:ind w:left="503" w:right="7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foreign private issuer status in the future, which could result in significant additional cost and expense.</w:t>
      </w:r>
    </w:p>
    <w:p>
      <w:pPr>
        <w:spacing w:after="0" w:line="117"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additional Ordinary Shares in connection with financings, acquisitions, investments, our stock incentive plans, or otherwise will dilute all other shareholders.</w:t>
      </w:r>
    </w:p>
    <w:p>
      <w:pPr>
        <w:spacing w:after="0" w:line="53" w:lineRule="exact"/>
        <w:rPr>
          <w:rFonts w:ascii="Times New Roman" w:cs="Times New Roman" w:eastAsia="Times New Roman" w:hAnsi="Times New Roman"/>
          <w:sz w:val="18"/>
          <w:szCs w:val="18"/>
          <w:color w:val="auto"/>
        </w:rPr>
      </w:pPr>
    </w:p>
    <w:p>
      <w:pPr>
        <w:ind w:left="503" w:right="7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3" w:lineRule="exact"/>
        <w:rPr>
          <w:rFonts w:ascii="Times New Roman" w:cs="Times New Roman" w:eastAsia="Times New Roman" w:hAnsi="Times New Roman"/>
          <w:sz w:val="18"/>
          <w:szCs w:val="18"/>
          <w:color w:val="auto"/>
        </w:rPr>
      </w:pPr>
    </w:p>
    <w:p>
      <w:pPr>
        <w:ind w:left="503" w:right="8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directly or indirectly own 10% or more of our equity interests may be subject to adverse U.S. federal income tax consequences under rules applicable to U.S. shareholders of controlled foreign corporations.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 shareholders may suffer adverse tax consequences if we are classified as a “passive foreign investment company.”</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Revenue Service may not agree that Rezolve should be treated as a non-U.S. corporation for U.S. federal income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638810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17" w:name="page18"/>
    <w:bookmarkEnd w:id="17"/>
    <w:p>
      <w:pPr>
        <w:spacing w:after="0" w:line="237" w:lineRule="auto"/>
        <w:framePr w:w="8840" w:h="1024" w:wrap="auto" w:vAnchor="page" w:hAnchor="page" w:x="2480" w:y="616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receive up to an aggregate of approximately $86 million from the exercise of all Public Warrants assuming the exercise in full of all such warrants for cash. Unless we inform you otherwise in a prospectus supplement or free writing prospectus, to the extent we elect the exercise of such warrants for cash, we intend to use the net proceeds from such exercise for general corporate purposes. To the extent the warrants are exercised on a “cashless” basis, we will receive no proceeds.</w:t>
      </w:r>
    </w:p>
    <w:p>
      <w:pPr>
        <w:spacing w:after="0" w:line="185" w:lineRule="auto"/>
        <w:framePr w:w="2260" w:h="160" w:wrap="auto" w:vAnchor="page" w:hAnchor="page" w:x="2480" w:y="551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172,182,769 Ordinary Shares.</w:t>
      </w:r>
    </w:p>
    <w:p>
      <w:pPr>
        <w:spacing w:after="0" w:line="200" w:lineRule="exact"/>
        <w:rPr>
          <w:rFonts w:ascii="Times New Roman" w:cs="Times New Roman" w:eastAsia="Times New Roman" w:hAnsi="Times New Roman"/>
          <w:sz w:val="18"/>
          <w:szCs w:val="18"/>
          <w:color w:val="auto"/>
        </w:rPr>
      </w:pPr>
    </w:p>
    <w:p>
      <w:pPr>
        <w:spacing w:after="0" w:line="395"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0" w:lineRule="exact"/>
        <w:rPr>
          <w:rFonts w:ascii="Times New Roman" w:cs="Times New Roman" w:eastAsia="Times New Roman" w:hAnsi="Times New Roman"/>
          <w:sz w:val="18"/>
          <w:szCs w:val="18"/>
          <w:color w:val="auto"/>
        </w:rPr>
      </w:pPr>
    </w:p>
    <w:p>
      <w:pPr>
        <w:spacing w:after="0" w:line="24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We are registering the issuance by us of up to 7,499,994 Ordinary Shares that may be issued upon the exercise of Public Warrants.</w:t>
      </w:r>
    </w:p>
    <w:p>
      <w:pPr>
        <w:spacing w:after="0" w:line="27" w:lineRule="exact"/>
        <w:rPr>
          <w:rFonts w:ascii="Times New Roman" w:cs="Times New Roman" w:eastAsia="Times New Roman" w:hAnsi="Times New Roman"/>
          <w:sz w:val="18"/>
          <w:szCs w:val="18"/>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We are also registering the resale by the Selling Holders or their permitted transferees of up to 185,068,790 Ordinary Shares. Any investment in the securities offered hereby is speculative and involves a high degree of risk. You should carefully 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on page 12 of this prospectus.</w:t>
      </w:r>
    </w:p>
    <w:p>
      <w:pPr>
        <w:spacing w:after="0" w:line="186" w:lineRule="exact"/>
        <w:rPr>
          <w:rFonts w:ascii="Times New Roman" w:cs="Times New Roman" w:eastAsia="Times New Roman" w:hAnsi="Times New Roman"/>
          <w:sz w:val="18"/>
          <w:szCs w:val="18"/>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information is as of April 30, 2025 and does not give effect to issuances of Ordinary Shares or Warrants after such date, or the exercise of Warrants after such date.</w:t>
      </w:r>
    </w:p>
    <w:p>
      <w:pPr>
        <w:spacing w:after="0" w:line="15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Ordinary Shares</w:t>
      </w:r>
    </w:p>
    <w:p>
      <w:pPr>
        <w:spacing w:after="0" w:line="229"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8"/>
          <w:szCs w:val="18"/>
          <w:color w:val="auto"/>
        </w:rPr>
        <w:t>Ordinary Shares to be issued  7,499,994 Ordinary Shares.</w:t>
      </w:r>
    </w:p>
    <w:p>
      <w:pPr>
        <w:spacing w:after="0" w:line="27"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8"/>
          <w:szCs w:val="18"/>
          <w:color w:val="auto"/>
        </w:rPr>
        <w:t>upon exercise of all Public</w:t>
      </w:r>
    </w:p>
    <w:p>
      <w:pPr>
        <w:spacing w:after="0" w:line="9"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8"/>
          <w:szCs w:val="18"/>
          <w:color w:val="auto"/>
        </w:rPr>
        <w:t>Warrants</w:t>
      </w:r>
    </w:p>
    <w:p>
      <w:pPr>
        <w:spacing w:after="0" w:line="9" w:lineRule="exact"/>
        <w:rPr>
          <w:rFonts w:ascii="Times New Roman" w:cs="Times New Roman" w:eastAsia="Times New Roman" w:hAnsi="Times New Roman"/>
          <w:sz w:val="18"/>
          <w:szCs w:val="18"/>
          <w:color w:val="auto"/>
        </w:rPr>
      </w:pPr>
    </w:p>
    <w:p>
      <w:pPr>
        <w:jc w:val="both"/>
        <w:ind w:left="20" w:right="9120"/>
        <w:spacing w:after="0" w:line="250" w:lineRule="auto"/>
        <w:rPr>
          <w:sz w:val="20"/>
          <w:szCs w:val="20"/>
          <w:color w:val="auto"/>
        </w:rPr>
      </w:pPr>
      <w:r>
        <w:rPr>
          <w:rFonts w:ascii="Times New Roman" w:cs="Times New Roman" w:eastAsia="Times New Roman" w:hAnsi="Times New Roman"/>
          <w:sz w:val="18"/>
          <w:szCs w:val="18"/>
          <w:color w:val="auto"/>
        </w:rPr>
        <w:t>Ordinary Shares outstanding prior to exercise of all Public Warrants</w:t>
      </w:r>
    </w:p>
    <w:p>
      <w:pPr>
        <w:spacing w:after="0" w:line="1"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4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Resale of Ordinary Shares</w:t>
      </w:r>
    </w:p>
    <w:p>
      <w:pPr>
        <w:sectPr>
          <w:pgSz w:w="11900" w:h="16838" w:orient="portrait"/>
          <w:cols w:equalWidth="0" w:num="1">
            <w:col w:w="11240"/>
          </w:cols>
          <w:pgMar w:left="320" w:top="1440" w:right="339" w:bottom="1440" w:gutter="0" w:footer="0" w:header="0"/>
        </w:sectPr>
      </w:pPr>
    </w:p>
    <w:p>
      <w:pPr>
        <w:spacing w:after="0" w:line="229"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8"/>
          <w:szCs w:val="18"/>
          <w:color w:val="auto"/>
        </w:rPr>
        <w:t>Ordinary Shares</w:t>
      </w:r>
    </w:p>
    <w:p>
      <w:pPr>
        <w:spacing w:after="0" w:line="27"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7"/>
          <w:szCs w:val="17"/>
          <w:color w:val="auto"/>
        </w:rPr>
        <w:t>offered by the Selling</w:t>
      </w:r>
    </w:p>
    <w:p>
      <w:pPr>
        <w:spacing w:after="0" w:line="21"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8"/>
          <w:szCs w:val="18"/>
          <w:color w:val="auto"/>
        </w:rPr>
        <w:t>Holders</w:t>
      </w:r>
    </w:p>
    <w:p>
      <w:pPr>
        <w:spacing w:after="0" w:line="207"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20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156,515,540 Ordinary Shares, consisting of (i) 121,156,424 Ordinary Shares; (ii) 544,982 Ordinary Shares underlying Private</w:t>
      </w:r>
    </w:p>
    <w:p>
      <w:pPr>
        <w:spacing w:after="0" w:line="2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Warrants; (iii) 19,079,139 Ordinary Shares issuable upon conversion of the Convertible Notes; (iv) 15,207,479 Ordinary Shares</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issuable pursuant to the advanced subscription agreements; (v) and 527,516 Ordinary Shares issuable upon the conversion of the</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Promissory Notes.</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We will not receive any proceeds from the sale of the Ordinary Shares and Public Warrants to be offered by the Selling Holders.</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With respect to Ordinary Shares underlying the Private Warrants, we will not receive any proceeds from such shares except with</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respect to amounts received by us upon exercise of such Private Warrants to the extent such Warrants are exercised for cash. The</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Private Warrants are currently out- of-the money. We do not expect warrant holders to exercise their Private Warrants and,</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therefore, we do not expect to receive cash proceeds from any such exercise, for so long as the Private Warrants remain out-of-the</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7"/>
          <w:szCs w:val="17"/>
          <w:color w:val="auto"/>
        </w:rPr>
        <w:t xml:space="preserve">money. See the risk factor entitled </w:t>
      </w:r>
      <w:r>
        <w:rPr>
          <w:rFonts w:ascii="Times New Roman" w:cs="Times New Roman" w:eastAsia="Times New Roman" w:hAnsi="Times New Roman"/>
          <w:sz w:val="17"/>
          <w:szCs w:val="17"/>
          <w:i w:val="1"/>
          <w:iCs w:val="1"/>
          <w:color w:val="auto"/>
        </w:rPr>
        <w:t>“There can be no assurance that the Public Warrants will ever be in the money at the time they</w:t>
      </w:r>
    </w:p>
    <w:p>
      <w:pPr>
        <w:spacing w:after="0" w:line="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become exercisable or otherwise, and they may expire worthless” </w:t>
      </w:r>
      <w:r>
        <w:rPr>
          <w:rFonts w:ascii="Times New Roman" w:cs="Times New Roman" w:eastAsia="Times New Roman" w:hAnsi="Times New Roman"/>
          <w:sz w:val="18"/>
          <w:szCs w:val="18"/>
          <w:color w:val="auto"/>
        </w:rPr>
        <w:t>for more information.</w:t>
      </w:r>
    </w:p>
    <w:p>
      <w:pPr>
        <w:spacing w:after="0" w:line="200" w:lineRule="exact"/>
        <w:rPr>
          <w:rFonts w:ascii="Times New Roman" w:cs="Times New Roman" w:eastAsia="Times New Roman" w:hAnsi="Times New Roman"/>
          <w:sz w:val="18"/>
          <w:szCs w:val="18"/>
          <w:color w:val="auto"/>
        </w:rPr>
      </w:pPr>
    </w:p>
    <w:p>
      <w:pPr>
        <w:sectPr>
          <w:pgSz w:w="11900" w:h="16838" w:orient="portrait"/>
          <w:cols w:equalWidth="0" w:num="2">
            <w:col w:w="1580" w:space="80"/>
            <w:col w:w="9580"/>
          </w:cols>
          <w:pgMar w:left="320" w:top="1440" w:right="339" w:bottom="1440" w:gutter="0" w:footer="0" w:header="0"/>
          <w:type w:val="continuous"/>
        </w:sectPr>
      </w:pPr>
    </w:p>
    <w:p>
      <w:pPr>
        <w:spacing w:after="0" w:line="7" w:lineRule="exact"/>
        <w:rPr>
          <w:rFonts w:ascii="Times New Roman" w:cs="Times New Roman" w:eastAsia="Times New Roman" w:hAnsi="Times New Roman"/>
          <w:sz w:val="18"/>
          <w:szCs w:val="18"/>
          <w:color w:val="auto"/>
        </w:rPr>
      </w:pPr>
    </w:p>
    <w:p>
      <w:pPr>
        <w:jc w:val="both"/>
        <w:ind w:left="1600" w:right="20" w:hanging="1579"/>
        <w:spacing w:after="0" w:line="257" w:lineRule="auto"/>
        <w:rPr>
          <w:sz w:val="20"/>
          <w:szCs w:val="20"/>
          <w:color w:val="auto"/>
        </w:rPr>
      </w:pPr>
      <w:r>
        <w:rPr>
          <w:rFonts w:ascii="Times New Roman" w:cs="Times New Roman" w:eastAsia="Times New Roman" w:hAnsi="Times New Roman"/>
          <w:sz w:val="18"/>
          <w:szCs w:val="18"/>
          <w:color w:val="auto"/>
        </w:rPr>
        <w:t>Lock-up agreements Certain securities that are owned by the Selling Holders are subject to the lock-up provisions pursuant to the Investor Rights Agreement, which provide for certain restrictions on transfer until the termination of applicable lock-up periods. See the Investor Rights Agreement, which is filed as an exhibit to the registration statement of which this prospectus forms a part.</w:t>
      </w:r>
    </w:p>
    <w:p>
      <w:pPr>
        <w:spacing w:after="0" w:line="1" w:lineRule="exact"/>
        <w:rPr>
          <w:rFonts w:ascii="Times New Roman" w:cs="Times New Roman" w:eastAsia="Times New Roman" w:hAnsi="Times New Roman"/>
          <w:sz w:val="18"/>
          <w:szCs w:val="18"/>
          <w:color w:val="auto"/>
        </w:rPr>
      </w:pPr>
    </w:p>
    <w:p>
      <w:pPr>
        <w:jc w:val="both"/>
        <w:ind w:left="1600" w:right="20" w:hanging="1579"/>
        <w:spacing w:after="0" w:line="250" w:lineRule="auto"/>
        <w:tabs>
          <w:tab w:leader="none" w:pos="158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 xml:space="preserve">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12 of this prospectus and other information included in this prospectus for a discussion of factors that you should consider carefully before deciding to invest in Ordinary Shares and Warrants.</w:t>
      </w:r>
    </w:p>
    <w:tbl>
      <w:tblPr>
        <w:tblLayout w:type="fixed"/>
        <w:tblInd w:w="0" w:type="dxa"/>
        <w:tblCellMar>
          <w:top w:w="0" w:type="dxa"/>
          <w:left w:w="0" w:type="dxa"/>
          <w:bottom w:w="0" w:type="dxa"/>
          <w:right w:w="0" w:type="dxa"/>
        </w:tblCellMar>
      </w:tblPr>
      <w:tr>
        <w:trPr>
          <w:trHeight w:val="198"/>
        </w:trPr>
        <w:tc>
          <w:tcPr>
            <w:tcW w:w="150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Nasdaq symbol for</w:t>
            </w:r>
          </w:p>
        </w:tc>
        <w:tc>
          <w:tcPr>
            <w:tcW w:w="9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Ordinary Shares</w:t>
            </w:r>
          </w:p>
        </w:tc>
        <w:tc>
          <w:tcPr>
            <w:tcW w:w="9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“RZLV.”</w:t>
            </w:r>
          </w:p>
        </w:tc>
        <w:tc>
          <w:tcPr>
            <w:tcW w:w="0" w:type="dxa"/>
            <w:vAlign w:val="bottom"/>
          </w:tcPr>
          <w:p>
            <w:pPr>
              <w:spacing w:after="0"/>
              <w:rPr>
                <w:sz w:val="1"/>
                <w:szCs w:val="1"/>
                <w:color w:val="auto"/>
              </w:rPr>
            </w:pPr>
          </w:p>
        </w:tc>
      </w:tr>
      <w:tr>
        <w:trPr>
          <w:trHeight w:val="414"/>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symbol for</w:t>
            </w:r>
          </w:p>
        </w:tc>
        <w:tc>
          <w:tcPr>
            <w:tcW w:w="9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“RZLVW.”</w:t>
            </w:r>
          </w:p>
        </w:tc>
        <w:tc>
          <w:tcPr>
            <w:tcW w:w="0" w:type="dxa"/>
            <w:vAlign w:val="bottom"/>
          </w:tcPr>
          <w:p>
            <w:pPr>
              <w:spacing w:after="0"/>
              <w:rPr>
                <w:sz w:val="1"/>
                <w:szCs w:val="1"/>
                <w:color w:val="auto"/>
              </w:rPr>
            </w:pPr>
          </w:p>
        </w:tc>
      </w:tr>
      <w:tr>
        <w:trPr>
          <w:trHeight w:val="126"/>
        </w:trPr>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our warrants</w:t>
            </w:r>
          </w:p>
        </w:tc>
        <w:tc>
          <w:tcPr>
            <w:tcW w:w="9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00" w:type="dxa"/>
            <w:vAlign w:val="bottom"/>
            <w:vMerge w:val="continue"/>
          </w:tcPr>
          <w:p>
            <w:pPr>
              <w:spacing w:after="0"/>
              <w:rPr>
                <w:sz w:val="9"/>
                <w:szCs w:val="9"/>
                <w:color w:val="auto"/>
              </w:rPr>
            </w:pPr>
          </w:p>
        </w:tc>
        <w:tc>
          <w:tcPr>
            <w:tcW w:w="9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2"/>
        </w:trPr>
        <w:tc>
          <w:tcPr>
            <w:tcW w:w="1500" w:type="dxa"/>
            <w:vAlign w:val="bottom"/>
            <w:tcBorders>
              <w:bottom w:val="single" w:sz="8" w:color="9A9A9A"/>
            </w:tcBorders>
          </w:tcPr>
          <w:p>
            <w:pPr>
              <w:spacing w:after="0"/>
              <w:rPr>
                <w:sz w:val="24"/>
                <w:szCs w:val="24"/>
                <w:color w:val="auto"/>
              </w:rPr>
            </w:pPr>
          </w:p>
        </w:tc>
        <w:tc>
          <w:tcPr>
            <w:tcW w:w="9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the Ordinary Shares and Warrants involves a high degree of risk. You should consider carefully the following risks, together with the financial and other information contained in this prospectus, including “Management’s Discussion and Analysis of Financial Condition and Results of Operations,” before you decide to purchase Ordinary Shares or Warrants. If any of the following risks actually occur, our business, financial condition and operating results could be materially and adversely affected. In that case, the market price of the Ordinary Shares and Warrants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Rezolve expects to generate revenues principally through subscription fees and one-time transaction fees. Rezolve expects to be dependent on agreements with certain business partners to service merchants and remit subscription fees to Rezolve, including Microsoft, Google and ACI in North America and Europe,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may also fail to attract new partners and retain existing partners as a result of a number of other factors, including</w:t>
      </w:r>
    </w:p>
    <w:p>
      <w:pPr>
        <w:spacing w:after="0" w:line="117" w:lineRule="exact"/>
        <w:rPr>
          <w:sz w:val="20"/>
          <w:szCs w:val="20"/>
          <w:color w:val="auto"/>
        </w:rPr>
      </w:pPr>
    </w:p>
    <w:p>
      <w:pPr>
        <w:ind w:left="1140" w:right="600" w:hanging="519"/>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affecting the software as a service, or SaaS, business software applications market, including the introduction of competing platforms, discount pricing and other strategies that may be implemented by Rezolve’s competitors;</w:t>
      </w:r>
    </w:p>
    <w:p>
      <w:pPr>
        <w:spacing w:after="0" w:line="53"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execute on Rezolve’s growth strategy and operating plans;</w:t>
      </w:r>
    </w:p>
    <w:p>
      <w:pPr>
        <w:spacing w:after="0" w:line="11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Rezolve’s partners’ level of satisfaction with Rezolve’s platform and usage of Rezolve’s platform;</w:t>
      </w:r>
    </w:p>
    <w:p>
      <w:pPr>
        <w:spacing w:after="0" w:line="117" w:lineRule="exact"/>
        <w:rPr>
          <w:rFonts w:ascii="Times New Roman" w:cs="Times New Roman" w:eastAsia="Times New Roman" w:hAnsi="Times New Roman"/>
          <w:sz w:val="18"/>
          <w:szCs w:val="18"/>
          <w:color w:val="auto"/>
        </w:rPr>
      </w:pPr>
    </w:p>
    <w:p>
      <w:pPr>
        <w:ind w:left="1140" w:right="220" w:hanging="519"/>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Rezolve’s relationships with third parties, including Rezolve’s partners, app developers, theme designers, referral sources and payment processors;</w:t>
      </w:r>
    </w:p>
    <w:p>
      <w:pPr>
        <w:spacing w:after="0" w:line="53"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timeliness and success of Rezolve’s solutions;</w:t>
      </w:r>
    </w:p>
    <w:p>
      <w:pPr>
        <w:spacing w:after="0" w:line="11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any system outages</w:t>
      </w:r>
    </w:p>
    <w:p>
      <w:pPr>
        <w:spacing w:after="0" w:line="11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 and</w:t>
      </w:r>
    </w:p>
    <w:p>
      <w:pPr>
        <w:spacing w:after="0" w:line="117" w:lineRule="exact"/>
        <w:rPr>
          <w:rFonts w:ascii="Times New Roman" w:cs="Times New Roman" w:eastAsia="Times New Roman" w:hAnsi="Times New Roman"/>
          <w:sz w:val="18"/>
          <w:szCs w:val="18"/>
          <w:color w:val="auto"/>
        </w:rPr>
      </w:pPr>
    </w:p>
    <w:p>
      <w:pPr>
        <w:jc w:val="both"/>
        <w:ind w:left="1140" w:right="340" w:hanging="519"/>
        <w:spacing w:after="0" w:line="266"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2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an early-stage company with a history of financial losses and expects to incur significant expenses and continuing losses for the foreseeable future.</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Rezolve incurred a net loss of $172.6 million in the year ended December 31, 2024 and $30.7 million in the year ended December 31, 2023, respectively. At December 31, 2024, Rezolve had a total shareholders’ deficit of $38.0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 harder for Rezolve to achieve profitability, and Rezolve cannot predict if it will achieve profitability in the near-term or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258" w:lineRule="auto"/>
        <w:rPr>
          <w:sz w:val="20"/>
          <w:szCs w:val="20"/>
          <w:color w:val="auto"/>
        </w:rPr>
      </w:pPr>
      <w:r>
        <w:rPr>
          <w:rFonts w:ascii="Times New Roman" w:cs="Times New Roman" w:eastAsia="Times New Roman" w:hAnsi="Times New Roman"/>
          <w:sz w:val="18"/>
          <w:szCs w:val="18"/>
          <w:color w:val="auto"/>
        </w:rPr>
        <w:t>all. Historically, Rezolve’s costs have increased each year due to these factors and Rezolve expects to continue to incur increasing costs to support its anticipated future growth. Rezolve also expects to incur additional general and administrative expenses as a result of both 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spacing w:after="0" w:line="28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19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Uneven economic growth or downturns or international trade and other global disruptions, geopolitical tensions, or disputes could adversely affect our business and operating results.</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Trade and other global disputes and interruptions, including related to tariffs, trade protection measures, import or export licensing requirements, the imposition of trade sanctions or similar restrictions by the U.S. or other governments, international tension and conflicts, as well as economic stagnation, cost inflation, strains on global transportation, manufacturing, and labor markets, and public health outbreaks, epidemics, or pandemics affect our ability to do business. Among other risks, the use of tariffs and other trade restrictions increase costs and may impact or otherwise complicate aspects of our business.</w:t>
      </w:r>
    </w:p>
    <w:p>
      <w:pPr>
        <w:spacing w:after="0" w:line="28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5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growth depends in part on the success of its strategic relationships with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0" w:name="page21"/>
    <w:bookmarkEnd w:id="20"/>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 anticipates that the growth of its business will continue to depend on third-party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 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spacing w:after="0" w:line="29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could be harmed if it fails to manage its growth effectively.</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1" w:name="page22"/>
    <w:bookmarkEnd w:id="21"/>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Rezolve’s growth will likely continue to place, a significant strain on its managerial, administrative, operational, financial and other resources. Rezolve has grown from 21 employees at December 31, 2019 to 26 employees at December 31, 2024.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291"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of Rezolve’s business model, it may not be able to accurately assess its financial position and results of operations.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is susceptible to risks associated with international sales and the use of its platform in various countries.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Rezolve’s international sales and the use of its platform in various countries subject Rezolve to risks that include, but are not limited to:</w:t>
      </w:r>
    </w:p>
    <w:p>
      <w:pPr>
        <w:spacing w:after="0" w:line="117" w:lineRule="exact"/>
        <w:rPr>
          <w:sz w:val="20"/>
          <w:szCs w:val="20"/>
          <w:color w:val="auto"/>
        </w:rPr>
      </w:pPr>
    </w:p>
    <w:p>
      <w:pPr>
        <w:ind w:left="1020" w:right="220" w:hanging="503"/>
        <w:spacing w:after="0" w:line="282" w:lineRule="auto"/>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lack of familiarity and burdens and complexity involved with complying with multiple, conflicting and changing foreign laws, standards, regulatory requirements, tariffs, export controls and other barriers;</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ensuring compliance with countries’ multiple, conflicting and changing international trade, customs and sanctions laws;</w:t>
      </w:r>
    </w:p>
    <w:p>
      <w:pPr>
        <w:spacing w:after="0" w:line="117" w:lineRule="exact"/>
        <w:rPr>
          <w:rFonts w:ascii="Times New Roman" w:cs="Times New Roman" w:eastAsia="Times New Roman" w:hAnsi="Times New Roman"/>
          <w:sz w:val="18"/>
          <w:szCs w:val="18"/>
          <w:b w:val="1"/>
          <w:bCs w:val="1"/>
          <w:color w:val="auto"/>
        </w:rPr>
      </w:pPr>
    </w:p>
    <w:p>
      <w:pPr>
        <w:ind w:left="1020" w:right="560" w:hanging="503"/>
        <w:spacing w:after="0" w:line="282" w:lineRule="auto"/>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managing systems integrators and technology partners;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differing technology standards;</w:t>
      </w:r>
    </w:p>
    <w:p>
      <w:pPr>
        <w:spacing w:after="0" w:line="117" w:lineRule="exact"/>
        <w:rPr>
          <w:rFonts w:ascii="Times New Roman" w:cs="Times New Roman" w:eastAsia="Times New Roman" w:hAnsi="Times New Roman"/>
          <w:sz w:val="18"/>
          <w:szCs w:val="18"/>
          <w:b w:val="1"/>
          <w:bCs w:val="1"/>
          <w:color w:val="auto"/>
        </w:rPr>
      </w:pPr>
    </w:p>
    <w:p>
      <w:pPr>
        <w:ind w:left="1020" w:right="260" w:hanging="503"/>
        <w:spacing w:after="0" w:line="282" w:lineRule="auto"/>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potentially adverse tax consequences, including the complexities of foreign value added tax (or other tax) systems and restrictions on the repatriation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8" w:right="459" w:bottom="1440" w:gutter="0" w:footer="0" w:header="0"/>
        </w:sectPr>
      </w:pPr>
    </w:p>
    <w:bookmarkStart w:id="22" w:name="page23"/>
    <w:bookmarkEnd w:id="22"/>
    <w:p>
      <w:pPr>
        <w:ind w:left="1020" w:hanging="503"/>
        <w:spacing w:after="0"/>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greater difficulty in enforcing contracts, including Rezolve’s universal terms of service and other agreements;</w:t>
      </w:r>
    </w:p>
    <w:p>
      <w:pPr>
        <w:spacing w:after="0" w:line="117" w:lineRule="exact"/>
        <w:rPr>
          <w:rFonts w:ascii="Times New Roman" w:cs="Times New Roman" w:eastAsia="Times New Roman" w:hAnsi="Times New Roman"/>
          <w:sz w:val="18"/>
          <w:szCs w:val="18"/>
          <w:b w:val="1"/>
          <w:bCs w:val="1"/>
          <w:color w:val="auto"/>
        </w:rPr>
      </w:pPr>
    </w:p>
    <w:p>
      <w:pPr>
        <w:ind w:left="1020" w:right="120" w:hanging="503"/>
        <w:spacing w:after="0" w:line="266" w:lineRule="auto"/>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spacing w:after="0" w:line="6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currency exchange rates;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reduced or uncertain protection for intellectual property rights in some countries; and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280"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spacing w:after="0" w:line="19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negatively affect Rezolve’s results of operations.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operating results are expected to be subject to seasonal fluctuations.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spacing w:after="0" w:line="28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3" w:name="page24"/>
    <w:bookmarkEnd w:id="23"/>
    <w:p>
      <w:pPr>
        <w:ind w:firstLine="509"/>
        <w:spacing w:after="0" w:line="254" w:lineRule="auto"/>
        <w:rPr>
          <w:sz w:val="20"/>
          <w:szCs w:val="20"/>
          <w:color w:val="auto"/>
        </w:rPr>
      </w:pPr>
      <w:r>
        <w:rPr>
          <w:rFonts w:ascii="Times New Roman" w:cs="Times New Roman" w:eastAsia="Times New Roman" w:hAnsi="Times New Roman"/>
          <w:sz w:val="18"/>
          <w:szCs w:val="18"/>
          <w:color w:val="auto"/>
        </w:rPr>
        <w:t>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not be able to compete successfully against current and future competitors.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8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may become subject to a number of risks related to payments processed through Instant Buy, including:</w:t>
      </w:r>
    </w:p>
    <w:p>
      <w:pPr>
        <w:spacing w:after="0" w:line="117"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interchange and other fees, which may increase Rezolve’s operating expenses;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maintain its chargeback rate at acceptable levels, its credit card fees may increase or credit card issuers may terminate their relationship with Rezolve;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diversion of management time and effort and other resources to deal with fraudulent transactions or chargeback disputes;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fraudulent or otherwise illegal activity by merchants, their customers, developers, employees or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funds or required reserves related to payments;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 and other requirements, including new reporting regulations and new credit card association rules.</w:t>
      </w:r>
    </w:p>
    <w:p>
      <w:pPr>
        <w:spacing w:after="0" w:line="22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180"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Rezolve is currently subject to a variety of laws and regulations in the U.S., Mexico, the UK, Europe, India and elsewhere related to payment processing, including those governing cross-border and domestic money transmission, electronic funds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24" w:name="page25"/>
    <w:bookmarkEnd w:id="24"/>
    <w:p>
      <w:pPr>
        <w:spacing w:after="0" w:line="254" w:lineRule="auto"/>
        <w:rPr>
          <w:sz w:val="20"/>
          <w:szCs w:val="20"/>
          <w:color w:val="auto"/>
        </w:rPr>
      </w:pPr>
      <w:r>
        <w:rPr>
          <w:rFonts w:ascii="Times New Roman" w:cs="Times New Roman" w:eastAsia="Times New Roman" w:hAnsi="Times New Roman"/>
          <w:sz w:val="18"/>
          <w:szCs w:val="18"/>
          <w:color w:val="auto"/>
        </w:rPr>
        <w:t>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2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68"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areas of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implementation or remediation of controls, procedures and policies of the acquired company;</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difficulty integrating the accounting systems and operations of the acquired company, including potential risks to Rezolve’s corporate culture;</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retention and integration of employees from the acquired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or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Rezolve’s existing business relationships with partners and merchants as a result of the acquisition or investment;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adverse tax consequences;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arising in connection with the acquired company or investment; and</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spacing w:after="0" w:line="176"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w:t>
      </w:r>
    </w:p>
    <w:p>
      <w:pPr>
        <w:spacing w:after="0" w:line="26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25" w:name="page26"/>
    <w:bookmarkEnd w:id="25"/>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29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Rezolve’s platform does not meet its service-level commitments to customers, Rezolve’s current and future revenues may be negatively impacted.</w:t>
      </w:r>
    </w:p>
    <w:p>
      <w:pPr>
        <w:spacing w:after="0" w:line="5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Rezolve typically commits to its customers that its platform will maintain a minimum service-level of availability. If Rezolve is unable to meet these commitments, Rezolve may be obligated to provide customers with additional capacity, which could significantly affect its revenues. Further, any failure to meet its service-level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does not intend to pay dividends for the foreseeable future.</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28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29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regional or global health pandemic, including the global COVID-19 pandemic, may adversely impact Rezolve’s business, results of operations and financial performance.</w:t>
      </w:r>
    </w:p>
    <w:p>
      <w:pPr>
        <w:spacing w:after="0" w:line="5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 regional or global health pandemic, depending upon its duration and severity, could have a material adverse effect on our business. For example, in March 2020, the World Health Organization characterized COVID-19 as a global pandemic, which has had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6" w:name="page27"/>
    <w:bookmarkEnd w:id="26"/>
    <w:p>
      <w:pPr>
        <w:ind w:right="120"/>
        <w:spacing w:after="0" w:line="261" w:lineRule="auto"/>
        <w:rPr>
          <w:sz w:val="20"/>
          <w:szCs w:val="20"/>
          <w:color w:val="auto"/>
        </w:rPr>
      </w:pPr>
      <w:r>
        <w:rPr>
          <w:rFonts w:ascii="Times New Roman" w:cs="Times New Roman" w:eastAsia="Times New Roman" w:hAnsi="Times New Roman"/>
          <w:sz w:val="18"/>
          <w:szCs w:val="18"/>
          <w:color w:val="auto"/>
        </w:rPr>
        <w:t>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180"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is unable to hire, retain and motivate qualified personnel, its business will be adversely affected.</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its ability to continue to attract and retain highly skilled personnel. The inability to attract or retain qualified personnel or delays in hiring required personnel may seriously harm 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spacing w:after="0" w:line="29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expects to be dependent upon consumers’ and merchants’ willingness to use the internet and internet-enabled mobile devices for commerce.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Software, Platform, and Security</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7" w:name="page28"/>
    <w:bookmarkEnd w:id="27"/>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spacing w:after="0" w:line="188"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4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platform and systems may be subject to distributed denial-of-service (“</w:t>
      </w:r>
      <w:r>
        <w:rPr>
          <w:rFonts w:ascii="Times New Roman" w:cs="Times New Roman" w:eastAsia="Times New Roman" w:hAnsi="Times New Roman"/>
          <w:sz w:val="18"/>
          <w:szCs w:val="18"/>
          <w:b w:val="1"/>
          <w:bCs w:val="1"/>
          <w:i w:val="1"/>
          <w:iCs w:val="1"/>
          <w:color w:val="auto"/>
        </w:rPr>
        <w:t>DDoS</w:t>
      </w:r>
      <w:r>
        <w:rPr>
          <w:rFonts w:ascii="Times New Roman" w:cs="Times New Roman" w:eastAsia="Times New Roman" w:hAnsi="Times New Roman"/>
          <w:sz w:val="18"/>
          <w:szCs w:val="18"/>
          <w:color w:val="auto"/>
        </w:rPr>
        <w:t>”)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9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uses a limited number of data centers to deliver its services. Any disruption of service at these facilities could harm Rezolve’s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8" w:name="page29"/>
    <w:bookmarkEnd w:id="28"/>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29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29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relies on computer hardware, purchased or leased, and software licensed from and services rendered by third parties in order to provide its solutions and run its business.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292"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does not or cannot maintain the compatibility of its platform with third-party applications that its customers use in their businesses, Rezolve’s revenues will decline.</w:t>
      </w:r>
    </w:p>
    <w:p>
      <w:pPr>
        <w:spacing w:after="0" w:line="5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2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5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9" w:name="page30"/>
    <w:bookmarkEnd w:id="29"/>
    <w:p>
      <w:pPr>
        <w:ind w:right="220"/>
        <w:spacing w:after="0" w:line="266" w:lineRule="auto"/>
        <w:rPr>
          <w:sz w:val="20"/>
          <w:szCs w:val="20"/>
          <w:color w:val="auto"/>
        </w:rPr>
      </w:pPr>
      <w:r>
        <w:rPr>
          <w:rFonts w:ascii="Times New Roman" w:cs="Times New Roman" w:eastAsia="Times New Roman" w:hAnsi="Times New Roman"/>
          <w:sz w:val="18"/>
          <w:szCs w:val="18"/>
          <w:color w:val="auto"/>
        </w:rPr>
        <w:t>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28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8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Rezolve is also subject to laws and regulations regarding privacy, data protection, and cybersecurity, including the EU General Data Protection Regulation, the UK General Data Protection Regulation, and the ePrivacy Directive (collectively, “</w:t>
      </w:r>
      <w:r>
        <w:rPr>
          <w:rFonts w:ascii="Times New Roman" w:cs="Times New Roman" w:eastAsia="Times New Roman" w:hAnsi="Times New Roman"/>
          <w:sz w:val="18"/>
          <w:szCs w:val="18"/>
          <w:b w:val="1"/>
          <w:bCs w:val="1"/>
          <w:i w:val="1"/>
          <w:iCs w:val="1"/>
          <w:color w:val="auto"/>
        </w:rPr>
        <w:t>European Data Protection Laws</w:t>
      </w:r>
      <w:r>
        <w:rPr>
          <w:rFonts w:ascii="Times New Roman" w:cs="Times New Roman" w:eastAsia="Times New Roman" w:hAnsi="Times New Roman"/>
          <w:sz w:val="18"/>
          <w:szCs w:val="18"/>
          <w:color w:val="auto"/>
        </w:rPr>
        <w:t>”). European Data Protection Laws regulate the collection, use and other processing of personal data, and impose requirements in connection with such processing that often are more restrictive than in other jurisdictions. For example, European Data 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spacing w:after="0" w:line="8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0" w:name="page31"/>
    <w:bookmarkEnd w:id="30"/>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 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Brand</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brand is important to its success. If Rezolve fails to effectively maintain, promote and enhance Rezolve’s brand, Rezolve’s business and competitive advantage may be harmed.</w:t>
      </w:r>
    </w:p>
    <w:p>
      <w:pPr>
        <w:spacing w:after="0" w:line="5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76"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2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of merchants or the content of their shops could damage Rezolve’s brand, subject Rezolve to liability and harm its business and financial results.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fails to maintain a consistently high level of customer service, Rezolve’s brand, business and financial results may be harmed.</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1" w:name="page32"/>
    <w:bookmarkEnd w:id="31"/>
    <w:p>
      <w:pPr>
        <w:ind w:right="220"/>
        <w:spacing w:after="0" w:line="261" w:lineRule="auto"/>
        <w:rPr>
          <w:sz w:val="20"/>
          <w:szCs w:val="20"/>
          <w:color w:val="auto"/>
        </w:rPr>
      </w:pPr>
      <w:r>
        <w:rPr>
          <w:rFonts w:ascii="Times New Roman" w:cs="Times New Roman" w:eastAsia="Times New Roman" w:hAnsi="Times New Roman"/>
          <w:sz w:val="18"/>
          <w:szCs w:val="18"/>
          <w:color w:val="auto"/>
        </w:rPr>
        <w:t>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Rezolve’s Intellectual Property</w:t>
      </w:r>
    </w:p>
    <w:p>
      <w:pPr>
        <w:spacing w:after="0" w:line="11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18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9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 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to dedicate substantially greater resources to developing and protecting their technology or intellectual property rights than Rezolve does.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be subject to claims by third parties of intellectual property infringement.</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non-infringing technology, enter into royalty-bearing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use of “open source” software could negatively affect its ability to sell its solutions and subject Rezolve to possible litigation.</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19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3" w:name="page34"/>
    <w:bookmarkEnd w:id="33"/>
    <w:p>
      <w:pPr>
        <w:ind w:right="360"/>
        <w:spacing w:after="0" w:line="282" w:lineRule="auto"/>
        <w:rPr>
          <w:sz w:val="20"/>
          <w:szCs w:val="20"/>
          <w:color w:val="auto"/>
        </w:rPr>
      </w:pPr>
      <w:r>
        <w:rPr>
          <w:rFonts w:ascii="Times New Roman" w:cs="Times New Roman" w:eastAsia="Times New Roman" w:hAnsi="Times New Roman"/>
          <w:sz w:val="18"/>
          <w:szCs w:val="18"/>
          <w:color w:val="auto"/>
        </w:rPr>
        <w:t>software, or remedies against the licensors. Many of the risks associated with usage of open source software cannot be eliminated and could adversely affect Rezolve’s business.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Although Rezolve believes that it has complied with its obligations under the various applicable licenses for open source software, it is possible that Rezolve may not be aware of all instances where open-source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and Regulatory Compliance</w:t>
      </w:r>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Memorandum and Articles of Association provide that Rezolve will indemnify its directors and officers, in each case to the fullest extent permitted by English law. 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29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8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These laws also require that Rezolve keeps accurate books and records and maintains internal controls and compliance procedures designed to prevent any such actions. While Rezolve has policies and procedures to address compliance with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34" w:name="page35"/>
    <w:bookmarkEnd w:id="34"/>
    <w:p>
      <w:pPr>
        <w:ind w:right="160"/>
        <w:spacing w:after="0" w:line="282" w:lineRule="auto"/>
        <w:rPr>
          <w:sz w:val="20"/>
          <w:szCs w:val="20"/>
          <w:color w:val="auto"/>
        </w:rPr>
      </w:pPr>
      <w:r>
        <w:rPr>
          <w:rFonts w:ascii="Times New Roman" w:cs="Times New Roman" w:eastAsia="Times New Roman" w:hAnsi="Times New Roman"/>
          <w:sz w:val="18"/>
          <w:szCs w:val="18"/>
          <w:color w:val="auto"/>
        </w:rPr>
        <w:t>Rezolve cannot assure you that none of its employees, agents, representatives, business partners or third-party intermediaries will take actions in violation of Rezolve’s policies and applicable law, for which Rezolve may be ultimately held responsible.</w:t>
      </w:r>
    </w:p>
    <w:p>
      <w:pPr>
        <w:spacing w:after="0" w:line="16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287"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trade tariffs, import restrictions, export restrictions, United States regulations or other trade barriers may materially harm Rezolve’s business.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29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Efforts to defend against such claims may entail significant costs and harm Rezolve’s reputation, all of which could adversely affect Rezolve’s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the Articles and English law could deter takeover attempts.</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Certain provisions in the Articles and the application of the UK Takeover Code to Rezolve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Ordinary Shares and Rezolve Operating as a Public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Ordinary Shares could be volatile, and the value of Ordinary Shares may decline.</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cannot predict the prices at which Ordinary Shares will trade. The price of Ordinary Shares s is likely to be volatile and could be subject to fluctuations in response to various factors, some of which are beyond our control. These fluctuations could cause you to lose all or part of your investment in Ordinary Shares as you might be unable to sell your shares at or above the price you paid. Factors that could cause fluctuations in the trading price of Ordinary Shares include the following:</w:t>
      </w:r>
    </w:p>
    <w:p>
      <w:pPr>
        <w:spacing w:after="0" w:line="72" w:lineRule="exact"/>
        <w:rPr>
          <w:sz w:val="20"/>
          <w:szCs w:val="20"/>
          <w:color w:val="auto"/>
        </w:rPr>
      </w:pPr>
    </w:p>
    <w:p>
      <w:pPr>
        <w:ind w:left="760" w:hanging="513"/>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prices and trading volumes of technology company stocks;</w:t>
      </w:r>
    </w:p>
    <w:p>
      <w:pPr>
        <w:spacing w:after="0" w:line="117" w:lineRule="exact"/>
        <w:rPr>
          <w:rFonts w:ascii="Times New Roman" w:cs="Times New Roman" w:eastAsia="Times New Roman" w:hAnsi="Times New Roman"/>
          <w:sz w:val="18"/>
          <w:szCs w:val="18"/>
          <w:color w:val="auto"/>
        </w:rPr>
      </w:pPr>
    </w:p>
    <w:p>
      <w:pPr>
        <w:ind w:left="760" w:right="560" w:hanging="513"/>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Rezolve’s industry in particular;</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Ordinary Shares by shareholders;</w:t>
      </w:r>
    </w:p>
    <w:p>
      <w:pPr>
        <w:spacing w:after="0" w:line="117" w:lineRule="exact"/>
        <w:rPr>
          <w:rFonts w:ascii="Times New Roman" w:cs="Times New Roman" w:eastAsia="Times New Roman" w:hAnsi="Times New Roman"/>
          <w:sz w:val="18"/>
          <w:szCs w:val="18"/>
          <w:color w:val="auto"/>
        </w:rPr>
      </w:pPr>
    </w:p>
    <w:p>
      <w:pPr>
        <w:ind w:left="760" w:right="660" w:hanging="513"/>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Rezolve, changes in financial estimates by securities analysts who follow Rezolve, or Rezolve’s failure to meet these estimates or the expectations of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5" w:name="page36"/>
    <w:bookmarkEnd w:id="35"/>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Rezolve may provide to the public, any changes in those projections, or Rezolve’s failure to meet those projections;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Rezolve or its competitors of new offerings or contracts;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Rezolve’s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customers perceive the benefits of Rezolve’s offerings and services, and future offerings;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payment systems;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Rezolve or other companies in the same or similar industry;</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Rezolve’s results of operations or fluctuations in Rezolve’s results of operations;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Rezolve’s business, Rezolve’s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760" w:right="720" w:hanging="513"/>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Rezolve, Rezolve’s industry or both, or investigations by regulators into Rezolve’s operations or those of Rezolve’s competitors;</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Rezolve’s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breach or incident involving our offerings, services or site or data stored or processed by us or on our behalf;</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commercial relationships, offerings, services, or technologies by Rezolve or its competitors;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Rezolve’s business;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760" w:right="140" w:hanging="513"/>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consequences related to the Rezolve Founder weighted voting capital structure, such as stock index providers excluding companies with weighted voting capital structures from certain indices;</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Rezolve’s management; and</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Rezolve’s markets and war or other hostilities.</w:t>
      </w:r>
    </w:p>
    <w:p>
      <w:pPr>
        <w:spacing w:after="0" w:line="22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trading price of Ordinary Shares could decline for reasons unrelated to our business, financial condition or results of operations. The trading price of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29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Public Warrants will ever be in the money at the time they become exercisable or otherwise, and they may expire worthless.</w:t>
      </w:r>
    </w:p>
    <w:p>
      <w:pPr>
        <w:spacing w:after="0" w:line="5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exercise price for the Public Warrants is $11.50 per Ordinary Share. There is no guarantee that such Public Warrants will ever be in the money prior to their expiration, and as such, the warrants may expire worthless.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be sustained, which would adversely affect the liquidity and price of Ordinary Shares.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 active trading market for our securities may not be sustained. In addition, the price of our securities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or Rezolve’s securities are not listed on the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Rezolve will be able to comply with the continued listing standards of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6" w:name="page37"/>
    <w:bookmarkEnd w:id="36"/>
    <w:p>
      <w:pPr>
        <w:ind w:right="80"/>
        <w:spacing w:after="0" w:line="282" w:lineRule="auto"/>
        <w:rPr>
          <w:sz w:val="20"/>
          <w:szCs w:val="20"/>
          <w:color w:val="auto"/>
        </w:rPr>
      </w:pPr>
      <w:r>
        <w:rPr>
          <w:rFonts w:ascii="Times New Roman" w:cs="Times New Roman" w:eastAsia="Times New Roman" w:hAnsi="Times New Roman"/>
          <w:sz w:val="18"/>
          <w:szCs w:val="18"/>
          <w:color w:val="auto"/>
        </w:rPr>
        <w:t>If Nasdaq delists Rezolve’s securities from trading on its exchange for failure to continue to comply with its listing standards, Rezolve and its stockholders could face significant material adverse consequences including:</w:t>
      </w:r>
    </w:p>
    <w:p>
      <w:pPr>
        <w:spacing w:after="0" w:line="54"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Rezolve’s securities;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Ordinary Shares are a “penny stock” which will require brokers trading in our Ordinary Shares to adhere to more stringent rules, possibly resulting in a reduced level of trading activity in the secondary trading market for the Ordinary Shares;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32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28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an “emerging growth company” as that term is used in the JOBS Act, and we may remain an emerging growth company until the earlier of</w:t>
      </w:r>
    </w:p>
    <w:p>
      <w:pPr>
        <w:spacing w:after="0" w:line="27" w:lineRule="exact"/>
        <w:rPr>
          <w:sz w:val="20"/>
          <w:szCs w:val="20"/>
          <w:color w:val="auto"/>
        </w:rPr>
      </w:pPr>
    </w:p>
    <w:p>
      <w:pPr>
        <w:ind w:firstLine="8"/>
        <w:spacing w:after="0" w:line="253" w:lineRule="auto"/>
        <w:tabs>
          <w:tab w:leader="none" w:pos="2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(A) following the fifth anniversary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29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1" w:lineRule="exact"/>
        <w:rPr>
          <w:sz w:val="20"/>
          <w:szCs w:val="20"/>
          <w:color w:val="auto"/>
        </w:rPr>
      </w:pPr>
    </w:p>
    <w:p>
      <w:pPr>
        <w:ind w:right="180" w:firstLine="554"/>
        <w:spacing w:after="0" w:line="261" w:lineRule="auto"/>
        <w:rPr>
          <w:sz w:val="20"/>
          <w:szCs w:val="20"/>
          <w:color w:val="auto"/>
        </w:rPr>
      </w:pPr>
      <w:r>
        <w:rPr>
          <w:rFonts w:ascii="Times New Roman" w:cs="Times New Roman" w:eastAsia="Times New Roman" w:hAnsi="Times New Roman"/>
          <w:sz w:val="18"/>
          <w:szCs w:val="18"/>
          <w:color w:val="auto"/>
        </w:rPr>
        <w:t>As a foreign private issuer whose ordinary shares are listed on the Nasdaq, we are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72" w:lineRule="exact"/>
        <w:rPr>
          <w:sz w:val="20"/>
          <w:szCs w:val="20"/>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17" w:lineRule="exact"/>
        <w:rPr>
          <w:rFonts w:ascii="Times New Roman" w:cs="Times New Roman" w:eastAsia="Times New Roman" w:hAnsi="Times New Roman"/>
          <w:sz w:val="18"/>
          <w:szCs w:val="18"/>
          <w:color w:val="auto"/>
        </w:rPr>
      </w:pPr>
    </w:p>
    <w:p>
      <w:pPr>
        <w:ind w:left="760" w:right="300" w:hanging="513"/>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760" w:right="180" w:hanging="513"/>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53" w:lineRule="exact"/>
        <w:rPr>
          <w:rFonts w:ascii="Times New Roman" w:cs="Times New Roman" w:eastAsia="Times New Roman" w:hAnsi="Times New Roman"/>
          <w:sz w:val="18"/>
          <w:szCs w:val="18"/>
          <w:color w:val="auto"/>
        </w:rPr>
      </w:pPr>
    </w:p>
    <w:p>
      <w:pPr>
        <w:ind w:left="760" w:right="480" w:hanging="513"/>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Rule 5635 requiring that a listed company obtain shareholder approval prior to an issuance of securities, including for acquisitions, equity-based compensation, changes of control, and private placements.</w:t>
      </w:r>
    </w:p>
    <w:p>
      <w:pPr>
        <w:spacing w:after="0" w:line="16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semi-yearly basis as press releases, distributed pursuant to the Nasdaq rules. Press releases relating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7" w:name="page38"/>
    <w:bookmarkEnd w:id="37"/>
    <w:p>
      <w:pPr>
        <w:ind w:right="80"/>
        <w:spacing w:after="0" w:line="266" w:lineRule="auto"/>
        <w:rPr>
          <w:sz w:val="20"/>
          <w:szCs w:val="20"/>
          <w:color w:val="auto"/>
        </w:rPr>
      </w:pPr>
      <w:r>
        <w:rPr>
          <w:rFonts w:ascii="Times New Roman" w:cs="Times New Roman" w:eastAsia="Times New Roman" w:hAnsi="Times New Roman"/>
          <w:sz w:val="18"/>
          <w:szCs w:val="18"/>
          <w:color w:val="auto"/>
        </w:rPr>
        <w:t>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72" w:lineRule="exact"/>
        <w:rPr>
          <w:sz w:val="20"/>
          <w:szCs w:val="20"/>
          <w:color w:val="auto"/>
        </w:rPr>
      </w:pPr>
    </w:p>
    <w:p>
      <w:pPr>
        <w:ind w:right="340" w:firstLine="509"/>
        <w:spacing w:after="0" w:line="268" w:lineRule="auto"/>
        <w:rPr>
          <w:sz w:val="20"/>
          <w:szCs w:val="20"/>
          <w:color w:val="auto"/>
        </w:rPr>
      </w:pPr>
      <w:r>
        <w:rPr>
          <w:rFonts w:ascii="Times New Roman" w:cs="Times New Roman" w:eastAsia="Times New Roman" w:hAnsi="Times New Roman"/>
          <w:sz w:val="18"/>
          <w:szCs w:val="18"/>
          <w:color w:val="auto"/>
        </w:rPr>
        <w:t>In addition, as a foreign private issuer we will be exempt from the provisions of Regulation Fair Disclosure (“</w:t>
      </w:r>
      <w:r>
        <w:rPr>
          <w:rFonts w:ascii="Times New Roman" w:cs="Times New Roman" w:eastAsia="Times New Roman" w:hAnsi="Times New Roman"/>
          <w:sz w:val="18"/>
          <w:szCs w:val="18"/>
          <w:b w:val="1"/>
          <w:bCs w:val="1"/>
          <w:i w:val="1"/>
          <w:iCs w:val="1"/>
          <w:color w:val="auto"/>
        </w:rPr>
        <w:t>Regulation FD</w:t>
      </w:r>
      <w:r>
        <w:rPr>
          <w:rFonts w:ascii="Times New Roman" w:cs="Times New Roman" w:eastAsia="Times New Roman" w:hAnsi="Times New Roman"/>
          <w:sz w:val="18"/>
          <w:szCs w:val="18"/>
          <w:color w:val="auto"/>
        </w:rPr>
        <w:t>”),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spacing w:after="0" w:line="17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 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29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Ordinary Shares in connection with financings, acquisitions, investments, our stock incentive plans, or otherwise will dilute all other shareholders.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and pursuant to the Standby Purchase Agreement and other convertible securities.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Ordinary Shares to decline.</w:t>
      </w:r>
    </w:p>
    <w:p>
      <w:pPr>
        <w:spacing w:after="0" w:line="2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are required to devote a substantial amount of time to compliance with these requirements. Moreover, these rules and regulations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47"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color w:val="auto"/>
        </w:rPr>
        <w:t>A non-U.S. corporation generally will be classified as a controlled foreign corporation for U.S. federal income tax purposes (a “</w:t>
      </w:r>
      <w:r>
        <w:rPr>
          <w:rFonts w:ascii="Times New Roman" w:cs="Times New Roman" w:eastAsia="Times New Roman" w:hAnsi="Times New Roman"/>
          <w:sz w:val="18"/>
          <w:szCs w:val="18"/>
          <w:b w:val="1"/>
          <w:bCs w:val="1"/>
          <w:i w:val="1"/>
          <w:iCs w:val="1"/>
          <w:color w:val="auto"/>
        </w:rPr>
        <w:t>CFC</w:t>
      </w:r>
      <w:r>
        <w:rPr>
          <w:rFonts w:ascii="Times New Roman" w:cs="Times New Roman" w:eastAsia="Times New Roman" w:hAnsi="Times New Roman"/>
          <w:sz w:val="18"/>
          <w:szCs w:val="18"/>
          <w:color w:val="auto"/>
        </w:rPr>
        <w:t>”),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but CFC status is determined after taking into account complex constructive ownership rules, the application of which may depend on circumstances we are not aware of, and, accordingly, there can be no assurance in this regard. However, certain of Rezolve’s non-U.S. subsidiaries may be classified as CFCs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614045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8" w:name="page39"/>
    <w:bookmarkEnd w:id="38"/>
    <w:p>
      <w:pPr>
        <w:spacing w:after="0" w:line="252" w:lineRule="auto"/>
        <w:rPr>
          <w:sz w:val="20"/>
          <w:szCs w:val="20"/>
          <w:color w:val="auto"/>
        </w:rPr>
      </w:pPr>
      <w:r>
        <w:rPr>
          <w:rFonts w:ascii="Times New Roman" w:cs="Times New Roman" w:eastAsia="Times New Roman" w:hAnsi="Times New Roman"/>
          <w:sz w:val="18"/>
          <w:szCs w:val="18"/>
          <w:color w:val="auto"/>
        </w:rPr>
        <w:t>(as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 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 shareholders may suffer adverse tax consequences if we are classified as a “passive foreign investment company.”</w:t>
      </w:r>
    </w:p>
    <w:p>
      <w:pPr>
        <w:spacing w:after="0" w:line="11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 non-U.S. corporation generally will be treated as a “passive foreign investment company” (“</w:t>
      </w:r>
      <w:r>
        <w:rPr>
          <w:rFonts w:ascii="Times New Roman" w:cs="Times New Roman" w:eastAsia="Times New Roman" w:hAnsi="Times New Roman"/>
          <w:sz w:val="18"/>
          <w:szCs w:val="18"/>
          <w:b w:val="1"/>
          <w:bCs w:val="1"/>
          <w:i w:val="1"/>
          <w:iCs w:val="1"/>
          <w:color w:val="auto"/>
        </w:rPr>
        <w:t>PFIC</w:t>
      </w:r>
      <w:r>
        <w:rPr>
          <w:rFonts w:ascii="Times New Roman" w:cs="Times New Roman" w:eastAsia="Times New Roman" w:hAnsi="Times New Roman"/>
          <w:sz w:val="18"/>
          <w:szCs w:val="18"/>
          <w:color w:val="auto"/>
        </w:rPr>
        <w:t>”),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2024.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holds our ordinary shares, certain adverse U.S. federal income tax consequences could apply to such U.S. Holder (as defined in “</w:t>
      </w:r>
      <w:r>
        <w:rPr>
          <w:rFonts w:ascii="Times New Roman" w:cs="Times New Roman" w:eastAsia="Times New Roman" w:hAnsi="Times New Roman"/>
          <w:sz w:val="18"/>
          <w:szCs w:val="18"/>
          <w:i w:val="1"/>
          <w:iCs w:val="1"/>
          <w:color w:val="auto"/>
        </w:rPr>
        <w:t>Material Tax Considerations</w:t>
      </w:r>
      <w:r>
        <w:rPr>
          <w:rFonts w:ascii="Times New Roman" w:cs="Times New Roman" w:eastAsia="Times New Roman" w:hAnsi="Times New Roman"/>
          <w:sz w:val="18"/>
          <w:szCs w:val="18"/>
          <w:color w:val="auto"/>
        </w:rPr>
        <w:t>”). Prospective U.S. Holders should consult their tax advisors regarding the potential application of the PFIC rules to them.</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Internal Revenue Service may not agree that Rezolve should be treated as a non-U.S. corporation for U.S. federal income tax purposes.</w:t>
      </w:r>
    </w:p>
    <w:p>
      <w:pPr>
        <w:spacing w:after="0" w:line="11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Although Rezolve is incorporated in England and Wales, the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8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Rezolve does not currently expect to be treated as a U.S. corporation for U.S. federal income tax purposes under Section 7874 of the Code.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83"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If Rezolve were treated as a U.S. corporation for U.S. federal income tax purposes under Section 7874 of the Code, Rezolve and certain Rezolve shareholders would be subject to significant adverse tax consequences, including a higher effective corporate income tax rate on Rezolve and future withholding taxes on certain Rezolve shareholders, depending on the application of any income tax treaty that might apply to reduce such withholding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9" w:name="page40"/>
    <w:bookmarkEnd w:id="39"/>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All of the securities offered by the Selling Holders pursuant to this prospectus will be sold by the Selling Holders for their respective accounts. We will not receive any of the proceeds from these sales.</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We could receive up to an aggregate of approximately $86 million from the exercise of all Public Warrants, and up to an aggregate of approximately $4.5 million from the exercise of all Private Warrants, assuming the exercise in full of all such Warrants for cash. Unless we inform you otherwise in a prospectus supplement or free writing prospectus, to the extent we elect the exercise of such Warrants for cash, we intend to use the net proceeds from such exercise for general corporate purposes. However, as of the date of this prospectus, our Public Warrants are “out-of-the money,” which means that the trading price of the Ordinary Shares underlying the Public Warrants is below the $11.50 exercise price of the Public Warrants. For so long as the warrants remain “out-of-the money,” we do not expect warrant holders to exercise their Public Warrants and, therefore, we do not expect to receive cash proceeds from any such exercise. See the risk factor entitled </w:t>
      </w:r>
      <w:r>
        <w:rPr>
          <w:rFonts w:ascii="Times New Roman" w:cs="Times New Roman" w:eastAsia="Times New Roman" w:hAnsi="Times New Roman"/>
          <w:sz w:val="18"/>
          <w:szCs w:val="18"/>
          <w:i w:val="1"/>
          <w:iCs w:val="1"/>
          <w:color w:val="auto"/>
        </w:rPr>
        <w:t>“There can be no assurance that the Public Warrants will ever be in the money at the time they become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exercisable or otherwise, and they may expire worthless” </w:t>
      </w:r>
      <w:r>
        <w:rPr>
          <w:rFonts w:ascii="Times New Roman" w:cs="Times New Roman" w:eastAsia="Times New Roman" w:hAnsi="Times New Roman"/>
          <w:sz w:val="18"/>
          <w:szCs w:val="18"/>
          <w:color w:val="auto"/>
        </w:rPr>
        <w:t>for more information.</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Selling Holders will pay any underwriting commissions and discounts, and expenses incurred by the Selling Holders for brokerage, marketing costs, or legal services (other than those detailed below). We will bear the costs, fees and expenses incurred in effecting the registration of the securities covered by this prospectus, including all registration and filing fees, securities or blue sky law compliance fees, Nasdaq listing fees and expenses of our counsel and our independent registered public accounting firm, and fees and expenses of one legal counsel.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we or our subsidiaries enter into from time to time.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PRICE OF OUR SECURITIES</w:t>
      </w:r>
    </w:p>
    <w:p>
      <w:pPr>
        <w:spacing w:after="0" w:line="202"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The Ordinary Shares began trading on Nasdaq under the symbol “RZLV” on August 15, 2024. The Public Warrants began trading on Nasdaq under the symbol “RZLVW” on August 15, 2024. The Armada Ordinary Shares, Armada Warrants and Armada Units were previously listed on Nasdaq under the symbols “AACI,” “AACIW,” and “AACIU,” respectively. The Armada Units began trading on Nasdaq on August 13, 2021 and the Armada Ordinary Shares and Armada Warrants began trading on Nasdaq on November 16, 2021. The Armada Units automatically separated into the component securities upon consummation of the Business Combination. Prior to the Closing Date, each Armada Unit consisted of one Armada Ordinary Share and one half of one Armada Warrant, whereby each whole Armada Warrant entitled the holder to purchase one Armada Ordinary Share at an exercise price of $11.50 per share. Upon the closing of the Business Combination, the Armada Ordinary Shares were converted into Ordinary Shares. As of April 25, 2025, there were approximately 2 shareholders of record of Ordinary Shares and one shareholder of record of Warrants. Such numbers do not include beneficial owners holding our securities through nominee names. On May 1, 2025, the last reported closing sale prices of our Ordinary Shares and Public Warrants were $2.19 and $0.5501,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149"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i w:val="1"/>
          <w:iCs w:val="1"/>
          <w:color w:val="auto"/>
        </w:rPr>
        <w:t>Defined terms included below have the same meaning as terms defined and included elsewhere in this prospectus.</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previously disclosed in its Current Reports on Form 6-K furnished with the Securities and Exchange Commission (“SEC”) on March 31, 2025, March 6, 2025, February 21, 2025 and February 7, 2025, Rezolve AI plc (“Rezolve” or “the Company”) completed two acquisitions after December 31, 2024 but before the consolidated financial statements of the Company as of and for the year ended December 31, 2024 were issued.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February 4, 2025, the Company entered into a purchase agreement with DBLP Sea Cow Ltd (“DBLP”), to acquire the entire issued and to be issued share capital of each of Bluedot Industries, Inc. and Bluedot Industries Pty. Ltd. As consideration for this acquisition, the Company issued 819,737 ordinary shares of the Company in a private placement to DBLP.</w:t>
      </w:r>
    </w:p>
    <w:p>
      <w:pPr>
        <w:spacing w:after="0" w:line="176"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and beneficially owned by John Wagner. Both Daniel Wagner and John Wagner are directors of DBLP.</w:t>
      </w:r>
    </w:p>
    <w:p>
      <w:pPr>
        <w:spacing w:after="0" w:line="5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March 17, 2025, the Company entered into a share purchase agreement with Tanist Group Limited (“Tanist Group”) pursuant to which the Company acquired 100% of the issued and outstanding shares of Bluedot Innovation Pty. Ltd. As consideration for this acquisition, the Company issued 1,941,111 ordinary shares of the Company to the Tanist Group.</w:t>
      </w:r>
    </w:p>
    <w:p>
      <w:pPr>
        <w:spacing w:after="0" w:line="68"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Bluedot Industries, Inc., Bluedot Industries Pty. Ltd. and Bluedot Innovation Pty. Ltd, together “Bluedot”, is a developer of mobile location technology to enhance customer experiences.</w:t>
      </w:r>
    </w:p>
    <w:p>
      <w:pPr>
        <w:spacing w:after="0" w:line="54"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On February 20, 2025 and March 17, 2025, the Company closed the acquisition of Bluedot and issued the above mentioned ordinary shares as consideration to DBLP and the Tanist Group, respectively.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acquisition of Bluedot was not deemed significant under Rule 3-05 of Regulation S-X (“Rule 3-05”).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purchase agreement with GroupBy Inc., GroupBy International Ltd., and Fortis Advisors LLC, as the representative of the sellers party thereto (“the Sellers”), to acquire the entire issued and to be issued share capital of each of GroupBy Inc., GroupBy International Ltd., GroupBy USA Inc., and GroupBy UK Ltd (together “GroupBy”).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GroupBy is an eCommerce Search and Product Discovery SaaS technology provider that powers some of the largest B2B and B2C brands.</w:t>
      </w:r>
    </w:p>
    <w:p>
      <w:pPr>
        <w:spacing w:after="0" w:line="22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16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acquisition of GroupBy was deemed significant under Rule 3-05 and separate financial statements for GroupBy are included elsewhere in this prospectus.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Unaudited Pro Forma Condensed Combined Financial Information</w:t>
      </w:r>
    </w:p>
    <w:p>
      <w:pPr>
        <w:spacing w:after="0" w:line="227"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gives effect to the Bluedot acquisition and the GroupBy acquisition as if both acquisitions had been completed on December 31, 2024. The Unaudited Pro Forma Condensed Combined Statement of Operations for the year ended December 31, 2024 gives effect to the Bluedot acquisition and the GroupBy acquisition as if both acquisitions had been completed on January 1, 2024. As such the adjustments reflected in the Unaudited Pro Forma Condensed Combined Balance Sheet will not necessarily reconcile with the adjustments in the Unaudited Pro Forma Condensed Combined Statements of Operations. Assumptions and estimates underlying the pro forma adjustments are described in the accompanying notes, which should be read in conjunction with the unaudited pro forma condensed combined financial statements.</w:t>
      </w:r>
    </w:p>
    <w:p>
      <w:pPr>
        <w:spacing w:after="0" w:line="18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provided for illustrative purposes only and does not purport to represent what the actual consolidated results of operations of Rezolve would have been had the Bluedot acquisition and the GroupBy acquisition occurred on the dates noted above, nor are they necessarily indicative of future consolidated results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ind w:right="480"/>
        <w:spacing w:after="0" w:line="282" w:lineRule="auto"/>
        <w:rPr>
          <w:sz w:val="20"/>
          <w:szCs w:val="20"/>
          <w:color w:val="auto"/>
        </w:rPr>
      </w:pPr>
      <w:r>
        <w:rPr>
          <w:rFonts w:ascii="Times New Roman" w:cs="Times New Roman" w:eastAsia="Times New Roman" w:hAnsi="Times New Roman"/>
          <w:sz w:val="18"/>
          <w:szCs w:val="18"/>
          <w:color w:val="auto"/>
        </w:rPr>
        <w:t>operations. Future results may vary significantly from the results reflected because of various factors. In Rezolve’s opinion, all adjustments that are necessary to present fairly the unaudited pro forma condensed combined financial information have been made.</w:t>
      </w:r>
    </w:p>
    <w:p>
      <w:pPr>
        <w:spacing w:after="0" w:line="16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reflect the benefits of potential cost savings or the costs that may be necessary to achieve such savings, opportunities to increase revenue generation or other factors that may result from the Bluedot acquisition and the GroupBy acquisition and does not attempt to predict or suggest future results.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unaudited pro forma financial statements have been developed from and should be read in conjunction with:</w:t>
      </w:r>
    </w:p>
    <w:p>
      <w:pPr>
        <w:spacing w:after="0" w:line="117" w:lineRule="exact"/>
        <w:rPr>
          <w:sz w:val="20"/>
          <w:szCs w:val="20"/>
          <w:color w:val="auto"/>
        </w:rPr>
      </w:pPr>
    </w:p>
    <w:p>
      <w:pPr>
        <w:ind w:left="1020" w:right="2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Rezolve as of, and for the years ended, December 31, 2024 and 2023, included elsewhere in this prospectus;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combined consolidated financial statements for GroupBy as of, and for the years ended, December 31, 2024 and 2023, included elsewhere in this prospectus;</w:t>
      </w:r>
    </w:p>
    <w:p>
      <w:pPr>
        <w:spacing w:after="0" w:line="51" w:lineRule="exact"/>
        <w:rPr>
          <w:rFonts w:ascii="Times New Roman" w:cs="Times New Roman" w:eastAsia="Times New Roman" w:hAnsi="Times New Roman"/>
          <w:sz w:val="18"/>
          <w:szCs w:val="18"/>
          <w:color w:val="auto"/>
        </w:rPr>
      </w:pPr>
    </w:p>
    <w:p>
      <w:pPr>
        <w:ind w:left="1020" w:right="60" w:hanging="503"/>
        <w:spacing w:after="0" w:line="284"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w:t>
      </w:r>
      <w:r>
        <w:rPr>
          <w:rFonts w:ascii="Times New Roman" w:cs="Times New Roman" w:eastAsia="Times New Roman" w:hAnsi="Times New Roman"/>
          <w:sz w:val="18"/>
          <w:szCs w:val="18"/>
          <w:i w:val="1"/>
          <w:iCs w:val="1"/>
          <w:color w:val="auto"/>
        </w:rPr>
        <w:t>Management’s Discussion and Analysis of Financial Condition and Results of Operation</w:t>
      </w:r>
      <w:r>
        <w:rPr>
          <w:rFonts w:ascii="Times New Roman" w:cs="Times New Roman" w:eastAsia="Times New Roman" w:hAnsi="Times New Roman"/>
          <w:sz w:val="18"/>
          <w:szCs w:val="18"/>
          <w:color w:val="auto"/>
        </w:rPr>
        <w:t>s.”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597535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28" w:right="47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5"/>
          <w:szCs w:val="15"/>
          <w:b w:val="1"/>
          <w:bCs w:val="1"/>
          <w:color w:val="auto"/>
        </w:rPr>
        <w:t>REZOLVE AI plc AND SUBSIDIARIES</w:t>
      </w:r>
    </w:p>
    <w:p>
      <w:pPr>
        <w:jc w:val="center"/>
        <w:spacing w:after="0" w:line="234" w:lineRule="auto"/>
        <w:rPr>
          <w:sz w:val="20"/>
          <w:szCs w:val="20"/>
          <w:color w:val="auto"/>
        </w:rPr>
      </w:pPr>
      <w:r>
        <w:rPr>
          <w:rFonts w:ascii="Times New Roman" w:cs="Times New Roman" w:eastAsia="Times New Roman" w:hAnsi="Times New Roman"/>
          <w:sz w:val="15"/>
          <w:szCs w:val="15"/>
          <w:b w:val="1"/>
          <w:bCs w:val="1"/>
          <w:color w:val="auto"/>
        </w:rPr>
        <w:t>UNAUDITED PRO FORMA CONDENSED COMBINED BALANCE SHEET</w:t>
      </w:r>
    </w:p>
    <w:tbl>
      <w:tblPr>
        <w:tblLayout w:type="fixed"/>
        <w:tblInd w:w="0" w:type="dxa"/>
        <w:tblCellMar>
          <w:top w:w="0" w:type="dxa"/>
          <w:left w:w="0" w:type="dxa"/>
          <w:bottom w:w="0" w:type="dxa"/>
          <w:right w:w="0" w:type="dxa"/>
        </w:tblCellMar>
      </w:tblPr>
      <w:tr>
        <w:trPr>
          <w:trHeight w:val="160"/>
        </w:trPr>
        <w:tc>
          <w:tcPr>
            <w:tcW w:w="2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jc w:val="right"/>
              <w:ind w:right="140"/>
              <w:spacing w:after="0" w:line="140" w:lineRule="exact"/>
              <w:rPr>
                <w:sz w:val="20"/>
                <w:szCs w:val="20"/>
                <w:color w:val="auto"/>
              </w:rPr>
            </w:pPr>
            <w:r>
              <w:rPr>
                <w:rFonts w:ascii="Times New Roman" w:cs="Times New Roman" w:eastAsia="Times New Roman" w:hAnsi="Times New Roman"/>
                <w:sz w:val="13"/>
                <w:szCs w:val="13"/>
                <w:b w:val="1"/>
                <w:bCs w:val="1"/>
                <w:color w:val="auto"/>
              </w:rPr>
              <w:t>Proforma Combined</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6"/>
              </w:rPr>
              <w:t>Rezolve AI plc</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3"/>
          </w:tcPr>
          <w:p>
            <w:pPr>
              <w:jc w:val="center"/>
              <w:ind w:right="340"/>
              <w:spacing w:after="0" w:line="11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120" w:type="dxa"/>
            <w:vAlign w:val="bottom"/>
          </w:tcPr>
          <w:p>
            <w:pPr>
              <w:spacing w:after="0"/>
              <w:rPr>
                <w:sz w:val="9"/>
                <w:szCs w:val="9"/>
                <w:color w:val="auto"/>
              </w:rPr>
            </w:pPr>
          </w:p>
        </w:tc>
        <w:tc>
          <w:tcPr>
            <w:tcW w:w="100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9"/>
              </w:rPr>
              <w:t>GroupBy</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and Subsidiaries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GroupBy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Industries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Innovation</w:t>
            </w:r>
          </w:p>
        </w:tc>
        <w:tc>
          <w:tcPr>
            <w:tcW w:w="12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0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(Historical as of</w:t>
            </w:r>
          </w:p>
        </w:tc>
        <w:tc>
          <w:tcPr>
            <w:tcW w:w="120" w:type="dxa"/>
            <w:vAlign w:val="bottom"/>
          </w:tcPr>
          <w:p>
            <w:pPr>
              <w:spacing w:after="0"/>
              <w:rPr>
                <w:sz w:val="11"/>
                <w:szCs w:val="11"/>
                <w:color w:val="auto"/>
              </w:rPr>
            </w:pPr>
          </w:p>
        </w:tc>
        <w:tc>
          <w:tcPr>
            <w:tcW w:w="11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 as of</w:t>
            </w:r>
          </w:p>
        </w:tc>
        <w:tc>
          <w:tcPr>
            <w:tcW w:w="12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(Historical as of</w:t>
            </w:r>
          </w:p>
        </w:tc>
        <w:tc>
          <w:tcPr>
            <w:tcW w:w="120" w:type="dxa"/>
            <w:vAlign w:val="bottom"/>
          </w:tcPr>
          <w:p>
            <w:pPr>
              <w:spacing w:after="0"/>
              <w:rPr>
                <w:sz w:val="11"/>
                <w:szCs w:val="11"/>
                <w:color w:val="auto"/>
              </w:rPr>
            </w:pPr>
          </w:p>
        </w:tc>
        <w:tc>
          <w:tcPr>
            <w:tcW w:w="1040" w:type="dxa"/>
            <w:vAlign w:val="bottom"/>
            <w:gridSpan w:val="4"/>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(Historical as</w:t>
            </w:r>
          </w:p>
        </w:tc>
        <w:tc>
          <w:tcPr>
            <w:tcW w:w="12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Accounting</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12/31/2024)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12/31/2024)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12/31/2024)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of 12/31/2024)</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Combined</w:t>
            </w:r>
          </w:p>
        </w:tc>
        <w:tc>
          <w:tcPr>
            <w:tcW w:w="0" w:type="dxa"/>
            <w:vAlign w:val="bottom"/>
          </w:tcPr>
          <w:p>
            <w:pPr>
              <w:spacing w:after="0"/>
              <w:rPr>
                <w:sz w:val="1"/>
                <w:szCs w:val="1"/>
                <w:color w:val="auto"/>
              </w:rPr>
            </w:pPr>
          </w:p>
        </w:tc>
      </w:tr>
      <w:tr>
        <w:trPr>
          <w:trHeight w:val="115"/>
        </w:trPr>
        <w:tc>
          <w:tcPr>
            <w:tcW w:w="26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center"/>
              <w:ind w:right="17"/>
              <w:spacing w:after="0" w:line="115" w:lineRule="exact"/>
              <w:rPr>
                <w:sz w:val="20"/>
                <w:szCs w:val="20"/>
                <w:color w:val="auto"/>
              </w:rPr>
            </w:pPr>
            <w:r>
              <w:rPr>
                <w:rFonts w:ascii="Times New Roman" w:cs="Times New Roman" w:eastAsia="Times New Roman" w:hAnsi="Times New Roman"/>
                <w:sz w:val="13"/>
                <w:szCs w:val="13"/>
                <w:b w:val="1"/>
                <w:bCs w:val="1"/>
                <w:color w:val="auto"/>
                <w:w w:val="96"/>
              </w:rPr>
              <w:t>G =</w:t>
            </w: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A</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B</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84"/>
              </w:rPr>
              <w:t>C</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84"/>
              </w:rPr>
              <w:t>D</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E</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F</w:t>
            </w:r>
          </w:p>
        </w:tc>
        <w:tc>
          <w:tcPr>
            <w:tcW w:w="320" w:type="dxa"/>
            <w:vAlign w:val="bottom"/>
          </w:tcPr>
          <w:p>
            <w:pPr>
              <w:spacing w:after="0"/>
              <w:rPr>
                <w:sz w:val="11"/>
                <w:szCs w:val="11"/>
                <w:color w:val="auto"/>
              </w:rPr>
            </w:pPr>
          </w:p>
        </w:tc>
        <w:tc>
          <w:tcPr>
            <w:tcW w:w="1060" w:type="dxa"/>
            <w:vAlign w:val="bottom"/>
            <w:gridSpan w:val="4"/>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A+B+C+D+E+</w:t>
            </w: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F</w:t>
            </w: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Current assets:</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9,450,944</w:t>
            </w:r>
          </w:p>
        </w:tc>
        <w:tc>
          <w:tcPr>
            <w:tcW w:w="120" w:type="dxa"/>
            <w:vAlign w:val="bottom"/>
            <w:shd w:val="clear" w:color="auto" w:fill="CFF0FC"/>
          </w:tcPr>
          <w:p>
            <w:pPr>
              <w:spacing w:after="0"/>
              <w:rPr>
                <w:sz w:val="11"/>
                <w:szCs w:val="11"/>
                <w:color w:val="auto"/>
              </w:rPr>
            </w:pPr>
          </w:p>
        </w:tc>
        <w:tc>
          <w:tcPr>
            <w:tcW w:w="2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6,482,298</w:t>
            </w:r>
          </w:p>
        </w:tc>
        <w:tc>
          <w:tcPr>
            <w:tcW w:w="120" w:type="dxa"/>
            <w:vAlign w:val="bottom"/>
            <w:shd w:val="clear" w:color="auto" w:fill="CFF0FC"/>
          </w:tcPr>
          <w:p>
            <w:pPr>
              <w:spacing w:after="0"/>
              <w:rPr>
                <w:sz w:val="11"/>
                <w:szCs w:val="11"/>
                <w:color w:val="auto"/>
              </w:rPr>
            </w:pPr>
          </w:p>
        </w:tc>
        <w:tc>
          <w:tcPr>
            <w:tcW w:w="220" w:type="dxa"/>
            <w:vAlign w:val="bottom"/>
            <w:gridSpan w:val="2"/>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278,603</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16,211,876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Accounts receivable, net</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21,274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1,148,861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682,432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1,852,567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960,848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1,146,327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10,000</w:t>
            </w: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a</w:t>
            </w: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2,117,175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Derivative asset</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2,587,581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2,587,581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Income taxes receivable</w:t>
            </w:r>
          </w:p>
        </w:tc>
        <w:tc>
          <w:tcPr>
            <w:tcW w:w="6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222,222</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gridSpan w:val="2"/>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222,222</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6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13,020,647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8,999,708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961,035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10,000</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22,991,421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Non-current assets:</w:t>
            </w:r>
          </w:p>
        </w:tc>
        <w:tc>
          <w:tcPr>
            <w:tcW w:w="6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Property and equipment, net</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17,332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4,987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4,082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26,401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Intangible assets, net</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6,750,178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68,304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34,400,000</w:t>
            </w: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b</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6,276,731</w:t>
            </w:r>
          </w:p>
        </w:tc>
        <w:tc>
          <w:tcPr>
            <w:tcW w:w="10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8"/>
              </w:rPr>
              <w:t>c,d</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47,495,213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Goodwill</w:t>
            </w:r>
          </w:p>
        </w:tc>
        <w:tc>
          <w:tcPr>
            <w:tcW w:w="6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4,580,673</w:t>
            </w:r>
          </w:p>
        </w:tc>
        <w:tc>
          <w:tcPr>
            <w:tcW w:w="120" w:type="dxa"/>
            <w:vAlign w:val="bottom"/>
          </w:tcPr>
          <w:p>
            <w:pPr>
              <w:spacing w:after="0"/>
              <w:rPr>
                <w:sz w:val="11"/>
                <w:szCs w:val="11"/>
                <w:color w:val="auto"/>
              </w:rPr>
            </w:pPr>
          </w:p>
        </w:tc>
        <w:tc>
          <w:tcPr>
            <w:tcW w:w="4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e</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1,093,939</w:t>
            </w:r>
          </w:p>
        </w:tc>
        <w:tc>
          <w:tcPr>
            <w:tcW w:w="100" w:type="dxa"/>
            <w:vAlign w:val="bottom"/>
          </w:tcPr>
          <w:p>
            <w:pPr>
              <w:spacing w:after="0"/>
              <w:rPr>
                <w:sz w:val="11"/>
                <w:szCs w:val="11"/>
                <w:color w:val="auto"/>
              </w:rPr>
            </w:pPr>
          </w:p>
        </w:tc>
        <w:tc>
          <w:tcPr>
            <w:tcW w:w="400" w:type="dxa"/>
            <w:vAlign w:val="bottom"/>
            <w:gridSpan w:val="2"/>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1"/>
              </w:rPr>
              <w:t>f</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5,674,612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Right-of-use asset</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174,568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9,771</w:t>
            </w: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g</w:t>
            </w: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184,339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Deferred tax asset</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384,408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384,408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41,269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41,269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6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6,767,510</w:t>
            </w: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174,568</w:t>
            </w: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430,664</w:t>
            </w: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72,386</w:t>
            </w:r>
          </w:p>
        </w:tc>
        <w:tc>
          <w:tcPr>
            <w:tcW w:w="120" w:type="dxa"/>
            <w:vAlign w:val="bottom"/>
            <w:tcBorders>
              <w:top w:val="single" w:sz="8" w:color="CFF0FC"/>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38,990,444</w:t>
            </w:r>
          </w:p>
        </w:tc>
        <w:tc>
          <w:tcPr>
            <w:tcW w:w="120" w:type="dxa"/>
            <w:vAlign w:val="bottom"/>
            <w:tcBorders>
              <w:top w:val="single" w:sz="8" w:color="CFF0FC"/>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7,370,670</w:t>
            </w:r>
          </w:p>
        </w:tc>
        <w:tc>
          <w:tcPr>
            <w:tcW w:w="100" w:type="dxa"/>
            <w:vAlign w:val="bottom"/>
            <w:tcBorders>
              <w:top w:val="single" w:sz="8" w:color="CFF0FC"/>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53,806,242</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19,788,157</w:t>
            </w:r>
          </w:p>
        </w:tc>
        <w:tc>
          <w:tcPr>
            <w:tcW w:w="12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9,174,276</w:t>
            </w:r>
          </w:p>
        </w:tc>
        <w:tc>
          <w:tcPr>
            <w:tcW w:w="1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1,391,699</w:t>
            </w:r>
          </w:p>
        </w:tc>
        <w:tc>
          <w:tcPr>
            <w:tcW w:w="12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72,417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39,000,444</w:t>
            </w:r>
          </w:p>
        </w:tc>
        <w:tc>
          <w:tcPr>
            <w:tcW w:w="12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7,370,670</w:t>
            </w:r>
          </w:p>
        </w:tc>
        <w:tc>
          <w:tcPr>
            <w:tcW w:w="10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76,797,663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660" w:type="dxa"/>
            <w:vAlign w:val="bottom"/>
            <w:tcBorders>
              <w:top w:val="single" w:sz="8" w:color="CFF0FC"/>
            </w:tcBorders>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3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3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Current liabilities: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7,303,060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21,598,041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1,493,082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3,966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1,371,844</w:t>
            </w:r>
          </w:p>
        </w:tc>
        <w:tc>
          <w:tcPr>
            <w:tcW w:w="120" w:type="dxa"/>
            <w:vAlign w:val="bottom"/>
          </w:tcPr>
          <w:p>
            <w:pPr>
              <w:spacing w:after="0"/>
              <w:rPr>
                <w:sz w:val="11"/>
                <w:szCs w:val="11"/>
                <w:color w:val="auto"/>
              </w:rPr>
            </w:pPr>
          </w:p>
        </w:tc>
        <w:tc>
          <w:tcPr>
            <w:tcW w:w="4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a,i</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295,846</w:t>
            </w:r>
          </w:p>
        </w:tc>
        <w:tc>
          <w:tcPr>
            <w:tcW w:w="100" w:type="dxa"/>
            <w:vAlign w:val="bottom"/>
          </w:tcPr>
          <w:p>
            <w:pPr>
              <w:spacing w:after="0"/>
              <w:rPr>
                <w:sz w:val="11"/>
                <w:szCs w:val="11"/>
                <w:color w:val="auto"/>
              </w:rPr>
            </w:pPr>
          </w:p>
        </w:tc>
        <w:tc>
          <w:tcPr>
            <w:tcW w:w="400" w:type="dxa"/>
            <w:vAlign w:val="bottom"/>
            <w:gridSpan w:val="2"/>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1"/>
              </w:rPr>
              <w:t>j</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32,065,839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Due to related party</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1,054,429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1,054,429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Accrued expenses and other payables</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9,513,932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1,089,012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10,602,944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Short term debt to related party</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5,102,211</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589,940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5,692,151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Short term convertible debt</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10,288,123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10,288,123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Short term convertible debt to related party</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95,309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95,309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Convertible promissory notes</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6,428,825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6,428,825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Ordinary Shares Payable</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1,206,609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1,206,609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payment liability</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Advisors loans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12,812,366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12,812,366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Derivative liabilities</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2,579,875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2,579,875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Bank indebtedness</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12,000,000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(12,000,000)</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h</w:t>
            </w: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Deferred revenue</w:t>
            </w:r>
          </w:p>
        </w:tc>
        <w:tc>
          <w:tcPr>
            <w:tcW w:w="6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8,584,886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1,161,723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9,746,609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 liability</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20,149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(20,149)</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k</w:t>
            </w: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Current portion of lease liabilities</w:t>
            </w: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43,069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43,069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57,784,739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42,246,145</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4,333,757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3,966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(10,648,305)</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295,846</w:t>
            </w: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94,016,148</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Non-current liabilities:</w:t>
            </w: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Deferred tax liability</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10,335,000</w:t>
            </w: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l</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1,228,051</w:t>
            </w:r>
          </w:p>
        </w:tc>
        <w:tc>
          <w:tcPr>
            <w:tcW w:w="10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1"/>
              </w:rPr>
              <w:t>m</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11,563,051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Debt</w:t>
            </w:r>
          </w:p>
        </w:tc>
        <w:tc>
          <w:tcPr>
            <w:tcW w:w="6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108,238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108,238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Lease liabilities</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148,945</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148,945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liabilities</w:t>
            </w: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6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148,945</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108,238</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10,335,000</w:t>
            </w:r>
          </w:p>
        </w:tc>
        <w:tc>
          <w:tcPr>
            <w:tcW w:w="1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1,228,051</w:t>
            </w:r>
          </w:p>
        </w:tc>
        <w:tc>
          <w:tcPr>
            <w:tcW w:w="10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11,820,234</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57,784,739</w:t>
            </w:r>
          </w:p>
        </w:tc>
        <w:tc>
          <w:tcPr>
            <w:tcW w:w="120" w:type="dxa"/>
            <w:vAlign w:val="bottom"/>
          </w:tcPr>
          <w:p>
            <w:pPr>
              <w:spacing w:after="0"/>
              <w:rPr>
                <w:sz w:val="11"/>
                <w:szCs w:val="11"/>
                <w:color w:val="auto"/>
              </w:rPr>
            </w:pPr>
          </w:p>
        </w:tc>
        <w:tc>
          <w:tcPr>
            <w:tcW w:w="2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42,395,090</w:t>
            </w:r>
          </w:p>
        </w:tc>
        <w:tc>
          <w:tcPr>
            <w:tcW w:w="120" w:type="dxa"/>
            <w:vAlign w:val="bottom"/>
          </w:tcPr>
          <w:p>
            <w:pPr>
              <w:spacing w:after="0"/>
              <w:rPr>
                <w:sz w:val="11"/>
                <w:szCs w:val="11"/>
                <w:color w:val="auto"/>
              </w:rPr>
            </w:pPr>
          </w:p>
        </w:tc>
        <w:tc>
          <w:tcPr>
            <w:tcW w:w="2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4,333,757</w:t>
            </w:r>
          </w:p>
        </w:tc>
        <w:tc>
          <w:tcPr>
            <w:tcW w:w="120" w:type="dxa"/>
            <w:vAlign w:val="bottom"/>
          </w:tcPr>
          <w:p>
            <w:pPr>
              <w:spacing w:after="0"/>
              <w:rPr>
                <w:sz w:val="11"/>
                <w:szCs w:val="11"/>
                <w:color w:val="auto"/>
              </w:rPr>
            </w:pPr>
          </w:p>
        </w:tc>
        <w:tc>
          <w:tcPr>
            <w:tcW w:w="2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112,204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(313,305)</w:t>
            </w:r>
          </w:p>
        </w:tc>
        <w:tc>
          <w:tcPr>
            <w:tcW w:w="44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1,523,897</w:t>
            </w:r>
          </w:p>
        </w:tc>
        <w:tc>
          <w:tcPr>
            <w:tcW w:w="100" w:type="dxa"/>
            <w:vAlign w:val="bottom"/>
          </w:tcPr>
          <w:p>
            <w:pPr>
              <w:spacing w:after="0"/>
              <w:rPr>
                <w:sz w:val="11"/>
                <w:szCs w:val="11"/>
                <w:color w:val="auto"/>
              </w:rPr>
            </w:pPr>
          </w:p>
        </w:tc>
        <w:tc>
          <w:tcPr>
            <w:tcW w:w="4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105,836,382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6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Stockholders' Equity:</w:t>
            </w:r>
          </w:p>
        </w:tc>
        <w:tc>
          <w:tcPr>
            <w:tcW w:w="6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6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Ordinary shares, £0.0001 nominal value</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208,260,754 shares issued and outstanding as of</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December 31, 2024; 152,262,295 shares issued</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82"/>
              </w:rPr>
              <w:t>n</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gridSpan w:val="2"/>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1"/>
              </w:rPr>
              <w:t>o</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660" w:type="dxa"/>
            <w:vAlign w:val="bottom"/>
            <w:vMerge w:val="restart"/>
          </w:tcPr>
          <w:p>
            <w:pPr>
              <w:spacing w:after="0" w:line="135" w:lineRule="exact"/>
              <w:rPr>
                <w:sz w:val="20"/>
                <w:szCs w:val="20"/>
                <w:color w:val="auto"/>
              </w:rPr>
            </w:pPr>
            <w:r>
              <w:rPr>
                <w:rFonts w:ascii="Times New Roman" w:cs="Times New Roman" w:eastAsia="Times New Roman" w:hAnsi="Times New Roman"/>
                <w:sz w:val="13"/>
                <w:szCs w:val="13"/>
                <w:color w:val="auto"/>
              </w:rPr>
              <w:t>and outstanding as of December 31, 2023;</w:t>
            </w: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6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256,365,817 and 161,710,480 shares authorized</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as of December 31, 2024 and 2023</w:t>
            </w: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1,623</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28,795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Series A shares, £0.0001 nominal value</w:t>
            </w:r>
          </w:p>
        </w:tc>
        <w:tc>
          <w:tcPr>
            <w:tcW w:w="6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4,575,983 shares issued, authorized and</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outstanding as of December 31, 2023</w:t>
            </w: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shares/Common Stock</w:t>
            </w:r>
          </w:p>
        </w:tc>
        <w:tc>
          <w:tcPr>
            <w:tcW w:w="6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14,005,728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(14,005,728)</w:t>
            </w:r>
          </w:p>
        </w:tc>
        <w:tc>
          <w:tcPr>
            <w:tcW w:w="4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p</w:t>
            </w:r>
          </w:p>
        </w:tc>
        <w:tc>
          <w:tcPr>
            <w:tcW w:w="9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(1,050)</w:t>
            </w:r>
          </w:p>
        </w:tc>
        <w:tc>
          <w:tcPr>
            <w:tcW w:w="400" w:type="dxa"/>
            <w:vAlign w:val="bottom"/>
            <w:gridSpan w:val="2"/>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82"/>
              </w:rPr>
              <w:t>p</w:t>
            </w:r>
          </w:p>
        </w:tc>
        <w:tc>
          <w:tcPr>
            <w:tcW w:w="8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Additional paid-in capital</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194,062,767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6,291,080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21,626,882</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3,324,360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11,767,156</w:t>
            </w: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n,p</w:t>
            </w:r>
          </w:p>
        </w:tc>
        <w:tc>
          <w:tcPr>
            <w:tcW w:w="9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(20,562,772)</w:t>
            </w:r>
          </w:p>
        </w:tc>
        <w:tc>
          <w:tcPr>
            <w:tcW w:w="400" w:type="dxa"/>
            <w:vAlign w:val="bottom"/>
            <w:gridSpan w:val="2"/>
            <w:shd w:val="clear" w:color="auto" w:fill="CFF0FC"/>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o,p</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216,509,473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 subscription receivable</w:t>
            </w:r>
          </w:p>
        </w:tc>
        <w:tc>
          <w:tcPr>
            <w:tcW w:w="60" w:type="dxa"/>
            <w:vAlign w:val="bottom"/>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(79,003)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79,003</w:t>
            </w:r>
          </w:p>
        </w:tc>
        <w:tc>
          <w:tcPr>
            <w:tcW w:w="100" w:type="dxa"/>
            <w:vAlign w:val="bottom"/>
          </w:tcPr>
          <w:p>
            <w:pPr>
              <w:spacing w:after="0"/>
              <w:rPr>
                <w:sz w:val="11"/>
                <w:szCs w:val="11"/>
                <w:color w:val="auto"/>
              </w:rPr>
            </w:pPr>
          </w:p>
        </w:tc>
        <w:tc>
          <w:tcPr>
            <w:tcW w:w="400" w:type="dxa"/>
            <w:vAlign w:val="bottom"/>
            <w:gridSpan w:val="2"/>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82"/>
              </w:rPr>
              <w:t>p</w:t>
            </w:r>
          </w:p>
        </w:tc>
        <w:tc>
          <w:tcPr>
            <w:tcW w:w="8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6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3"/>
                <w:szCs w:val="13"/>
                <w:color w:val="auto"/>
              </w:rPr>
              <w:t>Accumulated deficit</w:t>
            </w:r>
          </w:p>
        </w:tc>
        <w:tc>
          <w:tcPr>
            <w:tcW w:w="6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gridSpan w:val="2"/>
            <w:shd w:val="clear" w:color="auto" w:fill="CFF0FC"/>
          </w:tcPr>
          <w:p>
            <w:pPr>
              <w:jc w:val="center"/>
              <w:ind w:right="140"/>
              <w:spacing w:after="0" w:line="115" w:lineRule="exact"/>
              <w:rPr>
                <w:sz w:val="20"/>
                <w:szCs w:val="20"/>
                <w:color w:val="auto"/>
              </w:rPr>
            </w:pPr>
            <w:r>
              <w:rPr>
                <w:rFonts w:ascii="Times New Roman" w:cs="Times New Roman" w:eastAsia="Times New Roman" w:hAnsi="Times New Roman"/>
                <w:sz w:val="13"/>
                <w:szCs w:val="13"/>
                <w:b w:val="1"/>
                <w:bCs w:val="1"/>
                <w:color w:val="auto"/>
                <w:w w:val="92"/>
              </w:rPr>
              <w:t>g,h,i</w:t>
            </w: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gridSpan w:val="2"/>
            <w:vMerge w:val="restart"/>
            <w:shd w:val="clear" w:color="auto" w:fill="CFF0FC"/>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j,m,p</w:t>
            </w:r>
          </w:p>
        </w:tc>
        <w:tc>
          <w:tcPr>
            <w:tcW w:w="7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6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(232,075,815)</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(58,196,350)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(24,831,035)</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(3,285,194)</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46,229,426</w:t>
            </w:r>
          </w:p>
        </w:tc>
        <w:tc>
          <w:tcPr>
            <w:tcW w:w="12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k,l,p</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26,592,332</w:t>
            </w:r>
          </w:p>
        </w:tc>
        <w:tc>
          <w:tcPr>
            <w:tcW w:w="100" w:type="dxa"/>
            <w:vAlign w:val="bottom"/>
            <w:shd w:val="clear" w:color="auto" w:fill="CFF0FC"/>
          </w:tcPr>
          <w:p>
            <w:pPr>
              <w:spacing w:after="0"/>
              <w:rPr>
                <w:sz w:val="13"/>
                <w:szCs w:val="13"/>
                <w:color w:val="auto"/>
              </w:rPr>
            </w:pPr>
          </w:p>
        </w:tc>
        <w:tc>
          <w:tcPr>
            <w:tcW w:w="400" w:type="dxa"/>
            <w:vAlign w:val="bottom"/>
            <w:gridSpan w:val="2"/>
            <w:vMerge w:val="continue"/>
            <w:shd w:val="clear" w:color="auto" w:fill="CFF0FC"/>
          </w:tcPr>
          <w:p>
            <w:pPr>
              <w:spacing w:after="0"/>
              <w:rPr>
                <w:sz w:val="13"/>
                <w:szCs w:val="13"/>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(245,566,636)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Accumulated other comprehensive loss</w:t>
            </w:r>
          </w:p>
        </w:tc>
        <w:tc>
          <w:tcPr>
            <w:tcW w:w="60" w:type="dxa"/>
            <w:vAlign w:val="bottom"/>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(10,270)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261,095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(261,095)</w:t>
            </w:r>
          </w:p>
        </w:tc>
        <w:tc>
          <w:tcPr>
            <w:tcW w:w="400" w:type="dxa"/>
            <w:vAlign w:val="bottom"/>
            <w:gridSpan w:val="2"/>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82"/>
              </w:rPr>
              <w:t>p</w:t>
            </w:r>
          </w:p>
        </w:tc>
        <w:tc>
          <w:tcPr>
            <w:tcW w:w="8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(10,270)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4,678,728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(4,678,728)</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q</w:t>
            </w: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shareholders' equity (deficit)</w:t>
            </w: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(37,996,582)</w:t>
            </w:r>
          </w:p>
        </w:tc>
        <w:tc>
          <w:tcPr>
            <w:tcW w:w="2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(33,220,814)</w:t>
            </w:r>
          </w:p>
        </w:tc>
        <w:tc>
          <w:tcPr>
            <w:tcW w:w="2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(2,942,058)</w:t>
            </w:r>
          </w:p>
        </w:tc>
        <w:tc>
          <w:tcPr>
            <w:tcW w:w="2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(39,787)</w:t>
            </w:r>
          </w:p>
        </w:tc>
        <w:tc>
          <w:tcPr>
            <w:tcW w:w="10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39,313,749</w:t>
            </w:r>
          </w:p>
        </w:tc>
        <w:tc>
          <w:tcPr>
            <w:tcW w:w="120" w:type="dxa"/>
            <w:vAlign w:val="bottom"/>
          </w:tcPr>
          <w:p>
            <w:pPr>
              <w:spacing w:after="0"/>
              <w:rPr>
                <w:sz w:val="11"/>
                <w:szCs w:val="11"/>
                <w:color w:val="auto"/>
              </w:rPr>
            </w:pPr>
          </w:p>
        </w:tc>
        <w:tc>
          <w:tcPr>
            <w:tcW w:w="44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5,846,773</w:t>
            </w:r>
          </w:p>
        </w:tc>
        <w:tc>
          <w:tcPr>
            <w:tcW w:w="100" w:type="dxa"/>
            <w:vAlign w:val="bottom"/>
          </w:tcPr>
          <w:p>
            <w:pPr>
              <w:spacing w:after="0"/>
              <w:rPr>
                <w:sz w:val="11"/>
                <w:szCs w:val="11"/>
                <w:color w:val="auto"/>
              </w:rPr>
            </w:pPr>
          </w:p>
        </w:tc>
        <w:tc>
          <w:tcPr>
            <w:tcW w:w="4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(29,038,719)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 and stockholders’ deficit</w:t>
            </w: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19,788,157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9,174,276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1,391,699</w:t>
            </w:r>
          </w:p>
        </w:tc>
        <w:tc>
          <w:tcPr>
            <w:tcW w:w="1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72,417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39,000,444</w:t>
            </w:r>
          </w:p>
        </w:tc>
        <w:tc>
          <w:tcPr>
            <w:tcW w:w="12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7,370,670</w:t>
            </w:r>
          </w:p>
        </w:tc>
        <w:tc>
          <w:tcPr>
            <w:tcW w:w="10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76,797,663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-4791075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-4791075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-4791075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-4791075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-4791075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-4791075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-4791075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-4088130</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-4088130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-4088130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-4088130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-4088130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-4088130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-4088130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-3899535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-3882390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-3899535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-3882390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-3899535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-3882390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-3899535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-3882390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-3899535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-3882390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-3899535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-3882390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-3899535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-3882390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-2322195</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-2322195</wp:posOffset>
            </wp:positionV>
            <wp:extent cx="768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-2322195</wp:posOffset>
            </wp:positionV>
            <wp:extent cx="768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-2322195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-2322195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-2322195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-2322195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-1790700</wp:posOffset>
            </wp:positionV>
            <wp:extent cx="77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-1790700</wp:posOffset>
            </wp:positionV>
            <wp:extent cx="768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-1790700</wp:posOffset>
            </wp:positionV>
            <wp:extent cx="76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-1790700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-1790700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-1790700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-1790700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-213995</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-213995</wp:posOffset>
            </wp:positionV>
            <wp:extent cx="768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-213995</wp:posOffset>
            </wp:positionV>
            <wp:extent cx="768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-213995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-213995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-213995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-213995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-24765</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-7620</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-24765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-7620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-24765</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See accompanying notes to the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w w:val="97"/>
              </w:rPr>
              <w:t>Proforma Combined</w:t>
            </w: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7"/>
              </w:rPr>
              <w:t>Rezolve AI plc and</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300"/>
              <w:spacing w:after="0" w:line="11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Subsidiaries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GroupBy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Bluedot Industries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Innovation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GroupBy</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(Historical Year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(Historical Year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 Year</w:t>
            </w:r>
          </w:p>
        </w:tc>
        <w:tc>
          <w:tcPr>
            <w:tcW w:w="120" w:type="dxa"/>
            <w:vAlign w:val="bottom"/>
          </w:tcPr>
          <w:p>
            <w:pPr>
              <w:spacing w:after="0"/>
              <w:rPr>
                <w:sz w:val="11"/>
                <w:szCs w:val="11"/>
                <w:color w:val="auto"/>
              </w:rPr>
            </w:pPr>
          </w:p>
        </w:tc>
        <w:tc>
          <w:tcPr>
            <w:tcW w:w="108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(Historical Year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Transaction</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3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ended December 31,</w:t>
            </w:r>
          </w:p>
        </w:tc>
        <w:tc>
          <w:tcPr>
            <w:tcW w:w="120" w:type="dxa"/>
            <w:vAlign w:val="bottom"/>
          </w:tcPr>
          <w:p>
            <w:pPr>
              <w:spacing w:after="0"/>
              <w:rPr>
                <w:sz w:val="11"/>
                <w:szCs w:val="11"/>
                <w:color w:val="auto"/>
              </w:rPr>
            </w:pPr>
          </w:p>
        </w:tc>
        <w:tc>
          <w:tcPr>
            <w:tcW w:w="132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 December 31,</w:t>
            </w:r>
          </w:p>
        </w:tc>
        <w:tc>
          <w:tcPr>
            <w:tcW w:w="120" w:type="dxa"/>
            <w:vAlign w:val="bottom"/>
          </w:tcPr>
          <w:p>
            <w:pPr>
              <w:spacing w:after="0"/>
              <w:rPr>
                <w:sz w:val="11"/>
                <w:szCs w:val="11"/>
                <w:color w:val="auto"/>
              </w:rPr>
            </w:pPr>
          </w:p>
        </w:tc>
        <w:tc>
          <w:tcPr>
            <w:tcW w:w="126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 December 31,</w:t>
            </w:r>
          </w:p>
        </w:tc>
        <w:tc>
          <w:tcPr>
            <w:tcW w:w="120" w:type="dxa"/>
            <w:vAlign w:val="bottom"/>
          </w:tcPr>
          <w:p>
            <w:pPr>
              <w:spacing w:after="0"/>
              <w:rPr>
                <w:sz w:val="11"/>
                <w:szCs w:val="11"/>
                <w:color w:val="auto"/>
              </w:rPr>
            </w:pPr>
          </w:p>
        </w:tc>
        <w:tc>
          <w:tcPr>
            <w:tcW w:w="108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 December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Pro Forma</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8"/>
              </w:rPr>
              <w:t>2024)</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8"/>
              </w:rPr>
              <w:t>2024)</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rPr>
              <w:t>31, 2024)</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Combined</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B</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84"/>
              </w:rPr>
              <w:t>C</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1"/>
              </w:rPr>
              <w:t>E</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F</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jc w:val="center"/>
              <w:ind w:right="17"/>
              <w:spacing w:after="0" w:line="115" w:lineRule="exact"/>
              <w:rPr>
                <w:sz w:val="20"/>
                <w:szCs w:val="20"/>
                <w:color w:val="auto"/>
              </w:rPr>
            </w:pPr>
            <w:r>
              <w:rPr>
                <w:rFonts w:ascii="Times New Roman" w:cs="Times New Roman" w:eastAsia="Times New Roman" w:hAnsi="Times New Roman"/>
                <w:sz w:val="13"/>
                <w:szCs w:val="13"/>
                <w:b w:val="1"/>
                <w:bCs w:val="1"/>
                <w:color w:val="auto"/>
                <w:w w:val="96"/>
              </w:rPr>
              <w:t>G =</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A+B+C+D+E+F</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Revenue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187,788</w:t>
            </w:r>
          </w:p>
        </w:tc>
        <w:tc>
          <w:tcPr>
            <w:tcW w:w="120" w:type="dxa"/>
            <w:vAlign w:val="bottom"/>
            <w:shd w:val="clear" w:color="auto" w:fill="CFF0FC"/>
          </w:tcPr>
          <w:p>
            <w:pPr>
              <w:spacing w:after="0"/>
              <w:rPr>
                <w:sz w:val="11"/>
                <w:szCs w:val="11"/>
                <w:color w:val="auto"/>
              </w:rPr>
            </w:pPr>
          </w:p>
        </w:tc>
        <w:tc>
          <w:tcPr>
            <w:tcW w:w="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18,890,934</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2,092,315</w:t>
            </w:r>
          </w:p>
        </w:tc>
        <w:tc>
          <w:tcPr>
            <w:tcW w:w="12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1"/>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485,860</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w w:val="82"/>
              </w:rPr>
              <w:t>R</w:t>
            </w: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21,656,897</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Cost of revenue</w:t>
            </w: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34,053</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11,874,137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158,776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12,066,966</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Sales and marketing expense</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6,285,446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4,906,824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402,441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11,594,711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w w:val="97"/>
              </w:rPr>
              <w:t>General and administrative expenses</w:t>
            </w: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131,430,412</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2,789,811</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721,269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23,979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112,554</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74"/>
              </w:rPr>
              <w:t>z</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135,078,025</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operating expenses</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255,412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255,412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8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8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3"/>
                <w:szCs w:val="13"/>
                <w:b w:val="1"/>
                <w:bCs w:val="1"/>
                <w:color w:val="auto"/>
                <w:w w:val="84"/>
              </w:rPr>
              <w:t>s,z</w:t>
            </w: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gridSpan w:val="2"/>
            <w:vMerge w:val="restart"/>
            <w:shd w:val="clear" w:color="auto" w:fill="CFF0FC"/>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4"/>
              </w:rPr>
              <w:t>t,u</w:t>
            </w: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88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expenses</w:t>
            </w:r>
          </w:p>
        </w:tc>
        <w:tc>
          <w:tcPr>
            <w:tcW w:w="80" w:type="dxa"/>
            <w:vAlign w:val="bottom"/>
            <w:tcBorders>
              <w:bottom w:val="single" w:sz="8" w:color="CFF0FC"/>
            </w:tcBorders>
            <w:shd w:val="clear" w:color="auto" w:fill="CFF0FC"/>
          </w:tcPr>
          <w:p>
            <w:pPr>
              <w:spacing w:after="0"/>
              <w:rPr>
                <w:sz w:val="11"/>
                <w:szCs w:val="11"/>
                <w:color w:val="auto"/>
              </w:rPr>
            </w:pPr>
          </w:p>
        </w:tc>
        <w:tc>
          <w:tcPr>
            <w:tcW w:w="114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225,251</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200,370</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1200" w:type="dxa"/>
            <w:vAlign w:val="bottom"/>
            <w:tcBorders>
              <w:bottom w:val="single" w:sz="8" w:color="CFF0FC"/>
            </w:tcBorders>
            <w:gridSpan w:val="2"/>
            <w:shd w:val="clear" w:color="auto" w:fill="CFF0FC"/>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38,022</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5,652,966</w:t>
            </w:r>
          </w:p>
        </w:tc>
        <w:tc>
          <w:tcPr>
            <w:tcW w:w="1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1,053,673</w:t>
            </w:r>
          </w:p>
        </w:tc>
        <w:tc>
          <w:tcPr>
            <w:tcW w:w="10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gridSpan w:val="2"/>
            <w:vMerge w:val="continue"/>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7,170,282</w:t>
            </w:r>
          </w:p>
        </w:tc>
        <w:tc>
          <w:tcPr>
            <w:tcW w:w="1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Research and development</w:t>
            </w:r>
          </w:p>
        </w:tc>
        <w:tc>
          <w:tcPr>
            <w:tcW w:w="80" w:type="dxa"/>
            <w:vAlign w:val="bottom"/>
          </w:tcPr>
          <w:p>
            <w:pPr>
              <w:spacing w:after="0"/>
              <w:rPr>
                <w:sz w:val="11"/>
                <w:szCs w:val="11"/>
                <w:color w:val="auto"/>
              </w:rPr>
            </w:pPr>
          </w:p>
        </w:tc>
        <w:tc>
          <w:tcPr>
            <w:tcW w:w="12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6,835,367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1,152,807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7,988,174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8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1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138,230,574</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1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26,606,509</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10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2,435,293</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8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62,001</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8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5,765,520</w:t>
            </w:r>
          </w:p>
        </w:tc>
        <w:tc>
          <w:tcPr>
            <w:tcW w:w="1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8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1,053,673</w:t>
            </w:r>
          </w:p>
        </w:tc>
        <w:tc>
          <w:tcPr>
            <w:tcW w:w="10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9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174,153,570</w:t>
            </w:r>
          </w:p>
        </w:tc>
        <w:tc>
          <w:tcPr>
            <w:tcW w:w="1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loss</w:t>
            </w:r>
          </w:p>
        </w:tc>
        <w:tc>
          <w:tcPr>
            <w:tcW w:w="8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(138,042,786)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(7,715,575)</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(342,978)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423,859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(5,765,520)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(1,053,673)</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(152,496,673)</w:t>
            </w: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 (expense) income</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Interest (expense)/income</w:t>
            </w:r>
          </w:p>
        </w:tc>
        <w:tc>
          <w:tcPr>
            <w:tcW w:w="8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(10,557,714)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(1,152,396)</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(203,053)</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(1,990)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1,173,596</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v,z</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(10,741,557)</w:t>
            </w: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Gain/(loss) on derivatives</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19,001,681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19,001,681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8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0" w:type="dxa"/>
            <w:vAlign w:val="bottom"/>
            <w:shd w:val="clear" w:color="auto" w:fill="CFF0FC"/>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4"/>
              </w:rPr>
              <w:t>w,</w:t>
            </w:r>
          </w:p>
        </w:tc>
        <w:tc>
          <w:tcPr>
            <w:tcW w:w="1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Gain/(loss) on extinguishment</w:t>
            </w:r>
          </w:p>
        </w:tc>
        <w:tc>
          <w:tcPr>
            <w:tcW w:w="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(44,332,819)</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(279,851)</w:t>
            </w:r>
          </w:p>
        </w:tc>
        <w:tc>
          <w:tcPr>
            <w:tcW w:w="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aa</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(44,612,670)</w:t>
            </w: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Other non-operating income</w:t>
            </w:r>
          </w:p>
        </w:tc>
        <w:tc>
          <w:tcPr>
            <w:tcW w:w="8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1,329,781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(31,362)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11,193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(1,361,844)</w:t>
            </w: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x</w:t>
            </w:r>
          </w:p>
        </w:tc>
        <w:tc>
          <w:tcPr>
            <w:tcW w:w="100" w:type="dxa"/>
            <w:vAlign w:val="bottom"/>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(295,847)</w:t>
            </w:r>
          </w:p>
        </w:tc>
        <w:tc>
          <w:tcPr>
            <w:tcW w:w="300" w:type="dxa"/>
            <w:vAlign w:val="bottom"/>
            <w:gridSpan w:val="2"/>
            <w:vMerge w:val="restart"/>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1"/>
              </w:rPr>
              <w:t>y</w:t>
            </w:r>
          </w:p>
        </w:tc>
        <w:tc>
          <w:tcPr>
            <w:tcW w:w="10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(348,079)</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880" w:type="dxa"/>
            <w:vAlign w:val="bottom"/>
          </w:tcPr>
          <w:p>
            <w:pPr>
              <w:spacing w:after="0" w:line="140" w:lineRule="exact"/>
              <w:rPr>
                <w:sz w:val="20"/>
                <w:szCs w:val="20"/>
                <w:color w:val="auto"/>
              </w:rPr>
            </w:pPr>
            <w:r>
              <w:rPr>
                <w:rFonts w:ascii="Times New Roman" w:cs="Times New Roman" w:eastAsia="Times New Roman" w:hAnsi="Times New Roman"/>
                <w:sz w:val="13"/>
                <w:szCs w:val="13"/>
                <w:color w:val="auto"/>
              </w:rPr>
              <w:t>(expense), net</w:t>
            </w:r>
          </w:p>
        </w:tc>
        <w:tc>
          <w:tcPr>
            <w:tcW w:w="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88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other (expenses) / income,</w:t>
            </w:r>
          </w:p>
        </w:tc>
        <w:tc>
          <w:tcPr>
            <w:tcW w:w="80" w:type="dxa"/>
            <w:vAlign w:val="bottom"/>
            <w:shd w:val="clear" w:color="auto" w:fill="CFF0FC"/>
          </w:tcPr>
          <w:p>
            <w:pPr>
              <w:spacing w:after="0"/>
              <w:rPr>
                <w:sz w:val="9"/>
                <w:szCs w:val="9"/>
                <w:color w:val="auto"/>
              </w:rPr>
            </w:pPr>
          </w:p>
        </w:tc>
        <w:tc>
          <w:tcPr>
            <w:tcW w:w="12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(34,559,071)</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(1,183,758)</w:t>
            </w: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(191,860)</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(1,990)</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(468,099)</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(295,847)</w:t>
            </w:r>
          </w:p>
        </w:tc>
        <w:tc>
          <w:tcPr>
            <w:tcW w:w="2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8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w:t>
            </w:r>
          </w:p>
        </w:tc>
        <w:tc>
          <w:tcPr>
            <w:tcW w:w="80" w:type="dxa"/>
            <w:vAlign w:val="bottom"/>
            <w:shd w:val="clear" w:color="auto" w:fill="CFF0FC"/>
          </w:tcPr>
          <w:p>
            <w:pPr>
              <w:spacing w:after="0"/>
              <w:rPr>
                <w:sz w:val="12"/>
                <w:szCs w:val="12"/>
                <w:color w:val="auto"/>
              </w:rPr>
            </w:pPr>
          </w:p>
        </w:tc>
        <w:tc>
          <w:tcPr>
            <w:tcW w:w="126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60" w:type="dxa"/>
            <w:vAlign w:val="bottom"/>
            <w:gridSpan w:val="2"/>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(loss) before taxes</w:t>
            </w:r>
          </w:p>
        </w:tc>
        <w:tc>
          <w:tcPr>
            <w:tcW w:w="80" w:type="dxa"/>
            <w:vAlign w:val="bottom"/>
          </w:tcPr>
          <w:p>
            <w:pPr>
              <w:spacing w:after="0"/>
              <w:rPr>
                <w:sz w:val="11"/>
                <w:szCs w:val="11"/>
                <w:color w:val="auto"/>
              </w:rPr>
            </w:pPr>
          </w:p>
        </w:tc>
        <w:tc>
          <w:tcPr>
            <w:tcW w:w="12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(172,601,857)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(8,899,333)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(534,838)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421,869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(6,233,619)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(1,349,520)</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(189,197,298)</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Income tax expense</w:t>
            </w:r>
          </w:p>
        </w:tc>
        <w:tc>
          <w:tcPr>
            <w:tcW w:w="8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(44,933)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(33,524)</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(20,486)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(50,067)</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(10,335,000)</w:t>
            </w:r>
          </w:p>
        </w:tc>
        <w:tc>
          <w:tcPr>
            <w:tcW w:w="2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bb</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(1,228,051)</w:t>
            </w:r>
          </w:p>
        </w:tc>
        <w:tc>
          <w:tcPr>
            <w:tcW w:w="300" w:type="dxa"/>
            <w:vAlign w:val="bottom"/>
            <w:gridSpan w:val="2"/>
            <w:shd w:val="clear" w:color="auto" w:fill="CFF0FC"/>
          </w:tcPr>
          <w:p>
            <w:pPr>
              <w:jc w:val="center"/>
              <w:ind w:right="8"/>
              <w:spacing w:after="0" w:line="135" w:lineRule="exact"/>
              <w:rPr>
                <w:sz w:val="20"/>
                <w:szCs w:val="20"/>
                <w:color w:val="auto"/>
              </w:rPr>
            </w:pPr>
            <w:r>
              <w:rPr>
                <w:rFonts w:ascii="Times New Roman" w:cs="Times New Roman" w:eastAsia="Times New Roman" w:hAnsi="Times New Roman"/>
                <w:sz w:val="13"/>
                <w:szCs w:val="13"/>
                <w:b w:val="1"/>
                <w:bCs w:val="1"/>
                <w:color w:val="auto"/>
              </w:rPr>
              <w:t>cc</w:t>
            </w:r>
          </w:p>
        </w:tc>
        <w:tc>
          <w:tcPr>
            <w:tcW w:w="10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(11,712,061)</w:t>
            </w: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8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Net (loss) income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(172,646,790)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(8,932,857)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(555,324)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371,802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(16,568,619)</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(2,577,571)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(200,909,358)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88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color w:val="auto"/>
              </w:rPr>
              <w:t>Earnings Per Share</w:t>
            </w:r>
          </w:p>
        </w:tc>
        <w:tc>
          <w:tcPr>
            <w:tcW w:w="80" w:type="dxa"/>
            <w:vAlign w:val="bottom"/>
            <w:shd w:val="clear" w:color="auto" w:fill="CFF0FC"/>
          </w:tcPr>
          <w:p>
            <w:pPr>
              <w:spacing w:after="0"/>
              <w:rPr>
                <w:sz w:val="10"/>
                <w:szCs w:val="10"/>
                <w:color w:val="auto"/>
              </w:rPr>
            </w:pPr>
          </w:p>
        </w:tc>
        <w:tc>
          <w:tcPr>
            <w:tcW w:w="1260" w:type="dxa"/>
            <w:vAlign w:val="bottom"/>
            <w:gridSpan w:val="2"/>
            <w:shd w:val="clear" w:color="auto" w:fill="CFF0FC"/>
          </w:tcPr>
          <w:p>
            <w:pPr>
              <w:jc w:val="right"/>
              <w:ind w:right="80"/>
              <w:spacing w:after="0" w:line="116"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20" w:type="dxa"/>
            <w:vAlign w:val="bottom"/>
            <w:gridSpan w:val="2"/>
            <w:shd w:val="clear" w:color="auto" w:fill="CFF0FC"/>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0" w:type="dxa"/>
            <w:vAlign w:val="bottom"/>
            <w:gridSpan w:val="2"/>
            <w:shd w:val="clear" w:color="auto" w:fill="CFF0FC"/>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60"/>
              <w:spacing w:after="0" w:line="116" w:lineRule="exact"/>
              <w:rPr>
                <w:sz w:val="20"/>
                <w:szCs w:val="20"/>
                <w:color w:val="auto"/>
              </w:rPr>
            </w:pPr>
            <w:r>
              <w:rPr>
                <w:rFonts w:ascii="Times New Roman" w:cs="Times New Roman" w:eastAsia="Times New Roman" w:hAnsi="Times New Roman"/>
                <w:sz w:val="13"/>
                <w:szCs w:val="13"/>
                <w:color w:val="auto"/>
              </w:rPr>
              <w:t>(1.1)</w:t>
            </w:r>
          </w:p>
        </w:tc>
        <w:tc>
          <w:tcPr>
            <w:tcW w:w="220" w:type="dxa"/>
            <w:vAlign w:val="bottom"/>
            <w:shd w:val="clear" w:color="auto" w:fill="CFF0FC"/>
          </w:tcPr>
          <w:p>
            <w:pPr>
              <w:ind w:left="40"/>
              <w:spacing w:after="0" w:line="115" w:lineRule="exact"/>
              <w:rPr>
                <w:sz w:val="20"/>
                <w:szCs w:val="20"/>
                <w:color w:val="auto"/>
              </w:rPr>
            </w:pPr>
            <w:r>
              <w:rPr>
                <w:rFonts w:ascii="Times New Roman" w:cs="Times New Roman" w:eastAsia="Times New Roman" w:hAnsi="Times New Roman"/>
                <w:sz w:val="12"/>
                <w:szCs w:val="12"/>
                <w:b w:val="1"/>
                <w:bCs w:val="1"/>
                <w:color w:val="auto"/>
              </w:rPr>
              <w:t>dd</w:t>
            </w:r>
          </w:p>
        </w:tc>
        <w:tc>
          <w:tcPr>
            <w:tcW w:w="0" w:type="dxa"/>
            <w:vAlign w:val="bottom"/>
          </w:tcPr>
          <w:p>
            <w:pPr>
              <w:spacing w:after="0"/>
              <w:rPr>
                <w:sz w:val="1"/>
                <w:szCs w:val="1"/>
                <w:color w:val="auto"/>
              </w:rPr>
            </w:pPr>
          </w:p>
        </w:tc>
      </w:tr>
      <w:tr>
        <w:trPr>
          <w:trHeight w:val="117"/>
        </w:trPr>
        <w:tc>
          <w:tcPr>
            <w:tcW w:w="18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Basic and diluted weighted average</w:t>
            </w: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shares outstanding</w:t>
            </w: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162,855,146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178,157,563</w:t>
            </w:r>
          </w:p>
        </w:tc>
        <w:tc>
          <w:tcPr>
            <w:tcW w:w="100" w:type="dxa"/>
            <w:vAlign w:val="bottom"/>
          </w:tcPr>
          <w:p>
            <w:pPr>
              <w:spacing w:after="0"/>
              <w:rPr>
                <w:sz w:val="14"/>
                <w:szCs w:val="1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dd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-1506855</wp:posOffset>
            </wp:positionV>
            <wp:extent cx="77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-1506855</wp:posOffset>
            </wp:positionV>
            <wp:extent cx="768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-1506855</wp:posOffset>
            </wp:positionV>
            <wp:extent cx="77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-1506855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-1506855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-1506855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-1506855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-563880</wp:posOffset>
            </wp:positionV>
            <wp:extent cx="774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-563880</wp:posOffset>
            </wp:positionV>
            <wp:extent cx="768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-563880</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-563880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-563880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-563880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-563880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the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3611880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4" w:name="page45"/>
    <w:bookmarkEnd w:id="44"/>
    <w:p>
      <w:pPr>
        <w:ind w:left="168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1—Basis of Presentation</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22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accounted for the GroupBy acquisition using the acquisition method of accounting under ASC 805. The acquisition method of accounting requires that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Company's preliminary estimates of fair values of the net assets acquired are based on the information that was available at the date of the GroupBy acquisition, and the Company is continuing to evaluate the underlying inputs and assumptions used in its valuations. Accordingly, these preliminary estimates are subject to change during the measurement period, which is up to one year from the date of the acquisition. A decrease in the fair value of assets acquired or an increase in the fair value of liabilities assumed in the acquisition from those valuations would result in a corresponding increase in the amount of goodwill from the acquisition. The acquisition-related transaction costs incurred by the Company were accounted for as expenses in the periods in which the costs were incurred and the services were received.</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22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Company accounted for the acquisition of Bluedot Industries, Inc. and Bluedot Industries Pty. Ltd using the acquisition method of accounting under ASC 805. The acquisition method of accounting requires that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 The Company's preliminary estimates of fair values of the net assets acquired are based on the information that was available at the date of the acquisition of Bluedot Industries, Inc. and Bluedot Industries Pty. Ltd, and the Company is continuing to evaluate the underlying inputs and assumptions used in its valuations. Accordingly, these preliminary estimates are subject to change during the measurement period, which is up to one year from the date of the acquisition. A decrease in the fair value of assets acquired or an increase in the fair value of liabilities assumed in the acquisition from those valuations would result in a corresponding increase in the amount of goodwill from the acquisition. The acquisition-related transaction costs incurred by the Company were accounted for as expenses in the periods in which the costs were incurred and the services were received.</w:t>
      </w:r>
    </w:p>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accounted for the acquisition of Bluedot Innovation Pty. Ltd as an asset acquisition under ASC 805. 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The Company used a cost accumulation model to determine the cost of the asset acquisition. The Ordinary Shares issued as consideration in this asset acquisition were measured based on the acquisition date fair value of the equity interests issued. Direct transaction costs were recognized as part of the cost of an asset acquisition. The cost of an asset acquisition, including transaction costs, were allocated to identifiable assets acquired and liabilities assumed based on a relative fair value basis. Goodwill is not recognized in an asset acquisition. If applicable, any difference between the cost of an asset acquisition and the fair value of the net assets acquired is allocated to the non-monetary identifiable assets based on their relative fair values. However, as of the date of acquisition, if certain assets are carried at fair value under other applicable GAAP the consideration is first allocated to those assets with the remainder allocated to the non-monetary identifiable assets based on relative fair value basis.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227"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gives effect to the Bluedot acquisition and the GroupBy acquisition as if both acquisitions had been completed on December 31, 2024. The Unaudited Pro Forma Condensed Combined Statement of Operations for the year ended December 31, 2024 gives effect to the Bluedot acquisition and the GroupBy acquisition as if both acquisitions had been completed on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5" w:name="page46"/>
    <w:bookmarkEnd w:id="45"/>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utilized the services of an independent valuation consultant, along with estimates and assumptions determined by management, to estimate the fair value of the assets acquired and liabilities assumed. Given the timing of the Bluedot acquisition and the GroupBy acquisition, the assets acquired is still in process of being valued by an independent valuation consultant. The preliminary allocation of the purchase price was based on an evaluation of the appropriate fair values and represents management’s best estimate based on available data. The purchase price allocation of the assets acquired and liabilities assumed is preliminary until the contractual post-closing adjustments are finalized, the final independent valuation consultant report is issued, and the measurement period allowed for under ASC 805 has closed. The final determination of the fair value of assets acquired and liabilities assumed will be completed within the one-year measurement period as allowed by ASC 805. Changes during the measurement period could be material.</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reflects transaction related adjustments management believes are necessary to present fairly Rezolve’s pro forma results of operations and financial position following the closing of the Bluedot acquisition and the GroupBy acquisition and related transactions as of and for the periods indicated above.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Bluedot acquisition and the GroupBy acquisition was completed on the dates mentioned above. Therefore, the unaudited pro forma condensed combined financial information and related notes are presented for illustrative purposes only. If the Bluedot acquisition and the GroupBy acquisition and other transactions contemplated herein had occurred in the past, Rezolve's operating results might have been materially different from those presented in this unaudited pro forma condensed combined financial information.</w:t>
      </w:r>
    </w:p>
    <w:p>
      <w:pPr>
        <w:spacing w:after="0" w:line="18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not be relied upon as an indication of operating results that Rezolve would have achieved if the Bluedot acquisition and the GroupBy acquisition had taken place on the specified date. In addition, future results may vary significantly from the results reflected in the unaudited pro forma condensed combined financial statement of operations and should not be relied upon as an indication of the future results Rezolve will have after the contemplation of the Bluedot acquisition and the GroupBy acquisition.</w:t>
      </w:r>
    </w:p>
    <w:p>
      <w:pPr>
        <w:spacing w:after="0" w:line="18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Bluedot acquisition and the GroupBy acquisition.</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unaudited condensed pro forma adjustments, which are described in the accompanying notes, may be revised as additional information becomes available and is evaluated. The unaudited pro forma condensed combined financial information should be read in conjunction with the audited financial statements and notes thereto of each of GroupBy and Rezolve included elsewhere in this prospectus.</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historical audited combined consolidated financial statements for GroupBy as of, and for the years ended, December 31, 2024 and 2023 have been prepared in accordance with International Financial Reporting Standards (“IFRS”) and interpretations adopted by the International Accounting Standards Board (“IASB”). See note 2 and note 3 for more information on adjustments resulting from material differences between IFRS and US GAAP.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2—Unaudited pro forma condensed combined balance sheet adjustments</w:t>
      </w:r>
    </w:p>
    <w:p>
      <w:pPr>
        <w:spacing w:after="0" w:line="22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balance sheet as of December 31, 2024 presented also include adjustments to conform Bluedot’s and GroupBy's historical presentation of certain line items to the presentation of those line items by Rezolve.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adjustments to the unaudited pro forma condensed combined balance sheet as of December 31, 2024 are as follows:</w:t>
      </w:r>
    </w:p>
    <w:p>
      <w:pPr>
        <w:spacing w:after="0" w:line="117" w:lineRule="exact"/>
        <w:rPr>
          <w:sz w:val="20"/>
          <w:szCs w:val="20"/>
          <w:color w:val="auto"/>
        </w:rPr>
      </w:pPr>
    </w:p>
    <w:p>
      <w:pPr>
        <w:ind w:left="1020" w:right="6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reflect the purchase of a prepaid insurance tail policy by GroupBy (as required in the purchase agreement) for (i) directors’ and officers’ liability (including fiduciary and employment practices liability) insurance policy and (ii) cyber liability insurance policy, in each case providing coverage for a 6-year period commencing on the closing date of the GroupBy acquisition with respect to claims arising from acts, events or omissions that occurred at or prior to the closing of the GroupBy acquisition.</w:t>
      </w:r>
    </w:p>
    <w:p>
      <w:pPr>
        <w:spacing w:after="0" w:line="71"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intangible assets of GroupBy based on the fair values assigned in the preliminary purchase price allocation to: (1) Technology intellectual property and (2) Customer contract and related relationships.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intangible assets of acquisition of Bluedot Industries, Inc. and Bluedot Industries Pty. Ltd based on the fair values assigned in the preliminary purchase price allocation to: Customer contract and related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6" w:name="page47"/>
    <w:bookmarkEnd w:id="46"/>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intangible assets of Bluedot Innovation Pty. Ltd based on the preliminary allocation of costs for the asset acquisition.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goodwill for GroupBy based on the preliminary purchase price allocation.</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goodwill for Bluedot Industries, Inc. and Bluedot Industries Pty. Ltd based on the preliminary purchase price allocation.</w:t>
      </w:r>
    </w:p>
    <w:p>
      <w:pPr>
        <w:spacing w:after="0" w:line="53"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the right-of use asset and lease liability resulting from (1) the application of the guidance in ASC 805-20-30-24 which requires Rezolve to measure the lease liability at the present value of the remaining lease payments, as if the acquired lease were a new lease of the acquirer at the acquisition date and (2) differences between IFRS and US GAAP. There is only a single accounting model for leases under IFRS, i.e., all leases are effectively 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w:t>
      </w:r>
    </w:p>
    <w:p>
      <w:pPr>
        <w:spacing w:after="0" w:line="80"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GroupBy acquisition, the Company entered into a subscription letter with Western Alliance Bank (“WAB”) pursuant to which the Company agreed to issue to WAB a number of Ordinary Shares which is equal to $12,300,000. In consideration for the allotment of these Ordinary Shares, WAB will irrevocably and unconditionally release and discharge the Company from the obligations owed by the Company to WAB. The pro forma adjustment assumes a price of $1.44 per share which is the closing price per share on March 25, 2025, the date on which Rezolve closed the GroupBy acquisition.</w:t>
      </w:r>
    </w:p>
    <w:p>
      <w:pPr>
        <w:spacing w:after="0" w:line="75"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GroupBy,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Bluedot Industries, Inc. and Bluedot Industries Pty. Ltd ,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 liabilities to which GroupBy is a party as one of the conditions for the closing of the GroupBy acquisition.</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ordinary shares as consideration for the acquisitions of Bluedot: the Company issued 819,737 ordinary shares of the Company to DBLP and 1,941,111 ordinary shares of the Company to the Tanist Group.</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ordinary shares as consideration for the acquisition of GroupBy: the Company issued 3,999,902 of its ordinary shares to the Sellers (as defined above). The pro forma adjustment assumes a price of $1.44 per share which is the closing price per share on March 25, 2025, the date on which the Company closed the GroupBy acquisition.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accumulated deficit and other consolidation adjustments as a result of acquisition accounting.</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warrants recognized in equity to which GroupBy is a party as one of the conditions for the closing of the GroupBy acquisition.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3—Unaudited pro forma condensed combined statements of operations adjustments</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statement of operations for the year ended December 31, 2024 also include adjustments to conform Bluedot’s and GroupBy's historical presentation of certain line items to the presentation of those line items by Rezolve.</w:t>
      </w:r>
    </w:p>
    <w:p>
      <w:pPr>
        <w:spacing w:after="0" w:line="68"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for Bluedot Innovation Pty. Ltd for the year ended December 31, 2024 represents revenue from a government grant.</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add incremental depreciation expense for GroupBy based on the fair values assigned in the preliminary purchase price allocation to technology intellectual property and customer contract and related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7" w:name="page48"/>
    <w:bookmarkEnd w:id="47"/>
    <w:p>
      <w:pPr>
        <w:ind w:left="503" w:right="400" w:hanging="503"/>
        <w:spacing w:after="0" w:line="282"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add incremental depreciation expense for Bluedot Industries, Inc. and Bluedot Industries Pty. Ltd based on the fair values assigned in the preliminary purchase price allocation to customer contract and related relationships.</w:t>
      </w:r>
    </w:p>
    <w:p>
      <w:pPr>
        <w:spacing w:after="0" w:line="53"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add incremental depreciation expense for Bluedot Innovation Pty. Ltd based on the values assigned to technology intellectual property based on the preliminary allocation of costs for the asset acquisition.</w:t>
      </w:r>
    </w:p>
    <w:p>
      <w:pPr>
        <w:spacing w:after="0" w:line="53" w:lineRule="exact"/>
        <w:rPr>
          <w:rFonts w:ascii="Times New Roman" w:cs="Times New Roman" w:eastAsia="Times New Roman" w:hAnsi="Times New Roman"/>
          <w:sz w:val="18"/>
          <w:szCs w:val="18"/>
          <w:color w:val="auto"/>
        </w:rPr>
      </w:pPr>
    </w:p>
    <w:p>
      <w:pPr>
        <w:ind w:left="503" w:right="120" w:hanging="503"/>
        <w:spacing w:after="0" w:line="266"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remove GroupBy's historical interest expense for the year ended December 31, 2024, as a result of the settlement of $12 million of outstanding debt due to Western Alliance Bank. Refer to the unaudited pro forma condensed combined balance sheet adjustments above for more information.</w:t>
      </w:r>
    </w:p>
    <w:p>
      <w:pPr>
        <w:spacing w:after="0" w:line="67" w:lineRule="exact"/>
        <w:rPr>
          <w:rFonts w:ascii="Times New Roman" w:cs="Times New Roman" w:eastAsia="Times New Roman" w:hAnsi="Times New Roman"/>
          <w:sz w:val="18"/>
          <w:szCs w:val="18"/>
          <w:color w:val="auto"/>
        </w:rPr>
      </w:pPr>
    </w:p>
    <w:p>
      <w:pPr>
        <w:ind w:left="503" w:hanging="503"/>
        <w:spacing w:after="0" w:line="258"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GroupBy acquisition, the Company entered into a subscription letter with Western Alliance Bank ("WAB") pursuant to which the Company agreed to issue to WAB a number of Ordinary Shares which is equal to $12,300,000. In consideration for the allotment of these Ordinary Shares, WAB will irrevocably and unconditionally release and discharge the Company from the obligations owed by the Company to WAB. The pro forma adjustment uses the share price of Rezolve Ordinary shares of $1.44 on March 25, 2025, the date on which Rezolve closed the GroupBy acquisition.</w:t>
      </w:r>
    </w:p>
    <w:p>
      <w:pPr>
        <w:spacing w:after="0" w:line="75"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GroupBy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503" w:right="220" w:hanging="503"/>
        <w:spacing w:after="0" w:line="282"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Bluedot Industries, Inc. and Bluedot Industries Pty. Ltd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503" w:right="40" w:hanging="503"/>
        <w:spacing w:after="0" w:line="258" w:lineRule="auto"/>
        <w:tabs>
          <w:tab w:leader="none" w:pos="5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lease expense for the difference between IFRS and US GAAP. There is only a single accounting model for leases under IFRS, i.e., all leases are effectively 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 for the year ended December 31, 2024.</w:t>
      </w:r>
    </w:p>
    <w:p>
      <w:pPr>
        <w:spacing w:after="0" w:line="75" w:lineRule="exact"/>
        <w:rPr>
          <w:sz w:val="20"/>
          <w:szCs w:val="20"/>
          <w:color w:val="auto"/>
        </w:rPr>
      </w:pPr>
    </w:p>
    <w:p>
      <w:pPr>
        <w:ind w:left="503" w:right="220" w:hanging="503"/>
        <w:spacing w:after="0" w:line="282"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 liabilities to which GroupBy is a party as one of the conditions for the closing of the GroupBy acquisition.</w:t>
      </w:r>
    </w:p>
    <w:p>
      <w:pPr>
        <w:spacing w:after="0" w:line="53" w:lineRule="exact"/>
        <w:rPr>
          <w:rFonts w:ascii="Times New Roman" w:cs="Times New Roman" w:eastAsia="Times New Roman" w:hAnsi="Times New Roman"/>
          <w:sz w:val="18"/>
          <w:szCs w:val="18"/>
          <w:color w:val="auto"/>
        </w:rPr>
      </w:pPr>
    </w:p>
    <w:p>
      <w:pPr>
        <w:jc w:val="both"/>
        <w:ind w:left="503" w:right="20" w:hanging="503"/>
        <w:spacing w:after="0" w:line="266"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jc w:val="both"/>
        <w:ind w:left="503" w:right="20" w:hanging="503"/>
        <w:spacing w:after="0" w:line="266"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ind w:left="503" w:right="80" w:hanging="503"/>
        <w:spacing w:after="0" w:line="258"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loss per share calculated using the historical weighted average shares outstanding, and the issuance of additional shares in connection with the Bluedot and GroupBy acquisitions, assuming the shares were outstanding since January 1, 2024. As the Bluedot and GroupBy acquisitions are being reflected in the unaudited pro forma condensed combined statement of operations as if both acquisitions had occurred on January 1, 2024, the calculation of weighted average shares outstanding for basic and diluted net loss per share assumes that the shares issuable in connection with the Blue Dot and GroupBy acquisitions have been outstanding for the entire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612775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48" w:name="page49"/>
    <w:bookmarkEnd w:id="48"/>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13" w:lineRule="exact"/>
        <w:rPr>
          <w:sz w:val="20"/>
          <w:szCs w:val="20"/>
          <w:color w:val="auto"/>
        </w:rPr>
      </w:pPr>
    </w:p>
    <w:p>
      <w:pPr>
        <w:ind w:right="4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In this section, the "Company", “we,” “us,” “our” and “Rezolve” refer to Rezolve Limited and its subsidiaries prior to the consummation of the Pre-Closing Demerger and to Rezolve AI PLC (formerly Rezolve AI Limited) and its subsidiaries following the consummation of the Pre-Closing Demerger.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2 of 2025, initially in Europe and the USA. Revenues from braincommerce are also forecast to begin in Q2 2025, increasing significantly in Q3 and Q4 2025. We also expect to generate revenues in Q4 2025 in South America and the Asia. We expect revenues to increase in 2026 through our signed partner agreements with Microsoft, Google and others. For additional information regarding the partner agreements, see “—</w:t>
      </w:r>
      <w:r>
        <w:rPr>
          <w:rFonts w:ascii="Times New Roman" w:cs="Times New Roman" w:eastAsia="Times New Roman" w:hAnsi="Times New Roman"/>
          <w:sz w:val="18"/>
          <w:szCs w:val="18"/>
          <w:i w:val="1"/>
          <w:iCs w:val="1"/>
          <w:color w:val="auto"/>
        </w:rPr>
        <w:t>Partner Agreements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 On March 28, 2025, the Company altered its legal status under English law from a private limited company and re-registered as a public limited company. In connection with the re-registration as a public limited company, the Company changed its name from Rezolve AI Limited to Rezolve AI plc.</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derive our revenue through the transaction fees based on sales of ticketing for La Liga football events in Spain.</w:t>
      </w:r>
    </w:p>
    <w:p>
      <w:pPr>
        <w:spacing w:after="0" w:line="225"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consolidated financial statements. The assessment includes knowledge of the Company’s subsequent financial position, the estimated economic outlook and identified risks and uncertainties in relation there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1688465" cy="514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210" w:lineRule="exact"/>
        <w:rPr>
          <w:sz w:val="20"/>
          <w:szCs w:val="20"/>
          <w:color w:val="auto"/>
        </w:rPr>
      </w:pPr>
    </w:p>
    <w:p>
      <w:pPr>
        <w:ind w:right="540" w:firstLine="8"/>
        <w:spacing w:after="0" w:line="223" w:lineRule="auto"/>
        <w:tabs>
          <w:tab w:leader="none" w:pos="105"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https://www.rezolve.com/investors/britainsbrain-heralds-new-era-of-commerce-enabled-ai/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760095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Limiting capital expenditures.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our future performance will depend on many factors, including the following:</w:t>
      </w:r>
    </w:p>
    <w:p>
      <w:pPr>
        <w:spacing w:after="0" w:line="113" w:lineRule="exact"/>
        <w:rPr>
          <w:sz w:val="20"/>
          <w:szCs w:val="20"/>
          <w:color w:val="auto"/>
        </w:rPr>
      </w:pPr>
    </w:p>
    <w:p>
      <w:pPr>
        <w:ind w:left="1020" w:right="340" w:hanging="503"/>
        <w:spacing w:after="0" w:line="286" w:lineRule="auto"/>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Growth from Transactions</w:t>
      </w:r>
      <w:r>
        <w:rPr>
          <w:rFonts w:ascii="Times New Roman" w:cs="Times New Roman" w:eastAsia="Times New Roman" w:hAnsi="Times New Roman"/>
          <w:sz w:val="18"/>
          <w:szCs w:val="18"/>
          <w:color w:val="auto"/>
        </w:rPr>
        <w:t>: Our growth depends on SaaS subscription fees and commissions earned from merchant’s transactions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customers.</w:t>
      </w:r>
    </w:p>
    <w:p>
      <w:pPr>
        <w:spacing w:after="0" w:line="46" w:lineRule="exact"/>
        <w:rPr>
          <w:rFonts w:ascii="Times New Roman" w:cs="Times New Roman" w:eastAsia="Times New Roman" w:hAnsi="Times New Roman"/>
          <w:sz w:val="18"/>
          <w:szCs w:val="18"/>
          <w:b w:val="1"/>
          <w:bCs w:val="1"/>
          <w:color w:val="auto"/>
        </w:rPr>
      </w:pPr>
    </w:p>
    <w:p>
      <w:pPr>
        <w:ind w:left="1020" w:hanging="503"/>
        <w:spacing w:after="0" w:line="259" w:lineRule="auto"/>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Merchant Acquisition</w:t>
      </w:r>
      <w:r>
        <w:rPr>
          <w:rFonts w:ascii="Times New Roman" w:cs="Times New Roman" w:eastAsia="Times New Roman" w:hAnsi="Times New Roman"/>
          <w:sz w:val="18"/>
          <w:szCs w:val="18"/>
          <w:color w:val="auto"/>
        </w:rPr>
        <w:t>: Our growth depends in part on our ability to attract merchants to our platform. A key avenue of merchant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71" w:lineRule="exact"/>
        <w:rPr>
          <w:rFonts w:ascii="Times New Roman" w:cs="Times New Roman" w:eastAsia="Times New Roman" w:hAnsi="Times New Roman"/>
          <w:sz w:val="18"/>
          <w:szCs w:val="18"/>
          <w:b w:val="1"/>
          <w:bCs w:val="1"/>
          <w:color w:val="auto"/>
        </w:rPr>
      </w:pPr>
    </w:p>
    <w:p>
      <w:pPr>
        <w:ind w:left="1020" w:right="160" w:hanging="503"/>
        <w:spacing w:after="0" w:line="259" w:lineRule="auto"/>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Successful Expansion to Additional Geographies</w:t>
      </w:r>
      <w:r>
        <w:rPr>
          <w:rFonts w:ascii="Times New Roman" w:cs="Times New Roman" w:eastAsia="Times New Roman" w:hAnsi="Times New Roman"/>
          <w:sz w:val="18"/>
          <w:szCs w:val="18"/>
          <w:color w:val="auto"/>
        </w:rPr>
        <w:t>: We believe our platform can compete successfully in various geographic regions.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71" w:lineRule="exact"/>
        <w:rPr>
          <w:rFonts w:ascii="Times New Roman" w:cs="Times New Roman" w:eastAsia="Times New Roman" w:hAnsi="Times New Roman"/>
          <w:sz w:val="18"/>
          <w:szCs w:val="18"/>
          <w:b w:val="1"/>
          <w:bCs w:val="1"/>
          <w:color w:val="auto"/>
        </w:rPr>
      </w:pPr>
    </w:p>
    <w:p>
      <w:pPr>
        <w:ind w:left="1020" w:right="180" w:hanging="503"/>
        <w:spacing w:after="0" w:line="278" w:lineRule="auto"/>
        <w:tabs>
          <w:tab w:leader="none" w:pos="102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Merchant Retention and Expansion</w:t>
      </w:r>
      <w:r>
        <w:rPr>
          <w:rFonts w:ascii="Times New Roman" w:cs="Times New Roman" w:eastAsia="Times New Roman" w:hAnsi="Times New Roman"/>
          <w:sz w:val="17"/>
          <w:szCs w:val="17"/>
          <w:color w:val="auto"/>
        </w:rPr>
        <w:t>: We care deeply about merchants. Our commitment to their success, we believe, increases retention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55" w:lineRule="exact"/>
        <w:rPr>
          <w:rFonts w:ascii="Times New Roman" w:cs="Times New Roman" w:eastAsia="Times New Roman" w:hAnsi="Times New Roman"/>
          <w:sz w:val="17"/>
          <w:szCs w:val="17"/>
          <w:b w:val="1"/>
          <w:bCs w:val="1"/>
          <w:color w:val="auto"/>
        </w:rPr>
      </w:pPr>
    </w:p>
    <w:p>
      <w:pPr>
        <w:ind w:left="1020" w:right="140" w:hanging="503"/>
        <w:spacing w:after="0" w:line="286" w:lineRule="auto"/>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Offering and service enhancement</w:t>
      </w:r>
      <w:r>
        <w:rPr>
          <w:rFonts w:ascii="Times New Roman" w:cs="Times New Roman" w:eastAsia="Times New Roman" w:hAnsi="Times New Roman"/>
          <w:sz w:val="18"/>
          <w:szCs w:val="18"/>
          <w:color w:val="auto"/>
        </w:rPr>
        <w:t>: We intend to continue investing in the capabilities of our offerings and services to deliver better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our users and merchants and address new market opportunities. Additionally, we will work to perfect our platform service</w:t>
      </w:r>
    </w:p>
    <w:p>
      <w:pPr>
        <w:spacing w:after="0" w:line="46" w:lineRule="exact"/>
        <w:rPr>
          <w:rFonts w:ascii="Times New Roman" w:cs="Times New Roman" w:eastAsia="Times New Roman" w:hAnsi="Times New Roman"/>
          <w:sz w:val="18"/>
          <w:szCs w:val="18"/>
          <w:b w:val="1"/>
          <w:bCs w:val="1"/>
          <w:color w:val="auto"/>
        </w:rPr>
      </w:pPr>
    </w:p>
    <w:p>
      <w:pPr>
        <w:ind w:left="1020" w:hanging="503"/>
        <w:spacing w:after="0" w:line="268" w:lineRule="auto"/>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Growth through Mergers &amp; Acquisitions</w:t>
      </w:r>
      <w:r>
        <w:rPr>
          <w:rFonts w:ascii="Times New Roman" w:cs="Times New Roman" w:eastAsia="Times New Roman" w:hAnsi="Times New Roman"/>
          <w:sz w:val="18"/>
          <w:szCs w:val="18"/>
          <w:color w:val="auto"/>
        </w:rPr>
        <w:t>: The growth of our business can be supported by a successful merger agreement with a SPAC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access to financing through capital markets. Additionally, our growth may be supported by acquisitions of businesses where management identifies synergistic growth opportunities.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generate transaction revenues through the sale of ticketing of football events using our technology with La Liga in Spain.</w:t>
      </w:r>
    </w:p>
    <w:p>
      <w:pPr>
        <w:spacing w:after="0" w:line="22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52"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Our cost of revenues consists primarily of the materials and consumables.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0" w:name="page51"/>
    <w:bookmarkEnd w:id="50"/>
    <w:p>
      <w:pPr>
        <w:ind w:left="1020" w:right="200" w:hanging="503"/>
        <w:spacing w:after="0" w:line="284" w:lineRule="auto"/>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Costs primarily consist of consulting fees as well as salaries, pension contributions and share-based compensation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employees.</w:t>
      </w:r>
    </w:p>
    <w:p>
      <w:pPr>
        <w:spacing w:after="0" w:line="50" w:lineRule="exact"/>
        <w:rPr>
          <w:rFonts w:ascii="Times New Roman" w:cs="Times New Roman" w:eastAsia="Times New Roman" w:hAnsi="Times New Roman"/>
          <w:sz w:val="18"/>
          <w:szCs w:val="18"/>
          <w:b w:val="1"/>
          <w:bCs w:val="1"/>
          <w:color w:val="auto"/>
        </w:rPr>
      </w:pPr>
    </w:p>
    <w:p>
      <w:pPr>
        <w:ind w:left="1020" w:right="20" w:hanging="503"/>
        <w:spacing w:after="0" w:line="267" w:lineRule="auto"/>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Costs consist primarily of finance, legal, listing and other non-specific costs as well as salaries,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share-based compensation for employees and nonrecurring share-based payments for non-employees. General and administrative also consists of payments made to developers who contract with Rezolve and fees and share-based compensation for directors.</w:t>
      </w:r>
    </w:p>
    <w:p>
      <w:pPr>
        <w:spacing w:after="0" w:line="65" w:lineRule="exact"/>
        <w:rPr>
          <w:rFonts w:ascii="Times New Roman" w:cs="Times New Roman" w:eastAsia="Times New Roman" w:hAnsi="Times New Roman"/>
          <w:sz w:val="18"/>
          <w:szCs w:val="18"/>
          <w:b w:val="1"/>
          <w:bCs w:val="1"/>
          <w:color w:val="auto"/>
        </w:rPr>
      </w:pPr>
    </w:p>
    <w:p>
      <w:pPr>
        <w:ind w:left="1020" w:right="120" w:hanging="503"/>
        <w:spacing w:after="0" w:line="284" w:lineRule="auto"/>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primarily consists of amortization of software and acquired information technology intangible assets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depreciation of fixed tangible assets.</w:t>
      </w:r>
    </w:p>
    <w:p>
      <w:pPr>
        <w:spacing w:after="0" w:line="50"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consists of an impairment charges on loan receivables.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primarily of costs associated with short term debt and convertible debt.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(Expense)</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years ended December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set forth our consolidated statements of operations for the years ended December 31, 2024 and December 31,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187,788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145,051</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6,285,446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131,430,412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04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138,230,574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(138,042,786)</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(26,006,274)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(10,557,714)</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(4,791,782)</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Gain/(loss) on derivatives</w:t>
            </w:r>
          </w:p>
        </w:tc>
        <w:tc>
          <w:tcPr>
            <w:tcW w:w="10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Gain/(loss) on extinguishment</w:t>
            </w:r>
          </w:p>
        </w:tc>
        <w:tc>
          <w:tcPr>
            <w:tcW w:w="10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(44,332,819)</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04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1,329,781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(34,559,071)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(4,666,416)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406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0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(172,601,857)</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(30,672,690)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(44,933)</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(63,408)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406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for the year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(172,646,790)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(30,736,098)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2"/>
        </w:trPr>
        <w:tc>
          <w:tcPr>
            <w:tcW w:w="170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20" w:type="dxa"/>
            <w:vAlign w:val="bottom"/>
            <w:tcBorders>
              <w:top w:val="single" w:sz="8" w:color="auto"/>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top w:val="single" w:sz="8" w:color="auto"/>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-2493645</wp:posOffset>
            </wp:positionV>
            <wp:extent cx="514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-2493645</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-1370965</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-1370965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-1079500</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-1079500</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shows total revenues from ticketing transactions for the year ended December 31, 2024, as compared to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tcPr>
          <w:p>
            <w:pPr>
              <w:jc w:val="right"/>
              <w:ind w:right="9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187,788</w:t>
            </w:r>
          </w:p>
        </w:tc>
        <w:tc>
          <w:tcPr>
            <w:tcW w:w="6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82"/>
              <w:spacing w:after="0"/>
              <w:rPr>
                <w:sz w:val="20"/>
                <w:szCs w:val="20"/>
                <w:color w:val="auto"/>
              </w:rPr>
            </w:pPr>
            <w:r>
              <w:rPr>
                <w:rFonts w:ascii="Times New Roman" w:cs="Times New Roman" w:eastAsia="Times New Roman" w:hAnsi="Times New Roman"/>
                <w:sz w:val="18"/>
                <w:szCs w:val="18"/>
                <w:color w:val="auto"/>
              </w:rPr>
              <w:t>42,737</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increase in revenue from $145,051 for the year ended December 31, 2023 as compared to $187,788 for the year ended December 31, 2024 is attributable to increased transaction revenues through the sale of ticketing of football events using our technology with La Liga in Spain.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shows operating expenses for the year ended December 31, 2024, as compared to the year ended December 31,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2"/>
                <w:szCs w:val="12"/>
                <w:color w:val="auto"/>
              </w:rPr>
            </w:pPr>
          </w:p>
        </w:tc>
        <w:tc>
          <w:tcPr>
            <w:tcW w:w="840" w:type="dxa"/>
            <w:vAlign w:val="bottom"/>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(738)</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6,285,446</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(445,808)</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131,430,412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113,443,884</w:t>
            </w:r>
          </w:p>
        </w:tc>
        <w:tc>
          <w:tcPr>
            <w:tcW w:w="4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(900,904)</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(17,185)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138,230,574</w:t>
            </w:r>
          </w:p>
        </w:tc>
        <w:tc>
          <w:tcPr>
            <w:tcW w:w="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112,079,249</w:t>
            </w:r>
          </w:p>
        </w:tc>
        <w:tc>
          <w:tcPr>
            <w:tcW w:w="4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429%</w:t>
            </w: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-24765</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Cost of revenues have remained unchanged at $34,053, for the year ended December 31, 2024 compared to $34,791 for the year ended December 31,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$0.45 million, for the year ended December 31, 2024 compared to the year ended December 31, 2023. This was primarily due lower share-based payments expense related to a decrease in the number of stock options granted to employees within sales and marketing during the year ended December 31, 2024 as compared to the year ended December 31, 2023.</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$113.44 million, for the year ended December 31, 2024 compared to the year ended December 31, 2023. This was primarily due to an increase in share-based payments expenses of $60.5 million from 2023 to 2024 related to stock options granted to DBLP Sea Cow Ltd during the year ended December 31, 2024. DBLP Sea Cow Ltd is wholly legally owned by Dan Wagner, Chief Executive Officer of Rezolve. An increase of $34.2 million in legal and professional fees incurred as a result of the Pre-Closing Demerger transaction and the Business Combination transaction with Armada Acquisition Corp. I. also contributed to the increase in general and administrative expenses during the year ended December 31, 2024 as compared to the year ended December 31,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52" w:name="page53"/>
    <w:bookmarkEnd w:id="52"/>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Other operating expenses decreased by $0.90 million for the year ended December 31, 2024 compared to the year ended December 31, 2023 . The higher operating expenses during the year ended December 31, 2023 as compared to the year ended December 31, 2024 was driven by higher impairment charges related to loan receivables from Swipeby and Moneymatic recognized in 2023 as compared to 2024.</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remained materially unchanged at $225,251, for the year ended December 31, 2024 compared to $242,436 for the year ended December 31,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and Expenses</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shows interest expense and other non-operating income and expenses for the year ended December 31, 2024, as compared to the year ended December 31, 2023:</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2"/>
                <w:szCs w:val="12"/>
                <w:color w:val="auto"/>
              </w:rPr>
            </w:pPr>
          </w:p>
        </w:tc>
        <w:tc>
          <w:tcPr>
            <w:tcW w:w="800" w:type="dxa"/>
            <w:vAlign w:val="bottom"/>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(10,557,714)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(4,791,782)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(5,765,932)</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Gain/(loss) on derivatives</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4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Gain/(loss) on extinguishment</w:t>
            </w:r>
          </w:p>
        </w:tc>
        <w:tc>
          <w:tcPr>
            <w:tcW w:w="2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(44,332,819)</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(44,332,819)</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1,329,781</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1,204,415</w:t>
            </w:r>
          </w:p>
        </w:tc>
        <w:tc>
          <w:tcPr>
            <w:tcW w:w="4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(34,559,071)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(4,666,416)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(29,892,655)</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-170815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Interest expense increased by $5.77 million for the year ended December 31, 2024, as compared to the year ended December 31, 2023. This was primarily due to interest expense of $6.99 million on the senior secured convertible notes and unsecured convertible loans. Refer to the Liquidity and Resources section below for more information.</w:t>
      </w:r>
    </w:p>
    <w:p>
      <w:pPr>
        <w:spacing w:after="0" w:line="24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net gain on derivatives of $19.00 million is primarily due to the remeasurement of a derivative asset and derivative liabilities at fair value through profit and loss. The derivative asset pertains to an option held by the Company to convert a promissory note payable to Northland Securities. The Company had The outstanding derivative liabilities as at December 31, 2024 were triggered by conversion features embedded in promissory notes held by investors Cohen &amp; Company Financial Management LLC, J.V.B. Financial Group and Northlands Securities. The Company previously did not bifurcate the embedded conversion features as derivatives due to the lack of an underlying share price prior to the Company's acquisition of Armada and listing of its Ordinary Shares on the NASDAQ. Refer to the Liquidity and Resources section below for more information.</w:t>
      </w:r>
    </w:p>
    <w:p>
      <w:pPr>
        <w:spacing w:after="0" w:line="25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loss on extinguishment of $44.33 million is primarily due to an agreement entered into by the Company, Apeiron Investment Group Ltd. and Bradley Wickens, the beneficial holders of the majority of senior secured convertible notes to amend</w:t>
      </w:r>
    </w:p>
    <w:p>
      <w:pPr>
        <w:spacing w:after="0" w:line="253" w:lineRule="auto"/>
        <w:rPr>
          <w:sz w:val="20"/>
          <w:szCs w:val="20"/>
          <w:color w:val="auto"/>
        </w:rPr>
      </w:pPr>
      <w:r>
        <w:rPr>
          <w:rFonts w:ascii="Times New Roman" w:cs="Times New Roman" w:eastAsia="Times New Roman" w:hAnsi="Times New Roman"/>
          <w:sz w:val="18"/>
          <w:szCs w:val="18"/>
          <w:color w:val="auto"/>
        </w:rPr>
        <w:t>the conversion price of approximately $41,892,080 of their outstanding senior secured convertible notes to $2 per ordinary share. Apeiron Investment Group Ltd. and Bradley Wickens exercised their option to convert all their outstanding senior secured convertible notes which resulted in the recognition of a debt conversion expense of $39,658,290, equal to the fair value of the ordinary shares given up less the carrying value of the debt including accrued interest. Refer to the Liquidity and Resources section below for more information.</w:t>
      </w:r>
    </w:p>
    <w:p>
      <w:pPr>
        <w:spacing w:after="0" w:line="18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Other non-operating (income) expense increased to $1.33 million for the year ended December 31, 2024, as compared to $0.13 million year ended December 31, 2023. This was primarily due a foreign exchange gain of $1.33 million during year ended December 31, 2024 as compared to a foreign exchange loss of $0.38 million during the year ended December 31, 2023. The Company's exposure to currencies other than its functional currency of the US Dollar, changed during the year ended December 31, 2024 as compared to the year ended December 31, 2023 due to events such as the board of directors decision to abandon operations in China completely and the Business Combination transaction with Armada Acquisition Corp. I.</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Losses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Operating losses increased to $138.04 million for the year ended December 31, 2024, as compared to $26.01 million for the year ended December 31, 2023. This was primarily due to the increase in general and administrative expenses as detailed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3" w:name="page54"/>
    <w:bookmarkEnd w:id="53"/>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Business Metrics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cs="Times New Roman" w:eastAsia="Times New Roman" w:hAnsi="Times New Roman"/>
          <w:sz w:val="18"/>
          <w:szCs w:val="18"/>
          <w:i w:val="1"/>
          <w:iCs w:val="1"/>
          <w:color w:val="auto"/>
        </w:rPr>
        <w:t>Components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Results of Operations</w:t>
      </w:r>
      <w:r>
        <w:rPr>
          <w:rFonts w:ascii="Times New Roman" w:cs="Times New Roman" w:eastAsia="Times New Roman" w:hAnsi="Times New Roman"/>
          <w:sz w:val="18"/>
          <w:szCs w:val="18"/>
          <w:color w:val="auto"/>
        </w:rPr>
        <w:t>.” Period-on-period revenues growth, EBITDA and total number of merchants are discussed immediately below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table.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financial metrics are used by management to monitor and analyze the operational performance of our business.</w:t>
      </w:r>
    </w:p>
    <w:p>
      <w:pPr>
        <w:spacing w:after="0" w:line="115" w:lineRule="exact"/>
        <w:rPr>
          <w:sz w:val="20"/>
          <w:szCs w:val="20"/>
          <w:color w:val="auto"/>
        </w:rPr>
      </w:pPr>
    </w:p>
    <w:p>
      <w:pPr>
        <w:ind w:left="1020" w:right="360" w:hanging="503"/>
        <w:spacing w:after="0" w:line="284"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Ticketing: </w:t>
      </w:r>
      <w:r>
        <w:rPr>
          <w:rFonts w:ascii="Times New Roman" w:cs="Times New Roman" w:eastAsia="Times New Roman" w:hAnsi="Times New Roman"/>
          <w:sz w:val="18"/>
          <w:szCs w:val="18"/>
          <w:color w:val="auto"/>
        </w:rPr>
        <w:t>Total Ticketing revenue transactions reflect the number of loyalty card transactions in a calendar year, loyalty is linked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football ticket. We track ticketing transactions as an indicator of customer transactions and as a key driver of revenues.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w:t>
      </w:r>
    </w:p>
    <w:p>
      <w:pPr>
        <w:spacing w:after="0" w:line="121"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EBITDA is a non-GAAP financial measure. 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72"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our interest expense, or the cash requirements to service interest or principal payments on, our indebtedness;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our tax expense or the cash requirements to pay our taxes;</w:t>
      </w:r>
    </w:p>
    <w:p>
      <w:pPr>
        <w:spacing w:after="0" w:line="117" w:lineRule="exact"/>
        <w:rPr>
          <w:rFonts w:ascii="Times New Roman" w:cs="Times New Roman" w:eastAsia="Times New Roman" w:hAnsi="Times New Roman"/>
          <w:sz w:val="18"/>
          <w:szCs w:val="18"/>
          <w:b w:val="1"/>
          <w:bCs w:val="1"/>
          <w:color w:val="auto"/>
        </w:rPr>
      </w:pPr>
    </w:p>
    <w:p>
      <w:pPr>
        <w:ind w:left="1020" w:right="600" w:hanging="503"/>
        <w:spacing w:after="0" w:line="282" w:lineRule="auto"/>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b w:val="1"/>
          <w:bCs w:val="1"/>
          <w:color w:val="auto"/>
        </w:rPr>
      </w:pPr>
    </w:p>
    <w:p>
      <w:pPr>
        <w:ind w:left="1020" w:right="100" w:hanging="503"/>
        <w:spacing w:after="0" w:line="282" w:lineRule="auto"/>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EBITDA does not reflect any cash requirements for these replacements; and</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companies may calculate EBITDA differently than we do.</w:t>
      </w:r>
    </w:p>
    <w:p>
      <w:pPr>
        <w:spacing w:after="0" w:line="22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EBITDA (non GAAP):</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(172,646,790)</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(30,736,098)</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10,557,714</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 (non-GAAP)</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(161,818,892)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(25,638,472)</w:t>
            </w: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-153670</wp:posOffset>
            </wp:positionV>
            <wp:extent cx="514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-153670</wp:posOffset>
            </wp:positionV>
            <wp:extent cx="514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have booked transaction-related costs in each of the years ended December 31, 2024 and 2023. PCAOB audit and U.S. legal counsel costs for the periods under review have been accrued as incurred in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Adjusted EBITDA is a non-GAAP financial measure. We define Adjusted EBITDA as EBITDA adjusted for unrealized foreign exchange gains (losses), impairment of goodwill and other assets, business development expenses, warrants issued and share-based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4" w:name="page55"/>
    <w:bookmarkEnd w:id="54"/>
    <w:p>
      <w:pPr>
        <w:ind w:right="20"/>
        <w:spacing w:after="0" w:line="282" w:lineRule="auto"/>
        <w:rPr>
          <w:sz w:val="20"/>
          <w:szCs w:val="20"/>
          <w:color w:val="auto"/>
        </w:rPr>
      </w:pPr>
      <w:r>
        <w:rPr>
          <w:rFonts w:ascii="Times New Roman" w:cs="Times New Roman" w:eastAsia="Times New Roman" w:hAnsi="Times New Roman"/>
          <w:sz w:val="18"/>
          <w:szCs w:val="18"/>
          <w:color w:val="auto"/>
        </w:rPr>
        <w:t>compensation. Although it is frequently used by investors and securities analysts in their evaluations of companies, Adjusted EBITDA has limitations as an analytical tool, including:</w:t>
      </w:r>
    </w:p>
    <w:p>
      <w:pPr>
        <w:spacing w:after="0" w:line="54"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b w:val="1"/>
          <w:bCs w:val="1"/>
          <w:color w:val="auto"/>
        </w:rPr>
      </w:pPr>
    </w:p>
    <w:p>
      <w:pPr>
        <w:ind w:left="1020" w:right="860" w:hanging="503"/>
        <w:spacing w:after="0" w:line="282" w:lineRule="auto"/>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our interest expense, or the cash requirements to service interest or principal payments on, our indebtedness;</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our tax expense or the cash requirements to pay our taxes;</w:t>
      </w:r>
    </w:p>
    <w:p>
      <w:pPr>
        <w:spacing w:after="0" w:line="117" w:lineRule="exact"/>
        <w:rPr>
          <w:rFonts w:ascii="Times New Roman" w:cs="Times New Roman" w:eastAsia="Times New Roman" w:hAnsi="Times New Roman"/>
          <w:sz w:val="18"/>
          <w:szCs w:val="18"/>
          <w:b w:val="1"/>
          <w:bCs w:val="1"/>
          <w:color w:val="auto"/>
        </w:rPr>
      </w:pPr>
    </w:p>
    <w:p>
      <w:pPr>
        <w:ind w:left="1020" w:right="420" w:hanging="503"/>
        <w:spacing w:after="0" w:line="282" w:lineRule="auto"/>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b w:val="1"/>
          <w:bCs w:val="1"/>
          <w:color w:val="auto"/>
        </w:rPr>
      </w:pPr>
    </w:p>
    <w:p>
      <w:pPr>
        <w:ind w:left="1020" w:right="140" w:hanging="503"/>
        <w:spacing w:after="0" w:line="282" w:lineRule="auto"/>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Adjusted EBITDA does not reflect any cash requirements for these replacements; and</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companies may calculate Adjusted EBITDA differently than we do.</w:t>
      </w:r>
    </w:p>
    <w:p>
      <w:pPr>
        <w:spacing w:after="0" w:line="22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7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Adjusted EBITDA is used by management to understand and track underlying earnings performance by excluding one-time and non-recurring costs.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 it is appropriate to exclude these costs from Adjusted EBITDA as they relate to:</w:t>
      </w:r>
    </w:p>
    <w:p>
      <w:pPr>
        <w:spacing w:after="0" w:line="99"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the China Business;</w:t>
      </w:r>
    </w:p>
    <w:p>
      <w:pPr>
        <w:spacing w:after="0" w:line="117"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loans and accounts receivable;</w:t>
      </w:r>
    </w:p>
    <w:p>
      <w:pPr>
        <w:spacing w:after="0" w:line="117"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related only to initial employees, consultants and related parties; and</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Unrealized foreign exchange (gain)/loss are one-time costs.</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Loss/(gain) resulting from the remeasurement of derivative assets and derivative liabilities at fair value at the end of each reporting period.</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7"/>
          <w:szCs w:val="17"/>
          <w:color w:val="auto"/>
        </w:rPr>
        <w:t>Loss/(gain) resulting from extinguishment of debt obligations.</w:t>
      </w:r>
    </w:p>
    <w:p>
      <w:pPr>
        <w:spacing w:after="0" w:line="117" w:lineRule="exact"/>
        <w:rPr>
          <w:sz w:val="20"/>
          <w:szCs w:val="20"/>
          <w:color w:val="auto"/>
        </w:rPr>
      </w:pPr>
    </w:p>
    <w:p>
      <w:pPr>
        <w:ind w:left="520" w:right="10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 expense of $18,836,099 related to restricted employee shares. The articles of incorporation of the Company were amended to remove these restrictions prior to the completion of the Pre-Closing Demerger transaction.</w:t>
      </w:r>
    </w:p>
    <w:p>
      <w:pPr>
        <w:spacing w:after="0" w:line="161"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Internally adjusted EBITDA and contribution margin by reportable segment are significant measures used by management for purposes of: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financial results and forecasts reported to the Company’s board of directors;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operating performance of which includes direct and incrementally controllable revenue and costs of operations but excludes items considered by management to be non-cash or non-operating;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internal operating budgets and target.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1020" w:right="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development expenses reflect the costs incurred by Rezolve Limited in funding our platform activities in China in 2024, prior to the Pre-Closing Demerger, and 2023 and are recorded within General and Administrative expenses.</w:t>
      </w:r>
    </w:p>
    <w:p>
      <w:pPr>
        <w:spacing w:after="0" w:line="161"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provides a reconciliation of our net income (loss) to Adjusted EBITDA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913130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5" w:name="page56"/>
    <w:bookmarkEnd w:id="55"/>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(172,646,790)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(30,736,098)</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10,557,714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 (non-GAAP)</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(161,818,892) $</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(25,638,472)</w:t>
            </w:r>
          </w:p>
        </w:tc>
      </w:tr>
      <w:tr>
        <w:trPr>
          <w:trHeight w:val="209"/>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1,329,775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(375,298)</w:t>
            </w: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loan and accounts receivable</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4,750,430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777,161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based compensation issued to related parties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63,001,392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3,270,040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 for consultancy services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485,080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for employees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4,314,649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5,238,117</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Gain on derivatives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(19,001,681)</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44,332,819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 employees shares restrictions lifted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18,836,099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(43,782,632)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(15,087,056)</w:t>
            </w:r>
          </w:p>
        </w:tc>
      </w:tr>
      <w:tr>
        <w:trPr>
          <w:trHeight w:val="20"/>
        </w:trPr>
        <w:tc>
          <w:tcPr>
            <w:tcW w:w="20" w:type="dxa"/>
            <w:vAlign w:val="bottom"/>
          </w:tcPr>
          <w:p>
            <w:pPr>
              <w:spacing w:after="0" w:line="20" w:lineRule="exact"/>
              <w:rPr>
                <w:sz w:val="1"/>
                <w:szCs w:val="1"/>
                <w:color w:val="auto"/>
              </w:rPr>
            </w:pPr>
          </w:p>
        </w:tc>
        <w:tc>
          <w:tcPr>
            <w:tcW w:w="47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-1679575</wp:posOffset>
            </wp:positionV>
            <wp:extent cx="514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-1679575</wp:posOffset>
            </wp:positionV>
            <wp:extent cx="514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Number of Merchants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based compensation</w:t>
      </w:r>
    </w:p>
    <w:p>
      <w:pPr>
        <w:spacing w:after="0" w:line="121"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As of December 31, 2023, 9,513,181 restricted employee shares were outstanding due to an unofficial and unapproved equity incentive plan. These shares par value of £0.0001 per share were unpaid by the employees. The employee shares had significant restrictions including management’s and or the board’s rights to cancel the shares any time, restrictions on right to transfer, to vote and cumulative dividends. There were no vesting conditions including service conditions in relation to the shares issued. Considering the restrictions imposed on these shares, these shares were considered to be ungranted to the employees. The amount receivable for these employee shares and such employee shares issued were adjusted from the share subscription receivable and number of ordinary shares, respectively in the Company’s consolidated statement of changes in shareholder’s deficit as of and for the year ended December 31, 2023. The articles of incorporation of the Company were amended to remove these restrictions prior to the completion of the Pre-Closing Demerger transaction. The removal of these restrictions triggered a “grant date” as defined in ASC 718. As there were no vesting conditions, the shares were fully vested at grant date. The Company recognized a share-based payment expense of $18,836,099 during the year ended December 31, 2024 using a fair value of ordinary shares of $1.98. The fair value of the ordinary shares was estimated using a recent funding of the Company, historical discounts to share prices following an initial public offering through a Special Purpose Acquisition Corp ("SPAC"), while also considering the risk that the Company may not successfully close its Business Combination with Armada or complete the Demerger. The valuation used an estimated discount for lack of marketability using an average from the results of a Black-Scholes Protective Put Option Analysis, Asian Put Option Analysis and the Finnerty Put Option Analysis.</w:t>
      </w:r>
    </w:p>
    <w:p>
      <w:pPr>
        <w:spacing w:after="0" w:line="280"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consolidated financial statements. The assessment includes knowledge of the Company’s subsequent financial position, the estimated economic outlook and identified risks and uncertainties in relation.</w:t>
      </w:r>
    </w:p>
    <w:p>
      <w:pPr>
        <w:spacing w:after="0" w:line="176"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1660" w:hanging="500"/>
        <w:spacing w:after="0"/>
        <w:tabs>
          <w:tab w:leader="none" w:pos="1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 or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6" w:right="359" w:bottom="1440" w:gutter="0" w:footer="0" w:header="0"/>
        </w:sectPr>
      </w:pPr>
    </w:p>
    <w:bookmarkStart w:id="56" w:name="page57"/>
    <w:bookmarkEnd w:id="56"/>
    <w:p>
      <w:pPr>
        <w:ind w:left="1660" w:hanging="500"/>
        <w:spacing w:after="0"/>
        <w:tabs>
          <w:tab w:leader="none" w:pos="1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3The ability to generate revenue from our technology.</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the review of the strategic plan and budget, including expected developments in liquidity and capital from definitive agreements entered into, were considered. As of the date of issuance of these consolidated financial statements, the Company has a further $234.4 million remaining on the Standby Equity Purchase Agreement ("SEPA") capital commitment facility with YA II PN, LTD ("YA"), a Cayman Island exempt limited company. The SEPA is a share subscription facility which was signed and executed on February 23, 2023 and amended and restated on February 2, 2024 to provide for, inter alia, Rezolve AI Limited joining as a party to the agreement and the subscription by YA of a promissory convertible note (“YA Agreement”, note 7.6). The Company may continue to seek capital through the issuance of equity securities using the remaining undrawn capital commitment facility. Consequently, it has been concluded that adequate resources and liquidity to meet the cash flow requirements for the next twelve months are present, and it is reasonable to apply the going concern basis as the underlying assumption for the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19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2024, we financed our operations in large part with cash flows from financing activities through cash proceeds from issuance of convertible debt, short term-debt and a rights issue.</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Short-term debt and other liabilities</w:t>
            </w:r>
          </w:p>
        </w:tc>
        <w:tc>
          <w:tcPr>
            <w:tcW w:w="140" w:type="dxa"/>
            <w:vAlign w:val="bottom"/>
          </w:tcPr>
          <w:p>
            <w:pPr>
              <w:spacing w:after="0"/>
              <w:rPr>
                <w:sz w:val="15"/>
                <w:szCs w:val="15"/>
                <w:color w:val="auto"/>
              </w:rPr>
            </w:pPr>
          </w:p>
        </w:tc>
        <w:tc>
          <w:tcPr>
            <w:tcW w:w="17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0"/>
        </w:trPr>
        <w:tc>
          <w:tcPr>
            <w:tcW w:w="714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to related parties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5,102,211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payable</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1,206,609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10,288,123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6,428,825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Advisors loans</w:t>
            </w: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12,812,366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CFF0FC"/>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37,333,443</w:t>
            </w: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46,981,299</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-170815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debt to related parties</w:t>
      </w:r>
    </w:p>
    <w:p>
      <w:pPr>
        <w:spacing w:after="0" w:line="229"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Unsecured interest free loans taken from related parties DBLP Sea Cow Ltd of $447,067 and Daniel Wagner of $4,655,144 are repayable on demand.</w:t>
      </w:r>
    </w:p>
    <w:p>
      <w:pPr>
        <w:spacing w:after="0" w:line="162"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were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8.3). The loan principal and accrued borrowing fees were rounded to a sum of $8,000,000. The key terms of the loan amendment include that of the senior secured convertible notes, as noted below:</w:t>
      </w:r>
    </w:p>
    <w:p>
      <w:pPr>
        <w:spacing w:after="0" w:line="80" w:lineRule="exact"/>
        <w:rPr>
          <w:sz w:val="20"/>
          <w:szCs w:val="20"/>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7" w:name="page58"/>
    <w:bookmarkEnd w:id="57"/>
    <w:p>
      <w:pPr>
        <w:ind w:left="1020" w:right="20"/>
        <w:spacing w:after="0" w:line="282" w:lineRule="auto"/>
        <w:rPr>
          <w:sz w:val="20"/>
          <w:szCs w:val="20"/>
          <w:color w:val="auto"/>
        </w:rPr>
      </w:pPr>
      <w:r>
        <w:rPr>
          <w:rFonts w:ascii="Times New Roman" w:cs="Times New Roman" w:eastAsia="Times New Roman" w:hAnsi="Times New Roman"/>
          <w:sz w:val="18"/>
          <w:szCs w:val="18"/>
          <w:color w:val="auto"/>
        </w:rPr>
        <w:t>Combination with a publicly listed company and prior to the maturity date. As a result of the loan amendment and addition to the Company’s senior secured convertible notes, the default was remediated.</w:t>
      </w:r>
    </w:p>
    <w:p>
      <w:pPr>
        <w:spacing w:after="0" w:line="27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On December 5, 2024, all $8,000,000 of the senior secured convertible notes in favor of Igor Lychagov were converted into ordinary shares of the Company at a conversion price of $7 per ordinary share.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payable</w:t>
      </w:r>
    </w:p>
    <w:p>
      <w:pPr>
        <w:spacing w:after="0" w:line="22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The Company issued 11,052,716 ordinary shares in December 2024 to subscribers of the rights issue. On January 24, 2025, the Company issued a further 171,429 ordinary shares to a subscriber of the rights issue to whom they were owed ordinary shares payable as at December 31,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debt</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a secured convertible loan note instrument, as amended and restated on November 21, 2022 and May 23, 2023 and as further amended on December 18, 2023, December 29, 2023 and January 26, 2024 (the “</w:t>
      </w:r>
      <w:r>
        <w:rPr>
          <w:rFonts w:ascii="Times New Roman" w:cs="Times New Roman" w:eastAsia="Times New Roman" w:hAnsi="Times New Roman"/>
          <w:sz w:val="18"/>
          <w:szCs w:val="18"/>
          <w:b w:val="1"/>
          <w:bCs w:val="1"/>
          <w:i w:val="1"/>
          <w:iCs w:val="1"/>
          <w:color w:val="auto"/>
        </w:rPr>
        <w:t>Loan Note Instrument</w:t>
      </w:r>
      <w:r>
        <w:rPr>
          <w:rFonts w:ascii="Times New Roman" w:cs="Times New Roman" w:eastAsia="Times New Roman" w:hAnsi="Times New Roman"/>
          <w:sz w:val="18"/>
          <w:szCs w:val="18"/>
          <w:color w:val="auto"/>
        </w:rPr>
        <w:t>”). Upon the closing of the Pre-Closing Demerger, the Loan Note Instrument was novated to Rezolve and was secured by a debenture over the assets of Rezolve. As of December 5, 2024, there was outstanding an aggregate amount of approximately $49 million of convertible notes (the "Convertible Notes") outstanding under the Loan Note Instrument.</w:t>
      </w:r>
    </w:p>
    <w:p>
      <w:pPr>
        <w:spacing w:after="0" w:line="183"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On December 5, 2024, pursuant to the terms of the Loan Note Instrument, one of the holders of the Convertible Notes converted all of his approximately $8 million of outstanding Convertible Notes at a conversion price of $7 per ordinary share.</w:t>
      </w:r>
    </w:p>
    <w:p>
      <w:pPr>
        <w:spacing w:after="0" w:line="162"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On December 17, 2024, the Company, Apeiron Investment Group Ltd. and Bradley Wickens, the beneficial holders of the majority of Convertible Notes entered into an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amend the Loan Note Instrument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and that the beneficial holders shall procure that the registered nominees holding their Convertible Notes provide the necessary consents to the Amendment. Pursuant to the Amendment, the conversion price with respect to approximately $41 million of outstanding Convertible Notes was revised to equal $2 per ordinary share.</w:t>
      </w:r>
    </w:p>
    <w:p>
      <w:pPr>
        <w:spacing w:after="0" w:line="180"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In December 2024, all of the remaining Convertible Note holders elected to convert. As of December 31, 2024, $0.4 million of the Convertible Notes remained outstanding under the Loan Note Instrument.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term convertible debt to a related party</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 Short term convertible debt to a related party of $132,269 was also added to the Company’s senior secured convertible note including $125,000 of convertible debt and $7,269 of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8" w:name="page59"/>
    <w:bookmarkEnd w:id="58"/>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October 7, 2021, the Group acquired Jaymax International Service Inc. (“Jaymax”) (later renamed to “Rezolve Taiwan Limited”). As part of the acquisition of Jaymax, the Company agreed to issue $1,400,000 in Rezolve ordinary share to Jaymax’s former owner for completion of a 3-year noncompete period which began on the October 7, 2021. The cost of the share-based payment is considered to have vested immediately upon commencement of the non-compete period as the Company’s assumption is that it is more likely than not that the former owner will not breach the non-compete agreement. The share-based payment liability is to be settled by a fixed dollar amount of shares and therefore represents a liability in accordance with ASC 480. As at December 31, 2023, the liability has been measured at fair value using a discounted cash-flow model and a market participant borrowing rate of 10.8%. At December 31, 2024 the liability is equal its present value of $1,400,000 as the term of the non-compete agreement ended on October 7, 2024. The Company has yet to settle it in ordinary shares as at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tc>
        <w:tc>
          <w:tcPr>
            <w:tcW w:w="26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YA notes</w:t>
            </w:r>
          </w:p>
        </w:tc>
        <w:tc>
          <w:tcPr>
            <w:tcW w:w="2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2,250,245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2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1,146,966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 from sponsor</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3,031,614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50"/>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6,428,825</w:t>
            </w:r>
          </w:p>
        </w:tc>
        <w:tc>
          <w:tcPr>
            <w:tcW w:w="2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Yorkville Standby Equity Purchase Agreement</w:t>
      </w:r>
    </w:p>
    <w:p>
      <w:pPr>
        <w:spacing w:after="0" w:line="113" w:lineRule="exact"/>
        <w:rPr>
          <w:sz w:val="20"/>
          <w:szCs w:val="20"/>
          <w:color w:val="auto"/>
        </w:rPr>
      </w:pPr>
    </w:p>
    <w:p>
      <w:pPr>
        <w:ind w:right="160" w:firstLine="509"/>
        <w:spacing w:after="0" w:line="262" w:lineRule="auto"/>
        <w:rPr>
          <w:sz w:val="20"/>
          <w:szCs w:val="20"/>
          <w:color w:val="auto"/>
        </w:rPr>
      </w:pPr>
      <w:r>
        <w:rPr>
          <w:rFonts w:ascii="Times New Roman" w:cs="Times New Roman" w:eastAsia="Times New Roman" w:hAnsi="Times New Roman"/>
          <w:sz w:val="18"/>
          <w:szCs w:val="18"/>
          <w:color w:val="212529"/>
        </w:rPr>
        <w:t>On February 23, 2023, Rezolve Limited entered into a $250 million standby equity purchase agreement with YA II PN, LTD (“</w:t>
      </w:r>
      <w:r>
        <w:rPr>
          <w:rFonts w:ascii="Times New Roman" w:cs="Times New Roman" w:eastAsia="Times New Roman" w:hAnsi="Times New Roman"/>
          <w:sz w:val="18"/>
          <w:szCs w:val="18"/>
          <w:b w:val="1"/>
          <w:bCs w:val="1"/>
          <w:i w:val="1"/>
          <w:iCs w:val="1"/>
          <w:color w:val="212529"/>
        </w:rPr>
        <w:t>YA</w:t>
      </w:r>
      <w:r>
        <w:rPr>
          <w:rFonts w:ascii="Times New Roman" w:cs="Times New Roman" w:eastAsia="Times New Roman" w:hAnsi="Times New Roman"/>
          <w:sz w:val="18"/>
          <w:szCs w:val="18"/>
          <w:color w:val="212529"/>
        </w:rPr>
        <w:t>”), a Cayman Islands exempt limited company, which was amended and restated on February 2, 2024 to provide for, inter alia, Rezolve AI Limited joining as a party to the agreement (“</w:t>
      </w:r>
      <w:r>
        <w:rPr>
          <w:rFonts w:ascii="Times New Roman" w:cs="Times New Roman" w:eastAsia="Times New Roman" w:hAnsi="Times New Roman"/>
          <w:sz w:val="18"/>
          <w:szCs w:val="18"/>
          <w:b w:val="1"/>
          <w:bCs w:val="1"/>
          <w:i w:val="1"/>
          <w:iCs w:val="1"/>
          <w:color w:val="212529"/>
        </w:rPr>
        <w:t>YA Agreement</w:t>
      </w:r>
      <w:r>
        <w:rPr>
          <w:rFonts w:ascii="Times New Roman" w:cs="Times New Roman" w:eastAsia="Times New Roman" w:hAnsi="Times New Roman"/>
          <w:sz w:val="18"/>
          <w:szCs w:val="18"/>
          <w:color w:val="212529"/>
        </w:rPr>
        <w:t>”). Pursuant to the YA Agreement, Rezolve has the right to sell to YA up to $250,000,000 Ordinary Shares, subject to certain limitations and conditions set forth in the YA Agreement, from time to time during the term of the YA Agreement.</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212529"/>
        </w:rPr>
        <w:t>In connection with the amendment and restatement of the YA Agreement, on February 2, 2024, Rezolve Limited and Rezolve issued a convertible note with a total principal amount of $2.5 million (the “</w:t>
      </w:r>
      <w:r>
        <w:rPr>
          <w:rFonts w:ascii="Times New Roman" w:cs="Times New Roman" w:eastAsia="Times New Roman" w:hAnsi="Times New Roman"/>
          <w:sz w:val="18"/>
          <w:szCs w:val="18"/>
          <w:b w:val="1"/>
          <w:bCs w:val="1"/>
          <w:i w:val="1"/>
          <w:iCs w:val="1"/>
          <w:color w:val="212529"/>
        </w:rPr>
        <w:t>YA Note</w:t>
      </w:r>
      <w:r>
        <w:rPr>
          <w:rFonts w:ascii="Times New Roman" w:cs="Times New Roman" w:eastAsia="Times New Roman" w:hAnsi="Times New Roman"/>
          <w:sz w:val="18"/>
          <w:szCs w:val="18"/>
          <w:color w:val="212529"/>
        </w:rPr>
        <w:t>”) to YA, pursuant to the terms of a convertible promissory note instrument entered into by Rezolve Limited and Rezolve (“</w:t>
      </w:r>
      <w:r>
        <w:rPr>
          <w:rFonts w:ascii="Times New Roman" w:cs="Times New Roman" w:eastAsia="Times New Roman" w:hAnsi="Times New Roman"/>
          <w:sz w:val="18"/>
          <w:szCs w:val="18"/>
          <w:b w:val="1"/>
          <w:bCs w:val="1"/>
          <w:i w:val="1"/>
          <w:iCs w:val="1"/>
          <w:color w:val="212529"/>
        </w:rPr>
        <w:t>YA Note Instrument</w:t>
      </w:r>
      <w:r>
        <w:rPr>
          <w:rFonts w:ascii="Times New Roman" w:cs="Times New Roman" w:eastAsia="Times New Roman" w:hAnsi="Times New Roman"/>
          <w:sz w:val="18"/>
          <w:szCs w:val="18"/>
          <w:color w:val="212529"/>
        </w:rPr>
        <w:t>”).</w:t>
      </w:r>
    </w:p>
    <w:p>
      <w:pPr>
        <w:spacing w:after="0" w:line="64" w:lineRule="exact"/>
        <w:rPr>
          <w:sz w:val="20"/>
          <w:szCs w:val="20"/>
          <w:color w:val="auto"/>
        </w:rPr>
      </w:pPr>
    </w:p>
    <w:p>
      <w:pPr>
        <w:ind w:right="340" w:firstLine="749"/>
        <w:spacing w:after="0" w:line="256" w:lineRule="auto"/>
        <w:rPr>
          <w:sz w:val="20"/>
          <w:szCs w:val="20"/>
          <w:color w:val="auto"/>
        </w:rPr>
      </w:pPr>
      <w:r>
        <w:rPr>
          <w:rFonts w:ascii="Times New Roman" w:cs="Times New Roman" w:eastAsia="Times New Roman" w:hAnsi="Times New Roman"/>
          <w:sz w:val="18"/>
          <w:szCs w:val="18"/>
          <w:color w:val="auto"/>
        </w:rPr>
        <w:t>On September 6, 2024, YA and Rezolve amended and restated the YA Agreement (the “</w:t>
      </w:r>
      <w:r>
        <w:rPr>
          <w:rFonts w:ascii="Times New Roman" w:cs="Times New Roman" w:eastAsia="Times New Roman" w:hAnsi="Times New Roman"/>
          <w:sz w:val="18"/>
          <w:szCs w:val="18"/>
          <w:b w:val="1"/>
          <w:bCs w:val="1"/>
          <w:i w:val="1"/>
          <w:iCs w:val="1"/>
          <w:color w:val="auto"/>
        </w:rPr>
        <w:t>Second A&amp;R YA Agreement</w:t>
      </w:r>
      <w:r>
        <w:rPr>
          <w:rFonts w:ascii="Times New Roman" w:cs="Times New Roman" w:eastAsia="Times New Roman" w:hAnsi="Times New Roman"/>
          <w:sz w:val="18"/>
          <w:szCs w:val="18"/>
          <w:color w:val="auto"/>
        </w:rPr>
        <w:t>”) to incorporate an additional prepaid advance arrangement pursuant to which YA committed to provide Rezolve with prepaid advances in an aggregate original principal amount of an additional Seven Million Five Hundred Thousand Dollars ($7,500,000), payable in three tranches, with the first tranche in an original principal amount of Two Million Five Hundred Thousand Dollars ($2,500,000) that was funded as part of the Second YA Note (as defined below), the second tranche in an original principal amount of Two Million Five Hundred Thousand Dollars ($2,500,000) that was funded as part of the Second YA Note and the third tranche in an original principal amount of Two Million Five Hundred Thousand Dollars ($2,500,000) that was funded as part of the Third YA Note (as defined below). The Second A&amp;R YA Agreement superseded the original agreement.</w:t>
      </w:r>
    </w:p>
    <w:p>
      <w:pPr>
        <w:spacing w:after="0" w:line="7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8"/>
          <w:szCs w:val="18"/>
          <w:b w:val="1"/>
          <w:bCs w:val="1"/>
          <w:i w:val="1"/>
          <w:iCs w:val="1"/>
          <w:color w:val="auto"/>
        </w:rPr>
        <w:t>YA Note Amendment</w:t>
      </w:r>
      <w:r>
        <w:rPr>
          <w:rFonts w:ascii="Times New Roman" w:cs="Times New Roman" w:eastAsia="Times New Roman" w:hAnsi="Times New Roman"/>
          <w:sz w:val="18"/>
          <w:szCs w:val="18"/>
          <w:color w:val="auto"/>
        </w:rPr>
        <w:t>” and the YA Note, as amended by the YA Note Amendment, the “</w:t>
      </w:r>
      <w:r>
        <w:rPr>
          <w:rFonts w:ascii="Times New Roman" w:cs="Times New Roman" w:eastAsia="Times New Roman" w:hAnsi="Times New Roman"/>
          <w:sz w:val="18"/>
          <w:szCs w:val="18"/>
          <w:b w:val="1"/>
          <w:bCs w:val="1"/>
          <w:i w:val="1"/>
          <w:iCs w:val="1"/>
          <w:color w:val="auto"/>
        </w:rPr>
        <w:t>Amended YA Note</w:t>
      </w:r>
      <w:r>
        <w:rPr>
          <w:rFonts w:ascii="Times New Roman" w:cs="Times New Roman" w:eastAsia="Times New Roman" w:hAnsi="Times New Roman"/>
          <w:sz w:val="18"/>
          <w:szCs w:val="18"/>
          <w:color w:val="auto"/>
        </w:rPr>
        <w: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75"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Also in connection with the Second A&amp;R YA Agreement, on September 9, 2024, Rezolve issued YA a promissory note in the principal amount of $5,000,000 (the “</w:t>
      </w:r>
      <w:r>
        <w:rPr>
          <w:rFonts w:ascii="Times New Roman" w:cs="Times New Roman" w:eastAsia="Times New Roman" w:hAnsi="Times New Roman"/>
          <w:sz w:val="18"/>
          <w:szCs w:val="18"/>
          <w:b w:val="1"/>
          <w:bCs w:val="1"/>
          <w:i w:val="1"/>
          <w:iCs w:val="1"/>
          <w:color w:val="auto"/>
        </w:rPr>
        <w:t>Second YA Note</w:t>
      </w:r>
      <w:r>
        <w:rPr>
          <w:rFonts w:ascii="Times New Roman" w:cs="Times New Roman" w:eastAsia="Times New Roman" w:hAnsi="Times New Roman"/>
          <w:sz w:val="18"/>
          <w:szCs w:val="18"/>
          <w:color w:val="auto"/>
        </w:rPr>
        <w:t>”), reflecting the first and second tranche of the prepaid advances, and on November 29, 2024, upon effectiveness of the F-1 Registration Statement originally filed with the U.S. Securities and Exchange Commission on September 6, 2024, and declared effective on November 27, 2024, Rezolve issued YA a promissory note in the principal amount of $2,500,000 (the "</w:t>
      </w:r>
      <w:r>
        <w:rPr>
          <w:rFonts w:ascii="Times New Roman" w:cs="Times New Roman" w:eastAsia="Times New Roman" w:hAnsi="Times New Roman"/>
          <w:sz w:val="18"/>
          <w:szCs w:val="18"/>
          <w:b w:val="1"/>
          <w:bCs w:val="1"/>
          <w:i w:val="1"/>
          <w:iCs w:val="1"/>
          <w:color w:val="auto"/>
        </w:rPr>
        <w:t>Third YA Note</w:t>
      </w:r>
      <w:r>
        <w:rPr>
          <w:rFonts w:ascii="Times New Roman" w:cs="Times New Roman" w:eastAsia="Times New Roman" w:hAnsi="Times New Roman"/>
          <w:sz w:val="18"/>
          <w:szCs w:val="18"/>
          <w:color w:val="auto"/>
        </w:rPr>
        <w:t>", and together with the Amended YA Note and Second YA Note, the "</w:t>
      </w:r>
      <w:r>
        <w:rPr>
          <w:rFonts w:ascii="Times New Roman" w:cs="Times New Roman" w:eastAsia="Times New Roman" w:hAnsi="Times New Roman"/>
          <w:sz w:val="18"/>
          <w:szCs w:val="18"/>
          <w:b w:val="1"/>
          <w:bCs w:val="1"/>
          <w:i w:val="1"/>
          <w:iCs w:val="1"/>
          <w:color w:val="auto"/>
        </w:rPr>
        <w:t>YA Notes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December 2024, the Company received the Noteholder's request to convert of all of the principal and interest outstanding under the YA Notes. In connection therewith, the Company issued an aggregate of 4,310,208 Ordinary Shares (including in payment of a fee to YA) in December 2024. A loss on extinguishment of $4,175,791 was recognized. As of December 31, 2024, $2,705,929 in principal and interest was outstanding, which was subsequently settled in 1,413,946 Ordinary Shares on February 5, 2025, and no further amounts remain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9" w:name="page60"/>
    <w:bookmarkEnd w:id="59"/>
    <w:p>
      <w:pPr>
        <w:ind w:left="520"/>
        <w:spacing w:after="0"/>
        <w:rPr>
          <w:sz w:val="20"/>
          <w:szCs w:val="20"/>
          <w:color w:val="auto"/>
        </w:rPr>
      </w:pPr>
      <w:r>
        <w:rPr>
          <w:rFonts w:ascii="Times New Roman" w:cs="Times New Roman" w:eastAsia="Times New Roman" w:hAnsi="Times New Roman"/>
          <w:sz w:val="18"/>
          <w:szCs w:val="18"/>
          <w:u w:val="single" w:color="auto"/>
          <w:color w:val="auto"/>
        </w:rPr>
        <w:t>Promissory notes</w:t>
      </w:r>
    </w:p>
    <w:p>
      <w:pPr>
        <w:spacing w:after="0" w:line="117" w:lineRule="exact"/>
        <w:rPr>
          <w:sz w:val="20"/>
          <w:szCs w:val="20"/>
          <w:color w:val="auto"/>
        </w:rPr>
      </w:pPr>
    </w:p>
    <w:p>
      <w:pPr>
        <w:jc w:val="both"/>
        <w:ind w:right="520" w:firstLine="509"/>
        <w:spacing w:after="0" w:line="266"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the “Net Investment Amount”.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Promissory Notes were issued during the course of February, 2024, pursuant to the terms of the Promissory Note Instruments.</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were novated to Rezolve AI plc.</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(except if an event of default has occurred and is continuing, an 18% interest rate will apply). The Promissory Notes are freely transferable in whole or in part, subject to the terms of the Promissory Notes Instrument.</w:t>
      </w:r>
    </w:p>
    <w:p>
      <w:pPr>
        <w:spacing w:after="0" w:line="72"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Promissory Notes are convertible into ordinary shares in Rezolve AI plc.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Rezolve has the right to redeem early a portion or all amounts outstanding under the Promissory Notes pursuant to a Redemption Notice, provided that on the date of the Redemption Notice the VWAP of the ordinary shares in Rezolve AI plc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Following the public listing of the ordinary shares in Rezolve AI plc, if a “Promissory Note Trigger Event” occurs (being where (i) the daily VWAP is less than the Floor Price for five (5) trading days during a period of seven (7) consecutive trading days (the “Promissory Note Floor Price Trigger”), or</w:t>
      </w:r>
    </w:p>
    <w:p>
      <w:pPr>
        <w:ind w:right="20" w:firstLine="8"/>
        <w:spacing w:after="0" w:line="251" w:lineRule="auto"/>
        <w:tabs>
          <w:tab w:leader="none" w:pos="2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plc has issued in excess of 99% of the ordinary shares available under the Exchange Cap unless Rezolve AI plc shareholders have approved such issuances, or if Rezolve AI plc is permitted to follow (and has elected to do so) its home country practices instead of the stockholder approval requirements of Nasdaq Rule 5635) (the “Promissory Note Exchange Cap Trigger”)), then Rezolve AI plc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plc reduces the Floor Price (in accordance with its rights to do so under the Promissory Note Instruments), or (ii) in the event of an Exchange Cap Trigger, the date Rezolve AI plc has obtained stockholder approval to increase the number of ordinary shares under the Exchange Cap (or if the Exchange Cap no longer applies), unless a subsequent Promissory Note Trigger Event occurs.</w:t>
      </w:r>
    </w:p>
    <w:p>
      <w:pPr>
        <w:spacing w:after="0" w:line="85"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On December 30, 2024, the Company repaid $1,472,231 of principal and interest to noteholders and related persons. As at December 31, 2024, certain noteholders and related parties have agreed to convert an aggregate of $1,189,096 of principal and interest into 425,288 Ordinary Shares. The outstanding balance at December 31, 2024 is $406,238, which the Company intends to settle by conversion into Ordinary Shares.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Cohen &amp; Company Financial Management LLC</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14, 2024 Rezolve AI issued a promissory note to pay to Cohen &amp; Company Financial Management LLC (“Cohen”) as an agent for Armada, in the principal sum of $3,144,883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Cohen’s request, Rezolve AI shall pay Cohen the principal amount plus all of the accrued interest in increments of 1/18 of the outstanding principal amount (the “Amortization Payment”) on a date determined by Cohen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Cohen shall have the right, at Cohen’s sole option, on any business day, to convert at the conversion price described in the note all or any portion of the outstanding principal amount of the note up to an amount described in the note. The promissory note was settled on February 10, 2025 by issuing ordinary shares, and no further amounts remain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Advisors loans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issued the following promissory notes to financial advisors which were contingently on the close of the Business Combination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Armada:</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Advisors loans</w:t>
            </w:r>
          </w:p>
        </w:tc>
        <w:tc>
          <w:tcPr>
            <w:tcW w:w="29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Northland Securities</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5,491,806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J.V.B Financial Group</w:t>
            </w:r>
          </w:p>
        </w:tc>
        <w:tc>
          <w:tcPr>
            <w:tcW w:w="29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7,320,560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12,812,366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Northland Securities</w:t>
      </w:r>
    </w:p>
    <w:p>
      <w:pPr>
        <w:spacing w:after="0" w:line="11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 (a) $25,000,000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AI plc. The Company settled the promissory note with Northland on January 30, 2025 by issuing 391,681 ordinary shares and paying $3,500,000 in cash. No further amounts remain outstanding.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J.V.B. Financial Group</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volume weighted average share price (“VWP”)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 by Rezolve AI plc. On February 26, 2025, the Company issued 778,165 ordinary shares to settle $2,000,000 of principle outstanding to the JVB promissory note.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Cantor Fitzgerald</w:t>
      </w:r>
    </w:p>
    <w:p>
      <w:pPr>
        <w:spacing w:after="0" w:line="119"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18"/>
          <w:szCs w:val="18"/>
          <w:color w:val="auto"/>
        </w:rPr>
        <w:t>On November 20, 2023, the Company engaged Cantor Fitzgerald (“Cantor”) to act as its financial and capital markets advisor in connection with any transactions, placement agent and arranger in connection with any financing. A fee of $16,000,000 (“the Armada fee”) contingent on the close of the Business Combination with Armada payable in ordinary shares. The number of shares issuable in connection with the Armada fee was to be calculated using the greater of 1) 1.6 million and 2) the quotient obtained by dividing (x) $16,000,000 by (y) the daily VWAP of the ordinary shares over five trading days immediately preceding the date of the initial filing of the F-1 registration statement.</w:t>
      </w:r>
    </w:p>
    <w:p>
      <w:pPr>
        <w:spacing w:after="0" w:line="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December 5, 2024 the Company issued 17,354,231 ordinary shares to Cantor to settle the Armada fee. A loss on extinguishment of $1,804,814 was recognized. No further amounts remain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 and concentration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61" w:name="page62"/>
    <w:bookmarkEnd w:id="61"/>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ind w:left="520" w:right="260"/>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4" w:lineRule="exact"/>
        <w:rPr>
          <w:sz w:val="20"/>
          <w:szCs w:val="20"/>
          <w:color w:val="auto"/>
        </w:rPr>
      </w:pPr>
    </w:p>
    <w:p>
      <w:pPr>
        <w:ind w:left="520" w:right="140"/>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22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5"/>
                <w:szCs w:val="15"/>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20" w:type="dxa"/>
            <w:vAlign w:val="bottom"/>
          </w:tcPr>
          <w:p>
            <w:pPr>
              <w:spacing w:after="0"/>
              <w:rPr>
                <w:sz w:val="18"/>
                <w:szCs w:val="18"/>
                <w:color w:val="auto"/>
              </w:rPr>
            </w:pPr>
          </w:p>
        </w:tc>
        <w:tc>
          <w:tcPr>
            <w:tcW w:w="480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2,579,875</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Derivative asset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2,587,581</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20"/>
                <w:szCs w:val="20"/>
                <w:color w:val="auto"/>
              </w:rPr>
            </w:pPr>
          </w:p>
        </w:tc>
      </w:tr>
    </w:tbl>
    <w:p>
      <w:pPr>
        <w:spacing w:after="0" w:line="179"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share-based payment liability was valued using a discounted cash flow method using a risk adjusted discount rate of 10.8%.</w:t>
      </w:r>
    </w:p>
    <w:p>
      <w:pPr>
        <w:spacing w:after="0" w:line="27" w:lineRule="exact"/>
        <w:rPr>
          <w:rFonts w:ascii="Times New Roman" w:cs="Times New Roman" w:eastAsia="Times New Roman" w:hAnsi="Times New Roman"/>
          <w:sz w:val="18"/>
          <w:szCs w:val="18"/>
          <w:color w:val="auto"/>
        </w:rPr>
      </w:pPr>
    </w:p>
    <w:p>
      <w:pPr>
        <w:ind w:left="520" w:right="80" w:hanging="512"/>
        <w:spacing w:after="0" w:line="253"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derivative asset and the derivative liability were valued by a third party valuation expert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w:t>
      </w:r>
    </w:p>
    <w:p>
      <w:pPr>
        <w:spacing w:after="0" w:line="18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derivative asset pertains to an option held by the Company to convert a promissory note payable to Northland Securities.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w:t>
      </w:r>
    </w:p>
    <w:p>
      <w:pPr>
        <w:spacing w:after="0" w:line="18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derivative liabilities were triggered by conversion features embedded in promissory notes held by investors Cohen &amp; Company Financial Management LLC, J.V.B. Financial Group and Northlands. On August 15, 2024, the Company recognized derivative liabilities and an offsetting debt discount associated with the embedded conversion features in its senior secured convertible notes, convertible promissory notes and advisors loans. The Company previously did not bifurcate the embedded conversion features as derivatives due to the lack of an underlying share price prior to the Company's acquisition of Armada and listing of is ordinary shares on the NASDAQ. The Company no longer recognizes a derivative liability associated with the following debt liabilities due to the investors having exercised their conversion features by December 31, 2024:</w:t>
      </w:r>
    </w:p>
    <w:p>
      <w:pPr>
        <w:spacing w:after="0" w:line="79"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2" w:name="page63"/>
    <w:bookmarkEnd w:id="62"/>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 notes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Information</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unrestricted cash and cash equivalents on our balance sheet and undrawn amounts under our revolving credit facility as of December 31, 2024 and December 31,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Unrestricted cash and cash equivalents</w:t>
            </w: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9,450,944</w:t>
            </w: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Available liquidity</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9,450,944</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2"/>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7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(21,642,715)</w:t>
            </w:r>
          </w:p>
        </w:tc>
        <w:tc>
          <w:tcPr>
            <w:tcW w:w="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(13,001,875)</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(3,528,626)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(1,781,524)</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34,585,896</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14,712,061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00" w:type="dxa"/>
            <w:vAlign w:val="bottom"/>
          </w:tcPr>
          <w:p>
            <w:pPr>
              <w:spacing w:after="0"/>
              <w:rPr>
                <w:sz w:val="17"/>
                <w:szCs w:val="17"/>
                <w:color w:val="auto"/>
              </w:rPr>
            </w:pPr>
          </w:p>
        </w:tc>
        <w:tc>
          <w:tcPr>
            <w:tcW w:w="4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 and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25,948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42,399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9,440,503</w:t>
            </w:r>
          </w:p>
        </w:tc>
        <w:tc>
          <w:tcPr>
            <w:tcW w:w="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(28,939)</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560" w:type="dxa"/>
            <w:vAlign w:val="bottom"/>
            <w:shd w:val="clear" w:color="auto" w:fill="CFF0FC"/>
          </w:tcPr>
          <w:p>
            <w:pPr>
              <w:spacing w:after="0" w:line="20" w:lineRule="exact"/>
              <w:rPr>
                <w:sz w:val="1"/>
                <w:szCs w:val="1"/>
                <w:color w:val="auto"/>
              </w:rPr>
            </w:pPr>
          </w:p>
        </w:tc>
        <w:tc>
          <w:tcPr>
            <w:tcW w:w="46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tcBorders>
              <w:right w:val="single" w:sz="8" w:color="CFF0FC"/>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-7620</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$21.6 million for the year ended December 31, 2024, which resulted primarily from a net loss of $172.6 million from operating activities, adjusted for non-cash items such as share-based compensation expenses, advisor loans, interest expense, net gains on derivatives and net losses on extinguishments of debt.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$3.5 million for the year ended December 31, 2024, which resulted primarily from costs incurred to continue the development of our Rezolve platform and related technology.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$34.6 million for the year ended December 31, 2024 was primarily due to proceeds from convertible promissory notes, proceeds from the issuance ordinary shares and proceeds from short-term debt from related parties partially offset by repayments of debt obligations to related parties and repayments of promissory notes.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October 3, 2024, the Company announced that it entered into a commercial agreement with Microsoft Corporation. Through this collaboration, Rezolve’s Brain Suite, including Brain Commerce, Brain Checkout, and Brain Assistant, will be powered by Microsoft Azure and available globally via Microsoft’s Azure Marketplace and co-sell channels. The Company is committed to spend £117.98 million (approximately $147.66 million at December 31, 2024) under this agreement to purchase eligible services and offerings from Microsoft over the next 5 years.</w:t>
      </w:r>
    </w:p>
    <w:p>
      <w:pPr>
        <w:spacing w:after="0" w:line="72"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On November 20, 2024, the Company announced that it entered into a commercial agreement with Google Cloud EMEA Ltd (“Google”). Through this collaboration, Google will resell Rezolve AI’s Brain Suite. The Company’s commitments to purchase eligible services and offerings from Google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Commitment amount</w:t>
            </w:r>
          </w:p>
        </w:tc>
        <w:tc>
          <w:tcPr>
            <w:tcW w:w="100" w:type="dxa"/>
            <w:vAlign w:val="bottom"/>
          </w:tcPr>
          <w:p>
            <w:pPr>
              <w:spacing w:after="0"/>
              <w:rPr>
                <w:sz w:val="15"/>
                <w:szCs w:val="15"/>
                <w:color w:val="auto"/>
              </w:rPr>
            </w:pPr>
          </w:p>
        </w:tc>
      </w:tr>
      <w:tr>
        <w:trPr>
          <w:trHeight w:val="209"/>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1</w:t>
            </w:r>
          </w:p>
        </w:tc>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3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FF0FC"/>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Commitment period 2</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Pr>
          <w:p>
            <w:pPr>
              <w:spacing w:after="0"/>
              <w:rPr>
                <w:sz w:val="18"/>
                <w:szCs w:val="18"/>
                <w:color w:val="auto"/>
              </w:rPr>
            </w:pPr>
          </w:p>
        </w:tc>
      </w:tr>
      <w:tr>
        <w:trPr>
          <w:trHeight w:val="216"/>
        </w:trPr>
        <w:tc>
          <w:tcPr>
            <w:tcW w:w="1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3</w:t>
            </w:r>
          </w:p>
        </w:tc>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34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Commitment</w:t>
            </w:r>
          </w:p>
        </w:tc>
        <w:tc>
          <w:tcPr>
            <w:tcW w:w="3720" w:type="dxa"/>
            <w:vAlign w:val="bottom"/>
          </w:tcPr>
          <w:p>
            <w:pPr>
              <w:spacing w:after="0"/>
              <w:rPr>
                <w:sz w:val="18"/>
                <w:szCs w:val="18"/>
                <w:color w:val="auto"/>
              </w:rPr>
            </w:pPr>
          </w:p>
        </w:tc>
        <w:tc>
          <w:tcPr>
            <w:tcW w:w="3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w:t>
            </w:r>
          </w:p>
        </w:tc>
        <w:tc>
          <w:tcPr>
            <w:tcW w:w="100" w:type="dxa"/>
            <w:vAlign w:val="bottom"/>
          </w:tcPr>
          <w:p>
            <w:pPr>
              <w:spacing w:after="0"/>
              <w:rPr>
                <w:sz w:val="18"/>
                <w:szCs w:val="18"/>
                <w:color w:val="auto"/>
              </w:rPr>
            </w:pPr>
          </w:p>
        </w:tc>
      </w:tr>
      <w:tr>
        <w:trPr>
          <w:trHeight w:val="20"/>
        </w:trPr>
        <w:tc>
          <w:tcPr>
            <w:tcW w:w="1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760" w:hanging="243"/>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on November 15, 2024 and continuing for 12 months.</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1 and continuing for 12 months.</w:t>
      </w:r>
    </w:p>
    <w:p>
      <w:pPr>
        <w:spacing w:after="0" w:line="117" w:lineRule="exact"/>
        <w:rPr>
          <w:rFonts w:ascii="Times New Roman" w:cs="Times New Roman" w:eastAsia="Times New Roman" w:hAnsi="Times New Roman"/>
          <w:sz w:val="18"/>
          <w:szCs w:val="18"/>
          <w:color w:val="auto"/>
        </w:rPr>
      </w:pPr>
    </w:p>
    <w:p>
      <w:pPr>
        <w:ind w:left="760" w:hanging="243"/>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2 and continuing for 12 months.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we did not have any significant off-balance sheet arrangements, as defined in Item 303(a)(4)(ii) of Regulation S-K.</w:t>
      </w:r>
    </w:p>
    <w:p>
      <w:pPr>
        <w:spacing w:after="0" w:line="329"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Research and development, patents and licenses, etc</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right="260" w:firstLine="749"/>
        <w:spacing w:after="0" w:line="284" w:lineRule="auto"/>
        <w:rPr>
          <w:sz w:val="20"/>
          <w:szCs w:val="20"/>
          <w:color w:val="auto"/>
        </w:rPr>
      </w:pPr>
      <w:r>
        <w:rPr>
          <w:rFonts w:ascii="Times New Roman" w:cs="Times New Roman" w:eastAsia="Times New Roman" w:hAnsi="Times New Roman"/>
          <w:sz w:val="18"/>
          <w:szCs w:val="18"/>
          <w:color w:val="auto"/>
        </w:rPr>
        <w:t>Please refer to “</w:t>
      </w:r>
      <w:r>
        <w:rPr>
          <w:rFonts w:ascii="Times New Roman" w:cs="Times New Roman" w:eastAsia="Times New Roman" w:hAnsi="Times New Roman"/>
          <w:sz w:val="18"/>
          <w:szCs w:val="18"/>
          <w:i w:val="1"/>
          <w:iCs w:val="1"/>
          <w:color w:val="auto"/>
        </w:rPr>
        <w:t>Item 4. Information on the Company-B. Business Overview</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4. Information on the Company-B. Business Overview-Intellectual Property</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Trend information</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i w:val="1"/>
          <w:iCs w:val="1"/>
          <w:color w:val="auto"/>
        </w:rPr>
        <w:t>“Item 4.B—Business Overview—Industry Overview and Trends.”</w:t>
      </w:r>
    </w:p>
    <w:p>
      <w:pPr>
        <w:spacing w:after="0" w:line="331"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ind w:right="220" w:firstLine="509"/>
        <w:spacing w:after="0" w:line="277" w:lineRule="auto"/>
        <w:rPr>
          <w:sz w:val="20"/>
          <w:szCs w:val="20"/>
          <w:color w:val="auto"/>
        </w:rPr>
      </w:pPr>
      <w:r>
        <w:rPr>
          <w:rFonts w:ascii="Times New Roman" w:cs="Times New Roman" w:eastAsia="Times New Roman" w:hAnsi="Times New Roman"/>
          <w:sz w:val="17"/>
          <w:szCs w:val="17"/>
          <w:color w:val="auto"/>
        </w:rPr>
        <w:t>The Rezolve AI plc and Subsidiaries Consolidated Financial Statements are prepared in conformity with U.S. generally accepted accounting principles. In preparing the Rezolve AI plc and Subsidiaries Consolidated Financial Statements, we make assumptions, judgments and estimates that can have a significant impact on amounts reported in the Rezolve AI plc and Subsidiaries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w:t>
      </w:r>
    </w:p>
    <w:p>
      <w:pPr>
        <w:spacing w:after="0" w:line="60" w:lineRule="exact"/>
        <w:rPr>
          <w:sz w:val="20"/>
          <w:szCs w:val="20"/>
          <w:color w:val="auto"/>
        </w:rPr>
      </w:pPr>
    </w:p>
    <w:p>
      <w:pPr>
        <w:jc w:val="both"/>
        <w:ind w:right="220" w:firstLine="509"/>
        <w:spacing w:after="0" w:line="261" w:lineRule="auto"/>
        <w:rPr>
          <w:sz w:val="20"/>
          <w:szCs w:val="20"/>
          <w:color w:val="auto"/>
        </w:rPr>
      </w:pPr>
      <w:r>
        <w:rPr>
          <w:rFonts w:ascii="Times New Roman" w:cs="Times New Roman" w:eastAsia="Times New Roman" w:hAnsi="Times New Roman"/>
          <w:sz w:val="18"/>
          <w:szCs w:val="18"/>
          <w:color w:val="auto"/>
        </w:rPr>
        <w:t>Critical accounting estimates are those estimates that involve a significant level of estimation uncertainty and could have a material impact on our financial condition or results of operations. We have critical accounting estimates in the areas of the valuation of acquisition-related assets and liabilities, deferred income taxes and related valuation allowances, fair value measurements, useful lives of long-lived assets, capitalized software and share-based compensation.</w:t>
      </w:r>
    </w:p>
    <w:p>
      <w:pPr>
        <w:spacing w:after="0" w:line="72" w:lineRule="exact"/>
        <w:rPr>
          <w:sz w:val="20"/>
          <w:szCs w:val="20"/>
          <w:color w:val="auto"/>
        </w:rPr>
      </w:pPr>
    </w:p>
    <w:p>
      <w:pPr>
        <w:jc w:val="both"/>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“Basis of presentation and summary of significant accounting policies” in the notes to the Rezolve AI plc and Subsidiaries Consolidated Financial Statements included elsewhere in this prospectus.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Valuation of assets and liabilities</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Accounting for business combinations requires significant judgments when allocating the purchase price to the estimated fair values of assets acquired and liabilities assumed at the acquisition date. Determination of fair value involves estimates and assumptions which can be complex. The valuation of certain assets and liabilities require significant judgment and assumptions such as estimation of future cash flows, discount rates, market data of comparable assets and companies, useful lives among others. While management’s estimates of fair value are based on assumptions that are believed to be reasonable, these assumptions are inherently uncertain as they pertain to forward-looking views of our business and market conditions. The judgments made in this valuation process could materially impact our consolidated financial statements.</w:t>
      </w:r>
    </w:p>
    <w:p>
      <w:pPr>
        <w:spacing w:after="0" w:line="7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Determining the useful life of intangible assets requires management judgment and is based on an evaluation of several factors including estimated design life, information from our research and development department and our overall strategy for the use of the assets. If the useful life of our significant assets changes, this change could impact our operating results.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Deferred income taxes and related valuation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64" w:name="page65"/>
    <w:bookmarkEnd w:id="64"/>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the United Kingdom and numerous foreign jurisdictions. Significant judgment is required in determining our deferred tax assets and liabilities and any valuation allowance recorded against our net deferred tax assets that are not more likely than not to be realized.</w:t>
      </w:r>
    </w:p>
    <w:p>
      <w:pPr>
        <w:spacing w:after="0" w:line="5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Tax valuation allowances are established to reduce deferred tax assets, such as tax loss carryforwards, to net realizable value. Factors considered in estimating net realizable value include historical results by tax jurisdiction, carryforward periods, income tax strategies and forecasted taxable income.</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Capitalized software</w:t>
      </w:r>
    </w:p>
    <w:p>
      <w:pPr>
        <w:spacing w:after="0" w:line="119"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Costs incurred internally in researching and developing internal-use software are charged to expense until technological feasibility has been established for the product. Once technological feasibility is established, software costs are capitalized until the product is ready for its intended use. Judgment is required in determining when technological feasibility of a product is established. The Company has not commenced amortizing the in-development software as it not yet ready for its intended use. The Company reviews internal-use software for impairment when an event or changes in business circumstances indicate that the carrying amount of the asset may not be fully recoverable.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recognize the cost of employee services received in exchange for awards of equity instruments, such as share options (time-vested), based on the fair value of those awards at the date of grant. We use the Black-Scholes-Merton (“Black-Scholes”) option pricing model to estimate the fair value of stock option awards. The Black-Scholes model uses various assumptions to estimate the fair value of stock option awards. These assumptions include the expected term of stock option awards, expected volatility rate, risk-free interest rate and expected dividend yield. While these assumptions do not require significant judgment, as the significant inputs are determined from historical experience or independent third-party sources, changes in these inputs could result in significant changes in the fair value of stock option awards.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3 to the Rezolve AI plc and Subsidiaries Consolidated Financial Statements included elsewhere in this prospectus.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no interest rate risk. Our short-term debt from related parties consist of an unsecured, interest free loan and a unsecured convertible loan with a fixed interest rate. The convertible debt and the convertible promissory notes have fixed interest rates and the accrued interest converts into ordinary shares upon maturity. The short term convertible debt to a related party accrues interest at a fixed rate which converts into ordinary shares upon maturity. Interest accrues at a fixed rate on the advisor loans and is payable in cash according to the terms of the loans.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All of the Company’s revenue is denominated in the Euro (“EUR”) since the sales of the Company are in Spain. Based upon the Company’s level of operations for the year ended December 31, 2024 and 2023, a sensitivity analysis shows that a 10% appreciation or depreciation in the EUR against the dollar would have increased or decreased, respectively, the Company’s revenue for the years ended December 31, 2024 and 2023 by approximately $18,779 and $14,505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5" w:name="page66"/>
    <w:bookmarkEnd w:id="6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BUSINESS OF REZOLVE</w:t>
      </w:r>
    </w:p>
    <w:p>
      <w:pPr>
        <w:spacing w:after="0" w:line="187" w:lineRule="exact"/>
        <w:rPr>
          <w:sz w:val="20"/>
          <w:szCs w:val="20"/>
          <w:color w:val="auto"/>
        </w:rPr>
      </w:pPr>
    </w:p>
    <w:p>
      <w:pPr>
        <w:ind w:right="120" w:firstLine="576"/>
        <w:spacing w:after="0" w:line="258" w:lineRule="auto"/>
        <w:rPr>
          <w:sz w:val="20"/>
          <w:szCs w:val="20"/>
          <w:color w:val="auto"/>
        </w:rPr>
      </w:pPr>
      <w:r>
        <w:rPr>
          <w:rFonts w:ascii="Times New Roman" w:cs="Times New Roman" w:eastAsia="Times New Roman" w:hAnsi="Times New Roman"/>
          <w:sz w:val="18"/>
          <w:szCs w:val="18"/>
          <w:i w:val="1"/>
          <w:iCs w:val="1"/>
          <w:color w:val="auto"/>
        </w:rPr>
        <w:t>Shareholders should read this section in conjunction with the more detailed information about Rezolve contained in this prospectus, including the Financial Statements and the other information appearing in the section entitled “Management’s Discussion &amp; Analysis of Financial Condition and Results of Operations.” In this section, references to “we,” “us,” the “Company,” “Rezolve” and “our” are intended to refer to Rezolve Limited and its subsidiaries prior to the Pre-Closing Demerger, and to Rezolve AI plc (formerly Rezolve AI Limited) and its subsidiaries following the Pre-Closing Demerger, unless the context clearly indicates otherwise.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Rezolve Ai: Redefining Conversational Commerce</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Ai is leading the Conversational Commerce revolution, delivering tailored Generative AI solutions for the retail and eCommerce sectors.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is to drive sales, enhance customer satisfaction, and build loyalty through cutting-edge AI technologies.</w:t>
      </w:r>
    </w:p>
    <w:p>
      <w:pPr>
        <w:spacing w:after="0" w:line="207"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Our flagship product, Brain Commerce, powered by our proprietary Large Language Model (LLM) brainpowa, transforms the online shopping experience. By surpassing traditional site search and product discovery tools, Brain Commerce improves conversion rates, increases average order value (AOV), and reduces cart abandonment. Its Conversational Commerce capabilities support both speech and text inputs, with instant translation across 96 languages, making it a truly global solution.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AI Solutions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AI’s suite of solutions includes:</w:t>
      </w:r>
    </w:p>
    <w:p>
      <w:pPr>
        <w:spacing w:after="0" w:line="117" w:lineRule="exact"/>
        <w:rPr>
          <w:sz w:val="20"/>
          <w:szCs w:val="20"/>
          <w:color w:val="auto"/>
        </w:rPr>
      </w:pPr>
    </w:p>
    <w:p>
      <w:pPr>
        <w:jc w:val="both"/>
        <w:ind w:left="1020" w:right="120" w:hanging="503"/>
        <w:spacing w:after="0" w:line="266" w:lineRule="auto"/>
        <w:tabs>
          <w:tab w:leader="none" w:pos="102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AI-Powered Site Search &amp; Discovery: Revolutionizing product discovery with advanced AI algorithms trained on vast datasets. Leveraging Google Vertex AI Search for Commerce, we deliver personalized, high-quality search experiences at scale, using shopping history and data insights to boost conversions while reducing IT costs.</w:t>
      </w:r>
    </w:p>
    <w:p>
      <w:pPr>
        <w:spacing w:after="0" w:line="67" w:lineRule="exact"/>
        <w:rPr>
          <w:rFonts w:ascii="Times New Roman" w:cs="Times New Roman" w:eastAsia="Times New Roman" w:hAnsi="Times New Roman"/>
          <w:sz w:val="18"/>
          <w:szCs w:val="18"/>
          <w:i w:val="1"/>
          <w:iCs w:val="1"/>
          <w:color w:val="auto"/>
        </w:rPr>
      </w:pPr>
    </w:p>
    <w:p>
      <w:pPr>
        <w:ind w:left="1020" w:hanging="503"/>
        <w:spacing w:after="0" w:line="266" w:lineRule="auto"/>
        <w:tabs>
          <w:tab w:leader="none" w:pos="102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Geolocation Campaign Activation: Engaging customers in real-time based on their location. From alerting consumers to nearby opportunities to enabling seamless order-ahead and collection interactions, our geolocation tools enhance mobile engagement across retail, QSR, grocery, travel, and hospitality.</w:t>
      </w:r>
    </w:p>
    <w:p>
      <w:pPr>
        <w:spacing w:after="0" w:line="6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AI-Powered Customer Support: Delivering intelligent, responsive, and personalized support to improve customer satisfaction and loyalty.</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Frictionless Checkout Solutions: Simplifying the checkout process to reduce friction and enhance the overall shopping experience.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Bridging the Gap Between Physical and Online Retail</w:t>
      </w:r>
    </w:p>
    <w:p>
      <w:pPr>
        <w:spacing w:after="0" w:line="227"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Conversational Commerce bridges the experiential and performance gap between high-end physical retail and its online counterpart. Traditional eCommerce relies on outdated methods like keyword searches and impersonal recommendations, resulting in a clunky experience. Rezolve Ai’s Brain Commerce is the only market-ready solution that delivers a superior, personal shopper experience for online customers, redefining how people shop online.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Partnerships and Global Reach</w:t>
      </w:r>
    </w:p>
    <w:p>
      <w:pPr>
        <w:spacing w:after="0" w:line="22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Rezolve Ai has forged strategic partnerships with industry leaders like Microsoft and Google, enabling global scalability and reach. By leveraging Google’s expertise in personalized content delivery (e.g., Google Search, Google Shopping, and YouTube), we provide retailers with unparalleled AI-driven solutions. Additionally, Rezolve Ai is collaborating with Tether, the leading stablecoin platform, to bring cryptocurrency into mainstream commerce.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Future of AI-First Commerce</w:t>
      </w:r>
    </w:p>
    <w:p>
      <w:pPr>
        <w:spacing w:after="0" w:line="227" w:lineRule="exact"/>
        <w:rPr>
          <w:sz w:val="20"/>
          <w:szCs w:val="20"/>
          <w:color w:val="auto"/>
        </w:rPr>
      </w:pPr>
    </w:p>
    <w:p>
      <w:pPr>
        <w:ind w:right="720" w:firstLine="509"/>
        <w:spacing w:after="0" w:line="312" w:lineRule="auto"/>
        <w:rPr>
          <w:sz w:val="20"/>
          <w:szCs w:val="20"/>
          <w:color w:val="auto"/>
        </w:rPr>
      </w:pPr>
      <w:r>
        <w:rPr>
          <w:rFonts w:ascii="Times New Roman" w:cs="Times New Roman" w:eastAsia="Times New Roman" w:hAnsi="Times New Roman"/>
          <w:sz w:val="17"/>
          <w:szCs w:val="17"/>
          <w:color w:val="auto"/>
        </w:rPr>
        <w:t>Rezolve Ai is shaping the future of retail with cutting-edge innovation and best-in-class technology. Our solutions power seamless product discovery, conversational commerce, and frictionless checkout, turning every step of the customer journey into a revenue-driving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66" w:name="page67"/>
    <w:bookmarkEnd w:id="66"/>
    <w:p>
      <w:pPr>
        <w:ind w:firstLine="509"/>
        <w:spacing w:after="0" w:line="266" w:lineRule="auto"/>
        <w:rPr>
          <w:sz w:val="20"/>
          <w:szCs w:val="20"/>
          <w:color w:val="auto"/>
        </w:rPr>
      </w:pPr>
      <w:r>
        <w:rPr>
          <w:rFonts w:ascii="Times New Roman" w:cs="Times New Roman" w:eastAsia="Times New Roman" w:hAnsi="Times New Roman"/>
          <w:sz w:val="18"/>
          <w:szCs w:val="18"/>
          <w:color w:val="auto"/>
        </w:rPr>
        <w:t>Through deep collaboration with the world’s leading technology providers, Rezolve Ai empowers retailers to stay ahead in an ever-evolving market. With Rezolve Ai, businesses don’t just adapt to change—they lead it. We create shopping experiences so intuitive, engaging, and personalized that customers fall in love with retail all over again.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Ai is the future of commerce—where innovation meets customer delight.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154305</wp:posOffset>
            </wp:positionV>
            <wp:extent cx="5631815" cy="31889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3181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total revenues were $0.19 million and $0.15 million, for the years ended December 31, 2024 and 2023, respectively. We currently generate our revenue from Transaction fees based on sales of ticketing for La Liga football events in 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14230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Bluedot Acquisition</w:t>
      </w:r>
    </w:p>
    <w:p>
      <w:pPr>
        <w:spacing w:after="0" w:line="227"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On February 4, 2025, Rezolve entered into a Purchase Agreement (the “Bluedot Purchase Agreement”), by and between the Company and DBLP Sea Cow Ltd, a limited company organized under the laws of the Seychelles (“DBLP”), pursuant to which the Company agreed to purchase, and DBLP agreed to sell, the entire issued and to be issued share capital of each of Bluedot Industries, Inc., a Delaware corporation, and Bluedot Industries Pty. Ltd. (together, “Bluedot”), an Australian proprietary limited company registered in Victoria on 7 December 2013 with Australian Company Number 165 206 566 (the “Blue Dot Acquisition”).</w:t>
      </w:r>
    </w:p>
    <w:p>
      <w:pPr>
        <w:spacing w:after="0" w:line="183" w:lineRule="exact"/>
        <w:rPr>
          <w:sz w:val="20"/>
          <w:szCs w:val="20"/>
          <w:color w:val="auto"/>
        </w:rPr>
      </w:pPr>
    </w:p>
    <w:p>
      <w:pPr>
        <w:ind w:right="340" w:firstLine="554"/>
        <w:spacing w:after="0" w:line="282" w:lineRule="auto"/>
        <w:rPr>
          <w:sz w:val="20"/>
          <w:szCs w:val="20"/>
          <w:color w:val="auto"/>
        </w:rPr>
      </w:pPr>
      <w:r>
        <w:rPr>
          <w:rFonts w:ascii="Times New Roman" w:cs="Times New Roman" w:eastAsia="Times New Roman" w:hAnsi="Times New Roman"/>
          <w:sz w:val="18"/>
          <w:szCs w:val="18"/>
          <w:color w:val="auto"/>
        </w:rPr>
        <w:t>On February 20, 2025, Rezolve closed the Bluedot Acquisition. As consideration for the Bluedot Acquisition, Rezolve issued 819,737 ordinary shares of the Company in a private placement to DBLP.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GroupBy Acquisition</w:t>
      </w:r>
    </w:p>
    <w:p>
      <w:pPr>
        <w:spacing w:after="0" w:line="227"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On February 11, 2025, Rezolve entered into a Purchase Agreement (the “GroupBy Purchase Agreement”), by and among the Company, GroupBy Inc., an Ontario, Canada corporation (“GroupBy”), GroupBy International Ltd., an Ontario, Canada corporation (“GroupBy International” and together with GroupBy, the “Target Companies” and each a “Target Company”) and Fortis Advisors LLC, a Delaware limited liability company, as the representative of the sellers party thereto (the “Sellers”), pursuant to which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7" w:name="page68"/>
    <w:bookmarkEnd w:id="67"/>
    <w:p>
      <w:pPr>
        <w:ind w:right="100"/>
        <w:spacing w:after="0" w:line="282" w:lineRule="auto"/>
        <w:rPr>
          <w:sz w:val="20"/>
          <w:szCs w:val="20"/>
          <w:color w:val="auto"/>
        </w:rPr>
      </w:pPr>
      <w:r>
        <w:rPr>
          <w:rFonts w:ascii="Times New Roman" w:cs="Times New Roman" w:eastAsia="Times New Roman" w:hAnsi="Times New Roman"/>
          <w:sz w:val="18"/>
          <w:szCs w:val="18"/>
          <w:color w:val="auto"/>
        </w:rPr>
        <w:t>Company agreed to purchase, and the Sellers agreed to sell, the entire issued and to be issued share capital of each of GroupBy and GroupBy International (the “Acquisition”).</w:t>
      </w:r>
    </w:p>
    <w:p>
      <w:pPr>
        <w:spacing w:after="0" w:line="16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Microsoft</w:t>
      </w:r>
    </w:p>
    <w:p>
      <w:pPr>
        <w:spacing w:after="0" w:line="335" w:lineRule="exact"/>
        <w:rPr>
          <w:sz w:val="20"/>
          <w:szCs w:val="20"/>
          <w:color w:val="auto"/>
        </w:rPr>
      </w:pPr>
    </w:p>
    <w:p>
      <w:pPr>
        <w:jc w:val="both"/>
        <w:ind w:right="640" w:firstLine="315"/>
        <w:spacing w:after="0" w:line="266" w:lineRule="auto"/>
        <w:rPr>
          <w:sz w:val="20"/>
          <w:szCs w:val="20"/>
          <w:color w:val="auto"/>
        </w:rPr>
      </w:pPr>
      <w:r>
        <w:rPr>
          <w:rFonts w:ascii="Times New Roman" w:cs="Times New Roman" w:eastAsia="Times New Roman" w:hAnsi="Times New Roman"/>
          <w:sz w:val="18"/>
          <w:szCs w:val="18"/>
          <w:color w:val="auto"/>
        </w:rPr>
        <w:t>On October 3, 2024, Rezolve entered into a strategic partnership with Microsoft Corporation ( "MSFT") to empower retailers with advanced capabilities for digital engagement. Through this collaboration, Rezolve AI’s Brain Suite – including Brain Commerce, Brain Checkout, and Brain Assistant – will be available on Microsoft Azure and available globally via Microsoft’s Azure Marketplace and co-sell channels.</w:t>
      </w:r>
    </w:p>
    <w:p>
      <w:pPr>
        <w:spacing w:after="0" w:line="17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This partnership aims to empower retailers to transform their customer engagement and operations with advanced AI solutions from Rezolve supported by the Microsoft Cloud. In addition, Microsoft is providing extensive Go-to-Market (GTM) and co-sell support, providing marketing, sales, and technical support to accelerate Rezolve AI's market penetration over the next five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Google</w:t>
      </w:r>
    </w:p>
    <w:p>
      <w:pPr>
        <w:spacing w:after="0" w:line="227" w:lineRule="exact"/>
        <w:rPr>
          <w:sz w:val="20"/>
          <w:szCs w:val="20"/>
          <w:color w:val="auto"/>
        </w:rPr>
      </w:pPr>
    </w:p>
    <w:p>
      <w:pPr>
        <w:ind w:right="100" w:firstLine="495"/>
        <w:spacing w:after="0" w:line="261" w:lineRule="auto"/>
        <w:rPr>
          <w:sz w:val="20"/>
          <w:szCs w:val="20"/>
          <w:color w:val="auto"/>
        </w:rPr>
      </w:pPr>
      <w:r>
        <w:rPr>
          <w:rFonts w:ascii="Times New Roman" w:cs="Times New Roman" w:eastAsia="Times New Roman" w:hAnsi="Times New Roman"/>
          <w:sz w:val="18"/>
          <w:szCs w:val="18"/>
          <w:color w:val="auto"/>
        </w:rPr>
        <w:t>On November 20, 2024, Rezolve entered into a strategic partnership with Google to accelerate the transformation of retail and consumer commerce through advanced artificial intelligence (AI) and cloud infrastructure. Through this collaboration, Google Cloud will resell Rezolve Ai’s groundbreaking Brain Suite, offering retailers a comprehensive set of AI-powered solutions designed to optimize digital commerce experiences, reduce cart abandonment, and enhance customer lifetime value.</w:t>
      </w:r>
    </w:p>
    <w:p>
      <w:pPr>
        <w:spacing w:after="0" w:line="180"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Under this partnership, Google and Rezolve Ai expect that its sales channel will generate over 50% of Rezolve Ai’s forecasted revenues over the next several years. To support this ambitious goal, Google are incentivizing its customers to Google Cloud by enabling them to access Rezolve Ai’s solutions, with these commitments decrementing against their Google agreements.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Tether</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2024, Rezolve announced a groundbreaking partnership with Tether, the world’s most widely used stablecoin platform, to integrate digital currency capabilities into Rezolve Ai’s Brain Checkout wallet. This collaboration introduces a non-custodial crypto wallet that enables consumers to make purchases using a variety of cryptocurrencies while maintaining full control over their assets. The partnership aims to revolutionize retail payments by eliminating traditional merchant fees - empowering retailers to accept digital currencies directly without incurring high transaction costs. By leveraging Tether’s globally trusted stablecoin infrastructure, Rezolve is enabling instant, secure, and borderless commerce, expanding financial access and improving margins for merchants worldwide.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 and Trends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global proliferation of mobile devices has fundamentally altered the way in which consumers engage with brands and retailers. As of December 31, 2021, there were approximately 5.48 billion unique mobile phone users globally, representing approximately two-thirds of the entire worldwide population. Approximately 92% of these unique mobile users are estimated to have smart phones with internet connectivity. The number of unique mobile phone users with internet connectivity globally has tripled since December 2012.</w:t>
      </w:r>
    </w:p>
    <w:p>
      <w:pPr>
        <w:spacing w:after="0" w:line="180"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This massive shift towards a global, mobile economy caused important paradigm shifts with regard to merchant strategy and consumer decision making. In conjunction with the trend of mobile proliferation, consumers tended to interact with merchants primarily through expensive third-party facilitators resulting in both limited consumer engagement and eroded profit margins for merchants. Regardless of the interaction, consumers prioritize seamless buying interactions and omnichannel purchasing experiences. Merchants prefer direct interactions with consumers to build relationships and better understand consumer purchasing trends; historically, merchants have struggled with meeting consumer needs while managing costs and addressing technical challenges.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Consumers Are Increasingly Engaging Through Digital Channels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Globally, mobile commerce sales during the year ended December 31, 2021 were expected to exceed $3.5 trillion, representing 73% of all e-commerce sales. How consumers discover, learn about and ultimately purchase products has transformed and continues to evolve as technology improves. A consumer may discover a product on social media, learn more about the product through reviews and blogs, physically see the product at a nearby brick-and-mortar store, assess price comparisons of the product using a mobile phone, and ultimately purchase the product from a different merchant.</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Given heightened access to information and data concern for rising inflation, consumers have become increasingly focused and educated on both products and pricing. For example, according to a March 2023 report by INMAR Intelligence, 52% of shoppers find grocery purchase inspiration on social media, almost matching in-store display inspiration at 54%. Consumers have more choices than ever before with regard to what they buy and who they buy from, which has set an extremely high bar for consumer expectations and merchant standards. We believe consumers want an experience and product that allows them to express their own unique personalities, styles and interests. Good consumer experiences drive consumer loyalty and attract new consumers through word of mouth and online reviews. A disappointing consumer experience may result in the permanent loss of customers and irreparable damage to the merchant’s reputation on social media.</w:t>
      </w:r>
    </w:p>
    <w:p>
      <w:pPr>
        <w:spacing w:after="0" w:line="189"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While the growth in digital consumption has increasingly become mainstream for shopping, it has not completely replaced traditional offline purchasing. Consumers have adopted an “Online to Offline,” or O2O model which lends itself to mobile applications. 38% of U.S shoppers start their journey on a smartphone and finish their purchase offline, according to an April 2019 report by RetailMeNot.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Merchants have Lost Connectivity to the End Consumer</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believe it is imperative for merchants to have a dynamic and comprehensive view of their customers, product, merchandising &amp; marketing strategy and associated data. The proliferation of intermediaries has resulted in a fragmented view of customer wants and needs. For example, according to a January 2022 report, 40% of brands say offering experiential retail would be a top priority for them in the next year, but 57% of these brands say coordinating it will be a top challenge, while 55% of retailers report concerns with respect to driving in-store traffic. To help boost sales, retailers look to sell through online marketplaces such as Amazon, which as of February 2021, represented about 40% of total US retail eCommerce sales. This limited connectivity to the end-consumer puts pressure on profit margins and allows proprietary data to spread to competing platforms. At the same time, the lost interaction deprives a merchant of critical data and direct relationships that help them market to and engage with their customers.</w:t>
      </w:r>
    </w:p>
    <w:p>
      <w:pPr>
        <w:spacing w:after="0" w:line="18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Merchants simultaneously try to interact with consumers at a local level. According to a September 2021 report, 47% of global consumers are likely to buy from brands with a local presence; however, retailers have experienced headwinds while seeking to increase consumer retention and generate repeat traffic to their local stores. Currently, geolocation services are limited given the complicated nature of engaging with local consumers daily. Marketing to multitudes of consumers while providing a frictionless platform from outreach to engagement to eventual purchase can be highly costly and difficult to execute. Merchants therefore seek to actively engage with consumers through omnichannel experiences to maximize connectivity in a cost-efficient manner.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Consumers Expect a Seamless Interaction Between Offline and Online Channels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Consumers expect to be able to seamlessly access a merchant’s online store from their mobile device, tablet and computer, and expect the same breadth of information from online channels as they would receive in a brick-and-mortar store. A merchant’s failure to deliver on any channel can frustrate consumers and lead them to shop elsewhere. The technical requirements to deliver seamless access are complex and ever evolving. As a result, according to a September 2021 report, approximately 53% of global brands are already investing in providing an omnichannel consumer experience, seeking to eliminate friction during the purchasing process and enhance sales. SMBs are also looking to adopt omnichannel strategies but face similar issues regarding complicated data integration and continuous investment. Improving marketing and consumer engagement is important for many brands irrespective of size.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Merchants Are Struggling to Differentiate</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 world where consumers have more choices than ever, differentiating a merchant’s brand takes on increased importance. A merchant needs to stand out from the crowd. If a consumer searches a third-party marketplace or e-Commerce site and selects a merchant’s product from among thousands of search results, the consumer is more likely to remember the brand of the third-party site than the brand of the merchant. The average shopper is increasingly paying close attention to the values of consumer-goods brands. 82% of shoppers want a consumer brand’s values to align with their own, according to an April 2022 report, and 75% of shoppers reported parting ways with a brand over a conflict in values. Experiences that enable merchants to connect directly with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69" w:name="page70"/>
    <w:bookmarkEnd w:id="69"/>
    <w:p>
      <w:pPr>
        <w:ind w:right="600"/>
        <w:spacing w:after="0" w:line="282" w:lineRule="auto"/>
        <w:rPr>
          <w:sz w:val="20"/>
          <w:szCs w:val="20"/>
          <w:color w:val="auto"/>
        </w:rPr>
      </w:pPr>
      <w:r>
        <w:rPr>
          <w:rFonts w:ascii="Times New Roman" w:cs="Times New Roman" w:eastAsia="Times New Roman" w:hAnsi="Times New Roman"/>
          <w:sz w:val="18"/>
          <w:szCs w:val="18"/>
          <w:color w:val="auto"/>
        </w:rPr>
        <w:t>allow merchants to make a memorable impression. Globally, 60% of consumers say they will make repeat purchase at a retailer after a personalized shopping experience, according to a June 2021 report.</w:t>
      </w:r>
    </w:p>
    <w:p>
      <w:pPr>
        <w:spacing w:after="0" w:line="16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 merchant’s brand and personality must shine through in every interaction to help build customer loyalty. Unfortunately, merchants have difficulty in getting consistent data due to fragmented interactions with consumers resulting in difficulties in creating personalized experiences.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Complicated Experiences Result in Lost Opportunities with Consumers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Consumers expect every interaction to be quick, problem-free, intuitive and secure. Consumers will abandon a website that is not loaded quickly and are reluctant to return to a website that has trouble with performance. Consumers tend to hold merchants responsible for the entire retail experience, regardless of whether a merchant or a third party provides the platform. Consumers value their time spent on making purchases and seek to find methods to reduce that time – 76% of consumers say they shop on mobile devices because it “saves them time,” according to a July 2020 report. However, even mobile apps can be time consuming if the sale process is not simple. Merchants that are able to offer one-click engagement, are far less likely to lose the attention of the consumer in the purchasing decision. If a consumer tries to purchase a product from a brick-and-mortar store but in-store inventory is unavailable, a merchant should be able to search its dynamic inventory count and ship the product to the consumer’s home before the consumer looks elsewhere. 46% of global online shoppers confirmed inventory online before shopping offline according to a February 2019 report. In fact, retailers that implemented personalized experiences on-site or through marketing efforts resulted in a 25% sales lift, according to a June 2019 report.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provide an AI- and cloud-based advertising, engagement and commerce platform designed for merchants of all sizes. We are bringing conversational AI to digital retail. Our proprietary LLM has been built specifically with retail in mind, allowing authentic, human-level conversations for sales interactions in any of 95 languages.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platform provides the following key benefits to merchants:</w:t>
      </w:r>
    </w:p>
    <w:p>
      <w:pPr>
        <w:spacing w:after="0" w:line="115" w:lineRule="exact"/>
        <w:rPr>
          <w:sz w:val="20"/>
          <w:szCs w:val="20"/>
          <w:color w:val="auto"/>
        </w:rPr>
      </w:pPr>
    </w:p>
    <w:p>
      <w:pPr>
        <w:ind w:left="1020" w:right="140" w:hanging="503"/>
        <w:spacing w:after="0" w:line="261" w:lineRule="auto"/>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eCommerce-Specific AI Platform and Suite—</w:t>
      </w:r>
      <w:r>
        <w:rPr>
          <w:rFonts w:ascii="Times New Roman" w:cs="Times New Roman" w:eastAsia="Times New Roman" w:hAnsi="Times New Roman"/>
          <w:sz w:val="18"/>
          <w:szCs w:val="18"/>
          <w:color w:val="auto"/>
        </w:rPr>
        <w:t>Brain Commerce allows customers, either online or instore, to ask, via voice or text and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96 languages,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w:t>
      </w:r>
    </w:p>
    <w:p>
      <w:pPr>
        <w:spacing w:after="0" w:line="71" w:lineRule="exact"/>
        <w:rPr>
          <w:rFonts w:ascii="Times New Roman" w:cs="Times New Roman" w:eastAsia="Times New Roman" w:hAnsi="Times New Roman"/>
          <w:sz w:val="18"/>
          <w:szCs w:val="18"/>
          <w:b w:val="1"/>
          <w:bCs w:val="1"/>
          <w:color w:val="auto"/>
        </w:rPr>
      </w:pPr>
    </w:p>
    <w:p>
      <w:pPr>
        <w:ind w:left="1020" w:right="120" w:hanging="503"/>
        <w:spacing w:after="0" w:line="255" w:lineRule="auto"/>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Rezolve’s Brain Checkout allows websites to convert passive browsers into actors or buyers with one click directly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product detail pages on merchant websites. Our Brain Checkout offering includes Buy Now, our commerce solution, and Act Now, our engagement solution. This capability bypasses traditional web checkout portals, collapsing multiple clicks into one or two, allowing our merchants to enable prospective purchasers to immediately convert web and social media browsers without the need for software on consumers’ phones. For example, through Act Now, a consumer could be offered the opportunity to schedule an appointment to test drive a new car immediately upon seeing a broadcast advertisement of the car, or through Buy Now, be offered the opportunity to purchase tickets for a Broadway show that starts in 30 minutes while in close proximity to the theatre. Our solution enables merchants to exploit the moment of maximum attention at the time leading to transactions which otherwise may result in lost transactions.</w:t>
      </w:r>
    </w:p>
    <w:p>
      <w:pPr>
        <w:spacing w:after="0" w:line="76" w:lineRule="exact"/>
        <w:rPr>
          <w:rFonts w:ascii="Times New Roman" w:cs="Times New Roman" w:eastAsia="Times New Roman" w:hAnsi="Times New Roman"/>
          <w:sz w:val="18"/>
          <w:szCs w:val="18"/>
          <w:b w:val="1"/>
          <w:bCs w:val="1"/>
          <w:color w:val="auto"/>
        </w:rPr>
      </w:pPr>
    </w:p>
    <w:p>
      <w:pPr>
        <w:ind w:left="1020" w:right="200" w:hanging="503"/>
        <w:spacing w:after="0" w:line="267" w:lineRule="auto"/>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Brain Assistant. </w:t>
      </w:r>
      <w:r>
        <w:rPr>
          <w:rFonts w:ascii="Times New Roman" w:cs="Times New Roman" w:eastAsia="Times New Roman" w:hAnsi="Times New Roman"/>
          <w:sz w:val="18"/>
          <w:szCs w:val="18"/>
          <w:color w:val="auto"/>
        </w:rPr>
        <w:t>Rezolve's Brain Assistant's advanced training allows customers to accelerate onboarding and answer customer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questions directly. Customers can create knowledge bases via Brain Assistant which can be interrogated by staff members who can quickly become subject matter experts.</w:t>
      </w:r>
    </w:p>
    <w:p>
      <w:pPr>
        <w:spacing w:after="0" w:line="65" w:lineRule="exact"/>
        <w:rPr>
          <w:rFonts w:ascii="Times New Roman" w:cs="Times New Roman" w:eastAsia="Times New Roman" w:hAnsi="Times New Roman"/>
          <w:sz w:val="18"/>
          <w:szCs w:val="18"/>
          <w:b w:val="1"/>
          <w:bCs w:val="1"/>
          <w:color w:val="auto"/>
        </w:rPr>
      </w:pPr>
    </w:p>
    <w:p>
      <w:pPr>
        <w:ind w:left="1020" w:right="120" w:hanging="503"/>
        <w:spacing w:after="0" w:line="258" w:lineRule="auto"/>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Brainpowa LLM. </w:t>
      </w:r>
      <w:r>
        <w:rPr>
          <w:rFonts w:ascii="Times New Roman" w:cs="Times New Roman" w:eastAsia="Times New Roman" w:hAnsi="Times New Roman"/>
          <w:sz w:val="18"/>
          <w:szCs w:val="18"/>
          <w:color w:val="auto"/>
        </w:rPr>
        <w:t>Rezolve's brainpowa LLM has been engineered for commerce. The propriety LLM harnesses over 300 billion tokens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billion parameters to deliver unmatched specialized results. Rezolve's model is the first to ensure accurate LLM responses by eliminating hallucinations through patented validation, while real-time monitoring and feedback loops control model drift and enable continuous fine tuning. This results in unmatched extraction capabilities for our key information, delivering precise classification and content creation while enhancing product enrichment and taxonomy for optimized performance.</w:t>
      </w:r>
    </w:p>
    <w:p>
      <w:pPr>
        <w:spacing w:after="0" w:line="75" w:lineRule="exact"/>
        <w:rPr>
          <w:rFonts w:ascii="Times New Roman" w:cs="Times New Roman" w:eastAsia="Times New Roman" w:hAnsi="Times New Roman"/>
          <w:sz w:val="18"/>
          <w:szCs w:val="18"/>
          <w:b w:val="1"/>
          <w:bCs w:val="1"/>
          <w:color w:val="auto"/>
        </w:rPr>
      </w:pPr>
    </w:p>
    <w:p>
      <w:pPr>
        <w:ind w:left="1020" w:right="40" w:hanging="503"/>
        <w:spacing w:after="0" w:line="258" w:lineRule="auto"/>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Omnichannel Interactions. </w:t>
      </w:r>
      <w:r>
        <w:rPr>
          <w:rFonts w:ascii="Times New Roman" w:cs="Times New Roman" w:eastAsia="Times New Roman" w:hAnsi="Times New Roman"/>
          <w:sz w:val="18"/>
          <w:szCs w:val="18"/>
          <w:color w:val="auto"/>
        </w:rPr>
        <w:t>The Rezolve platform provides multiple opportunities for interaction. For example, triggers can include a location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GeoZone, which is a location-based marketing tool, an audio cue “watermarked” in broadcast or streaming media, a visual image cue in posters, print ads or product labels, proximity beacons, direct touch links or QR-codes. The resulting trigger can drive instant transactions on a consumer’s mobile device ranging from a product purchase, a reservation at a restaurant, an electronic ticketing for an event, or other promotional offers.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751205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0" w:name="page71"/>
    <w:bookmarkEnd w:id="70"/>
    <w:p>
      <w:pPr>
        <w:ind w:left="503" w:hanging="503"/>
        <w:spacing w:after="0" w:line="261" w:lineRule="auto"/>
        <w:tabs>
          <w:tab w:leader="none" w:pos="503"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Direct Brand Engagement</w:t>
      </w:r>
      <w:r>
        <w:rPr>
          <w:rFonts w:ascii="Times New Roman" w:cs="Times New Roman" w:eastAsia="Times New Roman" w:hAnsi="Times New Roman"/>
          <w:sz w:val="18"/>
          <w:szCs w:val="18"/>
          <w:color w:val="auto"/>
        </w:rPr>
        <w:t>. We deliver a comprehensive commerce and engagement platform that allows merchants to easily create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engagements with consumers via their mobile phone. A merchant is able to manage user experience and encourage engagement with end-consumers based on personalized context. By incorporating Rezolve into a merchant’s application, a merchant can build brand awareness and loyalty within its customer base.</w:t>
      </w:r>
    </w:p>
    <w:p>
      <w:pPr>
        <w:spacing w:after="0" w:line="71" w:lineRule="exact"/>
        <w:rPr>
          <w:rFonts w:ascii="Times New Roman" w:cs="Times New Roman" w:eastAsia="Times New Roman" w:hAnsi="Times New Roman"/>
          <w:sz w:val="18"/>
          <w:szCs w:val="18"/>
          <w:b w:val="1"/>
          <w:bCs w:val="1"/>
          <w:color w:val="auto"/>
        </w:rPr>
      </w:pPr>
    </w:p>
    <w:p>
      <w:pPr>
        <w:ind w:left="503" w:hanging="503"/>
        <w:spacing w:after="0" w:line="254" w:lineRule="auto"/>
        <w:tabs>
          <w:tab w:leader="none" w:pos="503"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Seamless Integration with Existing Applications. </w:t>
      </w:r>
      <w:r>
        <w:rPr>
          <w:rFonts w:ascii="Times New Roman" w:cs="Times New Roman" w:eastAsia="Times New Roman" w:hAnsi="Times New Roman"/>
          <w:sz w:val="18"/>
          <w:szCs w:val="18"/>
          <w:color w:val="auto"/>
        </w:rPr>
        <w:t>We expect the Rezolve solution to be able to be integrated with a merchant’s application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expect it to require minimal time or training to implement and use. Once our solution is integrated, merchants can easily establish geographic triggers, called GeoZones, establish watermarks in an image or audio file, or activate another mobile trigger (such as a beacon) using our SaaS platform. Our consumer-friendly application </w:t>
      </w:r>
      <w:r>
        <w:rPr>
          <w:rFonts w:ascii="Times New Roman" w:cs="Times New Roman" w:eastAsia="Times New Roman" w:hAnsi="Times New Roman"/>
          <w:sz w:val="18"/>
          <w:szCs w:val="18"/>
          <w:i w:val="1"/>
          <w:iCs w:val="1"/>
          <w:color w:val="auto"/>
        </w:rPr>
        <w:t>Shop Beautiful</w:t>
      </w:r>
      <w:r>
        <w:rPr>
          <w:rFonts w:ascii="Times New Roman" w:cs="Times New Roman" w:eastAsia="Times New Roman" w:hAnsi="Times New Roman"/>
          <w:sz w:val="18"/>
          <w:szCs w:val="18"/>
          <w:color w:val="auto"/>
        </w:rPr>
        <w:t xml:space="preserve"> integrates seamlessly with brands helping generate immediate consumer engagement. Additionally, Rezolve’s interface is already available on a number of platforms such as Apple iOS and Google Android and is integrated with certain mobile applications available on those platforms, including WeChat. We expect that this will make it easy for both merchants and consumers to use the Rezolve platform. We expect merchants will be able to add Rezolve technology to their platforms and gain access to a self-service portal where they can manage their campaigns all on one dashboard, and consumers with access to existing and widely used mobile applications have the benefit of the Rezolve platform without additional installation.</w:t>
      </w:r>
    </w:p>
    <w:p>
      <w:pPr>
        <w:spacing w:after="0" w:line="80" w:lineRule="exact"/>
        <w:rPr>
          <w:rFonts w:ascii="Times New Roman" w:cs="Times New Roman" w:eastAsia="Times New Roman" w:hAnsi="Times New Roman"/>
          <w:sz w:val="18"/>
          <w:szCs w:val="18"/>
          <w:b w:val="1"/>
          <w:bCs w:val="1"/>
          <w:color w:val="auto"/>
        </w:rPr>
      </w:pPr>
    </w:p>
    <w:p>
      <w:pPr>
        <w:ind w:left="503" w:right="20" w:hanging="503"/>
        <w:spacing w:after="0" w:line="257" w:lineRule="auto"/>
        <w:tabs>
          <w:tab w:leader="none" w:pos="503"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Actionable Analytics and Insights</w:t>
      </w:r>
      <w:r>
        <w:rPr>
          <w:rFonts w:ascii="Times New Roman" w:cs="Times New Roman" w:eastAsia="Times New Roman" w:hAnsi="Times New Roman"/>
          <w:sz w:val="18"/>
          <w:szCs w:val="18"/>
          <w:color w:val="auto"/>
        </w:rPr>
        <w:t>. With our platform, we expect merchants will be able to receive direct insights into consumer behavior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often not shared by third-party intermediaries. For example, when consumers use a third-party service for food delivery, the third-party delivery service has access to information on the customers’ preferences on where to eat, what time they usually order food and the average amount spent per order. These are insights that merchants can use to improve their consumers’ experiences and to enhance their marketing targets. However, the third-party delivery service does not share all of this information with its merchants. Our platform aims to fix this gap in information access by equipping merchants with insights to make more informed decisions to drive further engagement and brand affinity.</w:t>
      </w:r>
    </w:p>
    <w:p>
      <w:pPr>
        <w:spacing w:after="0" w:line="74" w:lineRule="exact"/>
        <w:rPr>
          <w:rFonts w:ascii="Times New Roman" w:cs="Times New Roman" w:eastAsia="Times New Roman" w:hAnsi="Times New Roman"/>
          <w:sz w:val="18"/>
          <w:szCs w:val="18"/>
          <w:b w:val="1"/>
          <w:bCs w:val="1"/>
          <w:color w:val="auto"/>
        </w:rPr>
      </w:pPr>
    </w:p>
    <w:p>
      <w:pPr>
        <w:ind w:left="503" w:right="140" w:hanging="503"/>
        <w:spacing w:after="0" w:line="258" w:lineRule="auto"/>
        <w:tabs>
          <w:tab w:leader="none" w:pos="503"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 Frictionless Consumer Experience</w:t>
      </w:r>
      <w:r>
        <w:rPr>
          <w:rFonts w:ascii="Times New Roman" w:cs="Times New Roman" w:eastAsia="Times New Roman" w:hAnsi="Times New Roman"/>
          <w:sz w:val="18"/>
          <w:szCs w:val="18"/>
          <w:color w:val="auto"/>
        </w:rPr>
        <w:t>. We expect that our platform will provide consumers with an intuitive and immediate user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only need a mobile phone (for Rezolve Instant Checkout, SmartLinks and SmartCodes) or a device that has an application with our technology embedded to allow consumers to interact with a trigger such as location, audio, or a beacon to transact. The consumer can also be prompted with proximity-based notifications highlighting relevant advertisements or transactions. Consumers benefit from real time awareness and engagement with relevant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888365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18" w:right="359" w:bottom="1440"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9086215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1339850</wp:posOffset>
            </wp:positionH>
            <wp:positionV relativeFrom="page">
              <wp:posOffset>654685</wp:posOffset>
            </wp:positionV>
            <wp:extent cx="5349240" cy="76727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349240" cy="7672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654685</wp:posOffset>
            </wp:positionV>
            <wp:extent cx="5717540" cy="40290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17540"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We have agreements with distribution and consumer-facing networks, which we refer to as our Channels, to sign up merchants to the Rezolve platform. Our Channels also receive significant benefits from deploying our solutions to their merchant base.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Opportunity</w:t>
      </w:r>
    </w:p>
    <w:p>
      <w:pPr>
        <w:spacing w:after="0" w:line="33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believe we have a significant opportunity to transform how retail customers discover, engage and shop online. Our mobile commerce provides a natural interactive experience for your customers where they may enjoy a conversational approach to shopping.</w:t>
      </w:r>
    </w:p>
    <w:p>
      <w:pPr>
        <w:spacing w:after="0" w:line="16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Our enterprise SaaS commerce platform has a global reach including in our key geographies: United States, Latin America, and Europe. We believe that there are significant geographies and distribution channels to expand to as we establish new strategic alliances in new geographies.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2 of 2025, initially in Europe and the USA. Revenues from Brain Commerce are also forecast to begin in Q2 2025, increasing significantly in Q3 and Q4 2025. We also expect to generate revenues in Q4 2025 in South America and the Asia. We expect revenues to increase in 2026 through our signed partner agreements with Microsoft, Google and others. For additional information regarding the partner agreements, see “—Partner Agreements”.</w:t>
      </w:r>
    </w:p>
    <w:p>
      <w:pPr>
        <w:spacing w:after="0" w:line="18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Following the completion of the Pre-Closing Demerger, we ceased operations in China and are currently focused on growing our footprint in other geographic markets, but at a future date, we will consider re-engaging with the Chinese market.</w:t>
      </w:r>
    </w:p>
    <w:p>
      <w:pPr>
        <w:spacing w:after="0" w:line="162"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initially entered the Chinese market in 2016 in order to trial the Rezolve platform on a large scale. This was done with support from China Union Pay (“CUP”) and Allinpay (“AP”). Rezolve’s former subsidiary, Rezolve Information Technology (Shanghai) Limited (“Rezolve Shanghai”) is a Wholly owned Foreign Entity (“WoFE”), which limits its influence locally in China.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ind w:right="220"/>
        <w:spacing w:after="0" w:line="261" w:lineRule="auto"/>
        <w:rPr>
          <w:sz w:val="20"/>
          <w:szCs w:val="20"/>
          <w:color w:val="auto"/>
        </w:rPr>
      </w:pPr>
      <w:r>
        <w:rPr>
          <w:rFonts w:ascii="Times New Roman" w:cs="Times New Roman" w:eastAsia="Times New Roman" w:hAnsi="Times New Roman"/>
          <w:sz w:val="18"/>
          <w:szCs w:val="18"/>
          <w:color w:val="auto"/>
        </w:rPr>
        <w:t>WoFE in China must generally contract with a local third-party company if it wants to do business with a state-owned enterprise (“SOE”), such as CUP. This requirement is part of the foreign investment restrictions and regulations in China that aim to protect local interests and limit foreign control over certain sectors of the economy.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in the future, a new Rezolve entity can be accredited to operate directly with CUP and AP, the board will consider re-entering the China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current focus is on rolling out our technologies with partners in other markets around the world.</w:t>
      </w:r>
    </w:p>
    <w:p>
      <w:pPr>
        <w:spacing w:after="0" w:line="20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believe Rezolve’s Brain Commerce, Brain Checkout and Brain Assistant offerings will operate in large global market opportunities. We believe Rezolve’s Brain Commerce can supplement existing retailer site search platforms and that AI enabled search platforms, like Rezolve’s will replace all existing retailer site search platforms.</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the global economy becomes more connected and transactions become increasingly digital, retail spend is expected to continue growing in the coming years. Buy Now participates in a $250 billion retail sales market (applying Rezolve’s 1.0% transaction fee to the $25 trillion in global retail sales in 2021). According to eMarketer’s 2021 Global Ecommerce Forecast, global retail sales are projected to grow at a 5% CAGR to $30 trillion by 2025.</w:t>
      </w:r>
    </w:p>
    <w:p>
      <w:pPr>
        <w:spacing w:after="0" w:line="176"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believe that the market for our GeoZone offering can be measured as a proxy of global location based advertising, which is poised for rapid growth over the next few years as it is expected to become a widespread advertising practice. Global location based advertising spending was approximately $80.5 billion in 2022 and is expected to grow at a 13.3% CAGR to $219.4 billion in 2027 according to a Global Industry Analysts report.</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Location-based advertising allows organizations to target consumers at a granular, consumer level with online or offline messaging based on their physical location. Location-based marketing has become an important and high ROI method of customer engagement as smartphone user penetration rates increase globally. Using location data through smartphone geolocators, marketing teams are able to reach consumers based on qualifiers like proximity to a store, events happening in their region, and more.</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Location-based marketing has proven effective across customer lifecycles from discovery and purchase to engagement and retention. When used properly, location-based marketing allows marketers to focus on specific customer segments with targeted offers, while improving customer experience for a population that increasingly values instant gratification.</w:t>
      </w:r>
    </w:p>
    <w:p>
      <w:pPr>
        <w:spacing w:after="0" w:line="17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Search advertising, which is targeted marketing based on search terms, or keywords, entered on a search engine, allows advertisers to target consumers and tailor advertisements based on their search history and consumer profiles. Search advertising has expanded over the recent years as mobile search has started to outpace desktop searches in 2021 according to Statista’s Digital Market Outlook. Consumers continue to use search engines as a primary means of buying decisions and is a mainstay for most businesses.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web search statistics:</w:t>
      </w:r>
    </w:p>
    <w:p>
      <w:pPr>
        <w:spacing w:after="0" w:line="117"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98% of consumers use the Internet to find a local business in 2022. (BrightLocal survey)</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76% of consumers “always” or “regularly” read online reviews for local businesses. (BrightLocal survey)</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29% of consumers search for local businesses at least every week. (BrightLocal survey)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elements of our strategy include:</w:t>
      </w:r>
    </w:p>
    <w:p>
      <w:pPr>
        <w:spacing w:after="0" w:line="115" w:lineRule="exact"/>
        <w:rPr>
          <w:sz w:val="20"/>
          <w:szCs w:val="20"/>
          <w:color w:val="auto"/>
        </w:rPr>
      </w:pPr>
    </w:p>
    <w:p>
      <w:pPr>
        <w:ind w:left="1020" w:right="100" w:hanging="503"/>
        <w:spacing w:after="0" w:line="267" w:lineRule="auto"/>
        <w:tabs>
          <w:tab w:leader="none" w:pos="102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Scaling Existing Channels. </w:t>
      </w:r>
      <w:r>
        <w:rPr>
          <w:rFonts w:ascii="Times New Roman" w:cs="Times New Roman" w:eastAsia="Times New Roman" w:hAnsi="Times New Roman"/>
          <w:sz w:val="18"/>
          <w:szCs w:val="18"/>
          <w:color w:val="auto"/>
        </w:rPr>
        <w:t>We believe that we have a significant opportunity to work with our existing Channels to grow their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We intend to continue to strategically invest in marketing and strategic relationships. Our existing Channels deliver an opportunity for growth in the near term within our existing geographies and current platform.</w:t>
      </w:r>
    </w:p>
    <w:p>
      <w:pPr>
        <w:spacing w:after="0" w:line="65" w:lineRule="exact"/>
        <w:rPr>
          <w:rFonts w:ascii="Times New Roman" w:cs="Times New Roman" w:eastAsia="Times New Roman" w:hAnsi="Times New Roman"/>
          <w:sz w:val="18"/>
          <w:szCs w:val="18"/>
          <w:i w:val="1"/>
          <w:iCs w:val="1"/>
          <w:color w:val="auto"/>
        </w:rPr>
      </w:pPr>
    </w:p>
    <w:p>
      <w:pPr>
        <w:ind w:left="1020" w:hanging="503"/>
        <w:spacing w:after="0" w:line="267" w:lineRule="auto"/>
        <w:tabs>
          <w:tab w:leader="none" w:pos="102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Win New Channels</w:t>
      </w:r>
      <w:r>
        <w:rPr>
          <w:rFonts w:ascii="Times New Roman" w:cs="Times New Roman" w:eastAsia="Times New Roman" w:hAnsi="Times New Roman"/>
          <w:sz w:val="18"/>
          <w:szCs w:val="18"/>
          <w:color w:val="auto"/>
        </w:rPr>
        <w:t>. We see significant potential in opening up new distribution channels in other markets, such as Telcos and banks, who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will be able to replicate the success we are experiencing in our current markets. Opening new distribution channels will allow us to accelerate our growth.</w:t>
      </w:r>
    </w:p>
    <w:p>
      <w:pPr>
        <w:spacing w:after="0" w:line="65" w:lineRule="exact"/>
        <w:rPr>
          <w:rFonts w:ascii="Times New Roman" w:cs="Times New Roman" w:eastAsia="Times New Roman" w:hAnsi="Times New Roman"/>
          <w:sz w:val="18"/>
          <w:szCs w:val="18"/>
          <w:i w:val="1"/>
          <w:iCs w:val="1"/>
          <w:color w:val="auto"/>
        </w:rPr>
      </w:pPr>
    </w:p>
    <w:p>
      <w:pPr>
        <w:ind w:left="1020" w:right="340" w:hanging="503"/>
        <w:spacing w:after="0" w:line="267" w:lineRule="auto"/>
        <w:tabs>
          <w:tab w:leader="none" w:pos="102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New Offering Features</w:t>
      </w:r>
      <w:r>
        <w:rPr>
          <w:rFonts w:ascii="Times New Roman" w:cs="Times New Roman" w:eastAsia="Times New Roman" w:hAnsi="Times New Roman"/>
          <w:sz w:val="18"/>
          <w:szCs w:val="18"/>
          <w:color w:val="auto"/>
        </w:rPr>
        <w:t>. We plan to add to and expand our platform with further functionality including live event notifications, dynamic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coupons, more personalization and personal experiences as well as provided artificial intelligence layers to enable more convenient and segmented merchandising.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74" w:name="page75"/>
    <w:bookmarkEnd w:id="74"/>
    <w:p>
      <w:pPr>
        <w:ind w:left="1020" w:hanging="503"/>
        <w:spacing w:after="0" w:line="267" w:lineRule="auto"/>
        <w:tabs>
          <w:tab w:leader="none" w:pos="102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Upsell/Cross Sell</w:t>
      </w:r>
      <w:r>
        <w:rPr>
          <w:rFonts w:ascii="Times New Roman" w:cs="Times New Roman" w:eastAsia="Times New Roman" w:hAnsi="Times New Roman"/>
          <w:sz w:val="18"/>
          <w:szCs w:val="18"/>
          <w:color w:val="auto"/>
        </w:rPr>
        <w:t>. We expect to further penetrate our customer base. We intend to expand direct and indirect sales capabilities, drive dynamic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segmentation capabilities, introduce analytics to improve customer insights and improve customer lifetime value. Combined with additional functionalities and offering capabilities, we expect to upsell and cross sell across our new merchants, increasing our revenues.</w:t>
      </w:r>
    </w:p>
    <w:p>
      <w:pPr>
        <w:spacing w:after="0" w:line="65" w:lineRule="exact"/>
        <w:rPr>
          <w:rFonts w:ascii="Times New Roman" w:cs="Times New Roman" w:eastAsia="Times New Roman" w:hAnsi="Times New Roman"/>
          <w:sz w:val="18"/>
          <w:szCs w:val="18"/>
          <w:i w:val="1"/>
          <w:iCs w:val="1"/>
          <w:color w:val="auto"/>
        </w:rPr>
      </w:pPr>
    </w:p>
    <w:p>
      <w:pPr>
        <w:ind w:left="1020" w:right="480" w:hanging="503"/>
        <w:spacing w:after="0" w:line="284" w:lineRule="auto"/>
        <w:tabs>
          <w:tab w:leader="none" w:pos="102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Enter New Geographies</w:t>
      </w:r>
      <w:r>
        <w:rPr>
          <w:rFonts w:ascii="Times New Roman" w:cs="Times New Roman" w:eastAsia="Times New Roman" w:hAnsi="Times New Roman"/>
          <w:sz w:val="18"/>
          <w:szCs w:val="18"/>
          <w:color w:val="auto"/>
        </w:rPr>
        <w:t>. We intend to capitalize on our global growth momentum in India, the U.S., Latin America, East Asia, broader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Europe, Australia, Canada and Brazil.</w:t>
      </w:r>
    </w:p>
    <w:p>
      <w:pPr>
        <w:spacing w:after="0" w:line="50" w:lineRule="exact"/>
        <w:rPr>
          <w:rFonts w:ascii="Times New Roman" w:cs="Times New Roman" w:eastAsia="Times New Roman" w:hAnsi="Times New Roman"/>
          <w:sz w:val="18"/>
          <w:szCs w:val="18"/>
          <w:i w:val="1"/>
          <w:iCs w:val="1"/>
          <w:color w:val="auto"/>
        </w:rPr>
      </w:pPr>
    </w:p>
    <w:p>
      <w:pPr>
        <w:ind w:left="1020" w:hanging="503"/>
        <w:spacing w:after="0" w:line="258" w:lineRule="auto"/>
        <w:tabs>
          <w:tab w:leader="none" w:pos="102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Strategic Acquisitions</w:t>
      </w:r>
      <w:r>
        <w:rPr>
          <w:rFonts w:ascii="Times New Roman" w:cs="Times New Roman" w:eastAsia="Times New Roman" w:hAnsi="Times New Roman"/>
          <w:sz w:val="18"/>
          <w:szCs w:val="18"/>
          <w:color w:val="auto"/>
        </w:rPr>
        <w:t>. We intend to selectively pursue acquisitions that enhance our existing platform capabilities and are consistent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overall growth strategy, although we currently have no agreements, commitments or understandings with respect to any such transaction. We may consider different-stage technology companies which can complement our global AI-enabled technology, customer and partner ecosystem, increase our customer base and market reach, enhance revenue, expand access to merchants and diversify our offerings and leverage synergies.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Rezolve Platform</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cloud-based Rezolve AI platform integrates the features and functionalities that merchants need to seamlessly transact across different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Channels. Capabilities include:</w:t>
      </w:r>
    </w:p>
    <w:p>
      <w:pPr>
        <w:spacing w:after="0" w:line="97" w:lineRule="exact"/>
        <w:rPr>
          <w:sz w:val="20"/>
          <w:szCs w:val="20"/>
          <w:color w:val="auto"/>
        </w:rPr>
      </w:pPr>
    </w:p>
    <w:p>
      <w:pPr>
        <w:ind w:left="1020" w:right="100" w:hanging="503"/>
        <w:spacing w:after="0" w:line="256" w:lineRule="auto"/>
        <w:tabs>
          <w:tab w:leader="none" w:pos="102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Ecommerce Chat and Search. </w:t>
      </w:r>
      <w:r>
        <w:rPr>
          <w:rFonts w:ascii="Times New Roman" w:cs="Times New Roman" w:eastAsia="Times New Roman" w:hAnsi="Times New Roman"/>
          <w:sz w:val="18"/>
          <w:szCs w:val="18"/>
          <w:color w:val="auto"/>
        </w:rPr>
        <w:t>Rezolve’s</w:t>
      </w:r>
      <w:r>
        <w:rPr>
          <w:rFonts w:ascii="Times New Roman" w:cs="Times New Roman" w:eastAsia="Times New Roman" w:hAnsi="Times New Roman"/>
          <w:sz w:val="18"/>
          <w:szCs w:val="18"/>
          <w:i w:val="1"/>
          <w:iCs w:val="1"/>
          <w:color w:val="auto"/>
        </w:rPr>
        <w:t xml:space="preserve"> Brain Commerce </w:t>
      </w:r>
      <w:r>
        <w:rPr>
          <w:rFonts w:ascii="Times New Roman" w:cs="Times New Roman" w:eastAsia="Times New Roman" w:hAnsi="Times New Roman"/>
          <w:sz w:val="18"/>
          <w:szCs w:val="18"/>
          <w:color w:val="auto"/>
        </w:rPr>
        <w:t>allows customers, either online or instore, to interact naturally in a conversational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similar to engaging via a highly knowledgeable and customer centric store colleague, via voice or text and in 95 languages. Customers can ask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 Our UI and frontend is fully responsive with a multi-tenant configuration that can be embedded and easily setup via the Rezolve Experience Portal (RXP) in merchant store sites with RESTful endpoints, and connection to most popular eCommerce platforms out of the box (e.g. Shopify ,WooCommerce, Magento etc.).</w:t>
      </w:r>
    </w:p>
    <w:p>
      <w:pPr>
        <w:spacing w:after="0" w:line="74" w:lineRule="exact"/>
        <w:rPr>
          <w:rFonts w:ascii="Times New Roman" w:cs="Times New Roman" w:eastAsia="Times New Roman" w:hAnsi="Times New Roman"/>
          <w:sz w:val="18"/>
          <w:szCs w:val="18"/>
          <w:i w:val="1"/>
          <w:iCs w:val="1"/>
          <w:color w:val="auto"/>
        </w:rPr>
      </w:pPr>
    </w:p>
    <w:p>
      <w:pPr>
        <w:ind w:left="1020" w:right="80" w:hanging="503"/>
        <w:spacing w:after="0" w:line="261" w:lineRule="auto"/>
        <w:tabs>
          <w:tab w:leader="none" w:pos="102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Customer Loyalty Programs. </w:t>
      </w:r>
      <w:r>
        <w:rPr>
          <w:rFonts w:ascii="Times New Roman" w:cs="Times New Roman" w:eastAsia="Times New Roman" w:hAnsi="Times New Roman"/>
          <w:sz w:val="18"/>
          <w:szCs w:val="18"/>
          <w:color w:val="auto"/>
        </w:rPr>
        <w:t>We expect to bring together merchants and consumers with the goal of empowering merchants to engage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with their customers and not solely through third-party intermediaries. By enabling direct consumer engagement, merchants are able to build customer loyalty and can launch campaigns or targeted offers through the Brain Checkout with a higher level of engagement and relevancy.</w:t>
      </w:r>
    </w:p>
    <w:p>
      <w:pPr>
        <w:spacing w:after="0" w:line="72" w:lineRule="exact"/>
        <w:rPr>
          <w:sz w:val="20"/>
          <w:szCs w:val="20"/>
          <w:color w:val="auto"/>
        </w:rPr>
      </w:pPr>
    </w:p>
    <w:p>
      <w:pPr>
        <w:ind w:left="1020" w:right="40" w:hanging="503"/>
        <w:spacing w:after="0" w:line="267" w:lineRule="auto"/>
        <w:tabs>
          <w:tab w:leader="none" w:pos="102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Direct Customer Insights</w:t>
      </w:r>
      <w:r>
        <w:rPr>
          <w:rFonts w:ascii="Times New Roman" w:cs="Times New Roman" w:eastAsia="Times New Roman" w:hAnsi="Times New Roman"/>
          <w:sz w:val="18"/>
          <w:szCs w:val="18"/>
          <w:color w:val="auto"/>
        </w:rPr>
        <w:t>. We expect our platform to provide merchants with direct access to their customers and their key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shopping preferences, which they can use to drive further consumer engagement. For brands that typically sell their products through third-party intermediaries, these insights are useful for building brand affinity and loyalty.</w:t>
      </w:r>
    </w:p>
    <w:p>
      <w:pPr>
        <w:spacing w:after="0" w:line="65" w:lineRule="exact"/>
        <w:rPr>
          <w:rFonts w:ascii="Times New Roman" w:cs="Times New Roman" w:eastAsia="Times New Roman" w:hAnsi="Times New Roman"/>
          <w:sz w:val="18"/>
          <w:szCs w:val="18"/>
          <w:i w:val="1"/>
          <w:iCs w:val="1"/>
          <w:color w:val="auto"/>
        </w:rPr>
      </w:pPr>
    </w:p>
    <w:p>
      <w:pPr>
        <w:ind w:left="1020" w:right="40" w:hanging="503"/>
        <w:spacing w:after="0" w:line="284" w:lineRule="auto"/>
        <w:tabs>
          <w:tab w:leader="none" w:pos="102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Mobile Vouchering</w:t>
      </w:r>
      <w:r>
        <w:rPr>
          <w:rFonts w:ascii="Times New Roman" w:cs="Times New Roman" w:eastAsia="Times New Roman" w:hAnsi="Times New Roman"/>
          <w:sz w:val="18"/>
          <w:szCs w:val="18"/>
          <w:color w:val="auto"/>
        </w:rPr>
        <w:t>. We expect to enable merchants to be more flexible in their offerings to consumers. With the Rezolve platform integrated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merchants’ apps, consumers are able to scan products and buy them through the app, eliminating the need to wait online in retail stores.</w:t>
      </w:r>
    </w:p>
    <w:p>
      <w:pPr>
        <w:spacing w:after="0" w:line="50" w:lineRule="exact"/>
        <w:rPr>
          <w:rFonts w:ascii="Times New Roman" w:cs="Times New Roman" w:eastAsia="Times New Roman" w:hAnsi="Times New Roman"/>
          <w:sz w:val="18"/>
          <w:szCs w:val="18"/>
          <w:i w:val="1"/>
          <w:iCs w:val="1"/>
          <w:color w:val="auto"/>
        </w:rPr>
      </w:pPr>
    </w:p>
    <w:p>
      <w:pPr>
        <w:ind w:left="1020" w:right="140" w:hanging="503"/>
        <w:spacing w:after="0" w:line="284" w:lineRule="auto"/>
        <w:tabs>
          <w:tab w:leader="none" w:pos="102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Retailer Point-of-Sale / Back office. </w:t>
      </w:r>
      <w:r>
        <w:rPr>
          <w:rFonts w:ascii="Times New Roman" w:cs="Times New Roman" w:eastAsia="Times New Roman" w:hAnsi="Times New Roman"/>
          <w:sz w:val="18"/>
          <w:szCs w:val="18"/>
          <w:color w:val="auto"/>
        </w:rPr>
        <w:t>We expect to provide merchants with a self-service portal, featuring an accessible dashboard to manage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shoppable campaigns and to track consumers’ shopping trends.</w:t>
      </w:r>
    </w:p>
    <w:p>
      <w:pPr>
        <w:spacing w:after="0" w:line="50" w:lineRule="exact"/>
        <w:rPr>
          <w:rFonts w:ascii="Times New Roman" w:cs="Times New Roman" w:eastAsia="Times New Roman" w:hAnsi="Times New Roman"/>
          <w:sz w:val="18"/>
          <w:szCs w:val="18"/>
          <w:i w:val="1"/>
          <w:iCs w:val="1"/>
          <w:color w:val="auto"/>
        </w:rPr>
      </w:pPr>
    </w:p>
    <w:p>
      <w:pPr>
        <w:ind w:left="1020" w:right="200" w:hanging="503"/>
        <w:spacing w:after="0" w:line="315" w:lineRule="auto"/>
        <w:tabs>
          <w:tab w:leader="none" w:pos="1020" w:val="left"/>
        </w:tabs>
        <w:numPr>
          <w:ilvl w:val="0"/>
          <w:numId w:val="5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Mobile Payments. </w:t>
      </w:r>
      <w:r>
        <w:rPr>
          <w:rFonts w:ascii="Times New Roman" w:cs="Times New Roman" w:eastAsia="Times New Roman" w:hAnsi="Times New Roman"/>
          <w:sz w:val="17"/>
          <w:szCs w:val="17"/>
          <w:color w:val="auto"/>
        </w:rPr>
        <w:t>We expect to enhance merchants’ platforms by making the checkout process frictionless. Consumers only need a mobile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device to use the Rezolve platform to instantly buy products that are featured in advertisements or scan and buy products in retail stores.</w:t>
      </w:r>
    </w:p>
    <w:p>
      <w:pPr>
        <w:spacing w:after="0" w:line="26" w:lineRule="exact"/>
        <w:rPr>
          <w:rFonts w:ascii="Times New Roman" w:cs="Times New Roman" w:eastAsia="Times New Roman" w:hAnsi="Times New Roman"/>
          <w:sz w:val="17"/>
          <w:szCs w:val="17"/>
          <w:i w:val="1"/>
          <w:iCs w:val="1"/>
          <w:color w:val="auto"/>
        </w:rPr>
      </w:pPr>
    </w:p>
    <w:p>
      <w:pPr>
        <w:ind w:left="1020" w:right="140" w:hanging="503"/>
        <w:spacing w:after="0" w:line="267" w:lineRule="auto"/>
        <w:tabs>
          <w:tab w:leader="none" w:pos="102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Ability to Pay Online or Offline. </w:t>
      </w:r>
      <w:r>
        <w:rPr>
          <w:rFonts w:ascii="Times New Roman" w:cs="Times New Roman" w:eastAsia="Times New Roman" w:hAnsi="Times New Roman"/>
          <w:sz w:val="18"/>
          <w:szCs w:val="18"/>
          <w:color w:val="auto"/>
        </w:rPr>
        <w:t>We expect to offer instant salesware through one-click checkouts that enable seamless transactions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 Consumers are able to find offers nearby and browse through products both online and offline. For local offers, consumers can simply go into the brick-and-mortar stores or can order through an app.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Engagement Opportunities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platform to integrate with and address the following engagement opportunities:</w:t>
      </w:r>
    </w:p>
    <w:p>
      <w:pPr>
        <w:spacing w:after="0" w:line="115" w:lineRule="exact"/>
        <w:rPr>
          <w:sz w:val="20"/>
          <w:szCs w:val="20"/>
          <w:color w:val="auto"/>
        </w:rPr>
      </w:pPr>
    </w:p>
    <w:p>
      <w:pPr>
        <w:ind w:left="760" w:hanging="513"/>
        <w:spacing w:after="0"/>
        <w:tabs>
          <w:tab w:leader="none" w:pos="76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Chat and Search</w:t>
      </w:r>
      <w:r>
        <w:rPr>
          <w:rFonts w:ascii="Times New Roman" w:cs="Times New Roman" w:eastAsia="Times New Roman" w:hAnsi="Times New Roman"/>
          <w:sz w:val="18"/>
          <w:szCs w:val="18"/>
          <w:color w:val="auto"/>
        </w:rPr>
        <w:t>. Merchants can interact naturally with customers via Brain Commerc</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i w:val="1"/>
          <w:iCs w:val="1"/>
          <w:color w:val="auto"/>
        </w:rPr>
      </w:pPr>
    </w:p>
    <w:p>
      <w:pPr>
        <w:ind w:left="760" w:right="580" w:hanging="513"/>
        <w:spacing w:after="0" w:line="284" w:lineRule="auto"/>
        <w:tabs>
          <w:tab w:leader="none" w:pos="76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Merchants can embed Buy Now and Act Now buttons on their websites and advertisements for instant engagement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via Brain Checkout .</w:t>
      </w:r>
    </w:p>
    <w:p>
      <w:pPr>
        <w:spacing w:after="0" w:line="50"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GeoZones. </w:t>
      </w:r>
      <w:r>
        <w:rPr>
          <w:rFonts w:ascii="Times New Roman" w:cs="Times New Roman" w:eastAsia="Times New Roman" w:hAnsi="Times New Roman"/>
          <w:sz w:val="18"/>
          <w:szCs w:val="18"/>
          <w:color w:val="auto"/>
        </w:rPr>
        <w:t>Merchants can interact with consumers based on proximity to certain locations.</w:t>
      </w:r>
    </w:p>
    <w:p>
      <w:pPr>
        <w:spacing w:after="0" w:line="117"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Media with Audio. </w:t>
      </w:r>
      <w:r>
        <w:rPr>
          <w:rFonts w:ascii="Times New Roman" w:cs="Times New Roman" w:eastAsia="Times New Roman" w:hAnsi="Times New Roman"/>
          <w:sz w:val="18"/>
          <w:szCs w:val="18"/>
          <w:color w:val="auto"/>
        </w:rPr>
        <w:t>Merchants can integrate watermarks in broadcast and streaming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75" w:name="page76"/>
    <w:bookmarkEnd w:id="75"/>
    <w:p>
      <w:pPr>
        <w:ind w:left="760" w:hanging="513"/>
        <w:spacing w:after="0"/>
        <w:tabs>
          <w:tab w:leader="none" w:pos="76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Visual Events. </w:t>
      </w:r>
      <w:r>
        <w:rPr>
          <w:rFonts w:ascii="Times New Roman" w:cs="Times New Roman" w:eastAsia="Times New Roman" w:hAnsi="Times New Roman"/>
          <w:sz w:val="18"/>
          <w:szCs w:val="18"/>
          <w:color w:val="auto"/>
        </w:rPr>
        <w:t>Merchants can integrate watermarks in posters, advertising, product labels and merchandise.</w:t>
      </w:r>
    </w:p>
    <w:p>
      <w:pPr>
        <w:spacing w:after="0" w:line="117" w:lineRule="exact"/>
        <w:rPr>
          <w:rFonts w:ascii="Times New Roman" w:cs="Times New Roman" w:eastAsia="Times New Roman" w:hAnsi="Times New Roman"/>
          <w:sz w:val="18"/>
          <w:szCs w:val="18"/>
          <w:i w:val="1"/>
          <w:iCs w:val="1"/>
          <w:color w:val="auto"/>
        </w:rPr>
      </w:pPr>
    </w:p>
    <w:p>
      <w:pPr>
        <w:ind w:left="760" w:right="300" w:hanging="513"/>
        <w:spacing w:after="0" w:line="284" w:lineRule="auto"/>
        <w:tabs>
          <w:tab w:leader="none" w:pos="76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Beacons</w:t>
      </w:r>
      <w:r>
        <w:rPr>
          <w:rFonts w:ascii="Times New Roman" w:cs="Times New Roman" w:eastAsia="Times New Roman" w:hAnsi="Times New Roman"/>
          <w:sz w:val="18"/>
          <w:szCs w:val="18"/>
          <w:color w:val="auto"/>
        </w:rPr>
        <w:t>. Merchants can establish near-proximity beacons which allow near-field proximity engagements (3 inches to 36 inches plus) in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indoor and outdoor locations.</w:t>
      </w:r>
    </w:p>
    <w:p>
      <w:pPr>
        <w:spacing w:after="0" w:line="50" w:lineRule="exact"/>
        <w:rPr>
          <w:rFonts w:ascii="Times New Roman" w:cs="Times New Roman" w:eastAsia="Times New Roman" w:hAnsi="Times New Roman"/>
          <w:sz w:val="18"/>
          <w:szCs w:val="18"/>
          <w:i w:val="1"/>
          <w:iCs w:val="1"/>
          <w:color w:val="auto"/>
        </w:rPr>
      </w:pPr>
    </w:p>
    <w:p>
      <w:pPr>
        <w:ind w:left="760" w:right="700" w:hanging="513"/>
        <w:spacing w:after="0" w:line="284" w:lineRule="auto"/>
        <w:tabs>
          <w:tab w:leader="none" w:pos="76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SmartLinks. </w:t>
      </w:r>
      <w:r>
        <w:rPr>
          <w:rFonts w:ascii="Times New Roman" w:cs="Times New Roman" w:eastAsia="Times New Roman" w:hAnsi="Times New Roman"/>
          <w:sz w:val="18"/>
          <w:szCs w:val="18"/>
          <w:color w:val="auto"/>
        </w:rPr>
        <w:t>Merchants can embed URL links into social media posts and email communications (amongst others) which trigger Instant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Checkout and Instant Act engagements.</w:t>
      </w:r>
    </w:p>
    <w:p>
      <w:pPr>
        <w:spacing w:after="0" w:line="50"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SmartCodes. </w:t>
      </w:r>
      <w:r>
        <w:rPr>
          <w:rFonts w:ascii="Times New Roman" w:cs="Times New Roman" w:eastAsia="Times New Roman" w:hAnsi="Times New Roman"/>
          <w:sz w:val="18"/>
          <w:szCs w:val="18"/>
          <w:color w:val="auto"/>
        </w:rPr>
        <w:t>Merchants can establish QR codes integrated with their media with a richer engagement experience for the consumer.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Rezolve platform is a multi-tenant cloud-based system that is engineered for high scalability, reliability and performance.</w:t>
      </w:r>
    </w:p>
    <w:p>
      <w:pPr>
        <w:spacing w:after="0" w:line="225"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We host our platform using cloud-based servers. Maintaining the integrity and security of our technology infrastructure is critical to our business, and we plan to invest further in our data center and network infrastructure to meet our merchants’ needs and maintain their trust. The key attributes of our platform are as follows:</w:t>
      </w:r>
    </w:p>
    <w:p>
      <w:pPr>
        <w:spacing w:after="0" w:line="64" w:lineRule="exact"/>
        <w:rPr>
          <w:sz w:val="20"/>
          <w:szCs w:val="20"/>
          <w:color w:val="auto"/>
        </w:rPr>
      </w:pPr>
    </w:p>
    <w:p>
      <w:pPr>
        <w:ind w:left="520" w:right="20" w:hanging="512"/>
        <w:spacing w:after="0" w:line="254" w:lineRule="auto"/>
        <w:tabs>
          <w:tab w:leader="none" w:pos="5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Artificial Intelligence. </w:t>
      </w:r>
      <w:r>
        <w:rPr>
          <w:rFonts w:ascii="Times New Roman" w:cs="Times New Roman" w:eastAsia="Times New Roman" w:hAnsi="Times New Roman"/>
          <w:sz w:val="18"/>
          <w:szCs w:val="18"/>
          <w:color w:val="auto"/>
        </w:rPr>
        <w:t>Our Large Language Model (“</w:t>
      </w:r>
      <w:r>
        <w:rPr>
          <w:rFonts w:ascii="Times New Roman" w:cs="Times New Roman" w:eastAsia="Times New Roman" w:hAnsi="Times New Roman"/>
          <w:sz w:val="18"/>
          <w:szCs w:val="18"/>
          <w:b w:val="1"/>
          <w:bCs w:val="1"/>
          <w:i w:val="1"/>
          <w:iCs w:val="1"/>
          <w:color w:val="auto"/>
        </w:rPr>
        <w:t>LLM</w:t>
      </w:r>
      <w:r>
        <w:rPr>
          <w:rFonts w:ascii="Times New Roman" w:cs="Times New Roman" w:eastAsia="Times New Roman" w:hAnsi="Times New Roman"/>
          <w:sz w:val="18"/>
          <w:szCs w:val="18"/>
          <w:color w:val="auto"/>
        </w:rPr>
        <w:t>”) uses proprietary AI to interrogate presales, sales and post-sales content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transactional and customer data to build one of the world’s first dedicated eCommerce and Sales LLMs. This allows Rezolve’s Brain to offer smart product discovery, recommendations, bundled offers, personalized offers and more, based on a targeted set of 30-billion parameters, and to optimize resource allocation by focusing on the most relevant data for product recommendations. Rezolve’s Brain is able to recognize and handle the differences between product data from store to store, and then standardize the product specifications to guarantee high-quality data. By building a domain specific, leaner, cost-effective custom LLM, we believe Rezolve has achieved superior performance to existing language models while significantly reducing the financial burden associated with training and deploying language models. By creating our own language model specifically trained on eCommerce data and industry-specific terminology, we have gained high control over the behavior and functionality of our conversational AI. We are constantly fine-tuning the model to provide accurate and relevant responses to customer inquiries, ensuring compliance with financial regulations and maintaining the desired tone and style. Furthermore, Rezolve’s AI-powered personalized recommendations enhance customer experiences by leveraging advanced algorithms to deliver tailored product suggestions based on individual preferences and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130175</wp:posOffset>
            </wp:positionV>
            <wp:extent cx="4320540" cy="254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32054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20" w:hanging="503"/>
        <w:spacing w:after="0" w:line="284"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w:t>
      </w:r>
      <w:r>
        <w:rPr>
          <w:rFonts w:ascii="Times New Roman" w:cs="Times New Roman" w:eastAsia="Times New Roman" w:hAnsi="Times New Roman"/>
          <w:sz w:val="18"/>
          <w:szCs w:val="18"/>
          <w:color w:val="auto"/>
        </w:rPr>
        <w:t>Our proprietary AI-Platform keeps both merchant and customer confidential and PII data secure and is regulated by the strict GDPR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policies.</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Encryption. </w:t>
      </w:r>
      <w:r>
        <w:rPr>
          <w:rFonts w:ascii="Times New Roman" w:cs="Times New Roman" w:eastAsia="Times New Roman" w:hAnsi="Times New Roman"/>
          <w:sz w:val="18"/>
          <w:szCs w:val="18"/>
          <w:color w:val="auto"/>
        </w:rPr>
        <w:t>All data is encrypted at rest (AES-256) and in transit.</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7"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usage. </w:t>
      </w:r>
      <w:r>
        <w:rPr>
          <w:rFonts w:ascii="Times New Roman" w:cs="Times New Roman" w:eastAsia="Times New Roman" w:hAnsi="Times New Roman"/>
          <w:sz w:val="18"/>
          <w:szCs w:val="18"/>
          <w:color w:val="auto"/>
        </w:rPr>
        <w:t>All uploaded content such as support documentation, manuals, knowledge base and product catalogue is stored in isolated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containers and processed by our ingestor and embedding services only. Customer data is never used for any reason other than servicing API Calls for search and query. Credit card processing on our platform is performed by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8" w:right="359" w:bottom="1440" w:gutter="0" w:footer="0" w:header="0"/>
        </w:sectPr>
      </w:pPr>
    </w:p>
    <w:bookmarkStart w:id="76" w:name="page77"/>
    <w:bookmarkEnd w:id="76"/>
    <w:p>
      <w:pPr>
        <w:ind w:left="1020" w:right="80"/>
        <w:spacing w:after="0" w:line="261" w:lineRule="auto"/>
        <w:rPr>
          <w:sz w:val="20"/>
          <w:szCs w:val="20"/>
          <w:color w:val="auto"/>
        </w:rPr>
      </w:pPr>
      <w:r>
        <w:rPr>
          <w:rFonts w:ascii="Times New Roman" w:cs="Times New Roman" w:eastAsia="Times New Roman" w:hAnsi="Times New Roman"/>
          <w:sz w:val="18"/>
          <w:szCs w:val="18"/>
          <w:color w:val="auto"/>
        </w:rPr>
        <w:t>dedicated, highly scalable, geographically redundant, high security environment with specialized policies and procedures in place. We have been certified as a PCI DSS Level 1 compliant service provider, which is the highest level of compliance available. We use firewalls, denial of service mitigation appliances, advanced encryption, intrusion detection systems, two-factor authentication and other technology to keep our merchants’ data secure.</w:t>
      </w:r>
    </w:p>
    <w:p>
      <w:pPr>
        <w:spacing w:after="0" w:line="70" w:lineRule="exact"/>
        <w:rPr>
          <w:sz w:val="20"/>
          <w:szCs w:val="20"/>
          <w:color w:val="auto"/>
        </w:rPr>
      </w:pPr>
    </w:p>
    <w:p>
      <w:pPr>
        <w:ind w:left="1020" w:right="140" w:hanging="503"/>
        <w:spacing w:after="0" w:line="267"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Scalability. </w:t>
      </w:r>
      <w:r>
        <w:rPr>
          <w:rFonts w:ascii="Times New Roman" w:cs="Times New Roman" w:eastAsia="Times New Roman" w:hAnsi="Times New Roman"/>
          <w:sz w:val="18"/>
          <w:szCs w:val="18"/>
          <w:color w:val="auto"/>
        </w:rPr>
        <w:t>Our platform Core services are built on Open Telecom Platform technology Erlang which allows us to create highly distributed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microservices to easily and quickly scale end user activity and transactions. Rezolve’s CORE gateway can spawn a massive number of processes with little overhead on demand which makes it highly scalable and reliable.</w:t>
      </w:r>
    </w:p>
    <w:p>
      <w:pPr>
        <w:spacing w:after="0" w:line="65"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Resilience. </w:t>
      </w:r>
      <w:r>
        <w:rPr>
          <w:rFonts w:ascii="Times New Roman" w:cs="Times New Roman" w:eastAsia="Times New Roman" w:hAnsi="Times New Roman"/>
          <w:sz w:val="18"/>
          <w:szCs w:val="18"/>
          <w:color w:val="auto"/>
        </w:rPr>
        <w:t>Our platform applications and system architectures are designed to support High Availability and Redundancy across all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network layers. The use of CI/CD pipelines to automate build and deployment of services, Kubernetes cluster with high availability of nodes, Regions and Zones at the Cloud Provider level and clusters spanning multiple zones, cloud storage synchronized between regions, load balancing between regions creates a safety net of high resilience.</w:t>
      </w:r>
    </w:p>
    <w:p>
      <w:pPr>
        <w:spacing w:after="0" w:line="71" w:lineRule="exact"/>
        <w:rPr>
          <w:rFonts w:ascii="Times New Roman" w:cs="Times New Roman" w:eastAsia="Times New Roman" w:hAnsi="Times New Roman"/>
          <w:sz w:val="18"/>
          <w:szCs w:val="18"/>
          <w:color w:val="auto"/>
        </w:rPr>
      </w:pPr>
    </w:p>
    <w:p>
      <w:pPr>
        <w:ind w:left="1020" w:hanging="503"/>
        <w:spacing w:after="0" w:line="267"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Embedded Connectivity. </w:t>
      </w:r>
      <w:r>
        <w:rPr>
          <w:rFonts w:ascii="Times New Roman" w:cs="Times New Roman" w:eastAsia="Times New Roman" w:hAnsi="Times New Roman"/>
          <w:sz w:val="18"/>
          <w:szCs w:val="18"/>
          <w:color w:val="auto"/>
        </w:rPr>
        <w:t>Rezolve’s mobile SDK provides a quick and easy solution to embed and enable Rezolve platform functionality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Android and iOS app. The accompanying SDK sample app and documents allow third-party developers to quickly leverage the power of our solution.</w:t>
      </w:r>
    </w:p>
    <w:p>
      <w:pPr>
        <w:spacing w:after="0" w:line="65" w:lineRule="exact"/>
        <w:rPr>
          <w:rFonts w:ascii="Times New Roman" w:cs="Times New Roman" w:eastAsia="Times New Roman" w:hAnsi="Times New Roman"/>
          <w:sz w:val="18"/>
          <w:szCs w:val="18"/>
          <w:color w:val="auto"/>
        </w:rPr>
      </w:pPr>
    </w:p>
    <w:p>
      <w:pPr>
        <w:ind w:left="1020" w:right="260" w:hanging="503"/>
        <w:spacing w:after="0" w:line="284"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Central Management. </w:t>
      </w:r>
      <w:r>
        <w:rPr>
          <w:rFonts w:ascii="Times New Roman" w:cs="Times New Roman" w:eastAsia="Times New Roman" w:hAnsi="Times New Roman"/>
          <w:sz w:val="18"/>
          <w:szCs w:val="18"/>
          <w:color w:val="auto"/>
        </w:rPr>
        <w:t>Rezolve maintains a central management and configuration tool that allows it to quickly setup partners, merchants,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apps and index content from its merchants so it’s available via the SDK.</w:t>
      </w:r>
    </w:p>
    <w:p>
      <w:pPr>
        <w:spacing w:after="0" w:line="50" w:lineRule="exact"/>
        <w:rPr>
          <w:rFonts w:ascii="Times New Roman" w:cs="Times New Roman" w:eastAsia="Times New Roman" w:hAnsi="Times New Roman"/>
          <w:sz w:val="18"/>
          <w:szCs w:val="18"/>
          <w:color w:val="auto"/>
        </w:rPr>
      </w:pPr>
    </w:p>
    <w:p>
      <w:pPr>
        <w:ind w:left="1020" w:right="120" w:hanging="503"/>
        <w:spacing w:after="0" w:line="284"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Analytics &amp; Reporting. </w:t>
      </w:r>
      <w:r>
        <w:rPr>
          <w:rFonts w:ascii="Times New Roman" w:cs="Times New Roman" w:eastAsia="Times New Roman" w:hAnsi="Times New Roman"/>
          <w:sz w:val="18"/>
          <w:szCs w:val="18"/>
          <w:color w:val="auto"/>
        </w:rPr>
        <w:t>Rezolve SDK and Backend Data Ingestor Service gathers metrics on usage, transactions, interactions and feeds it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Analytics Engine to churn out smart Dashboards and Reports.</w:t>
      </w:r>
    </w:p>
    <w:p>
      <w:pPr>
        <w:spacing w:after="0" w:line="50" w:lineRule="exact"/>
        <w:rPr>
          <w:rFonts w:ascii="Times New Roman" w:cs="Times New Roman" w:eastAsia="Times New Roman" w:hAnsi="Times New Roman"/>
          <w:sz w:val="18"/>
          <w:szCs w:val="18"/>
          <w:color w:val="auto"/>
        </w:rPr>
      </w:pPr>
    </w:p>
    <w:p>
      <w:pPr>
        <w:ind w:left="1020" w:right="40" w:hanging="503"/>
        <w:spacing w:after="0" w:line="267"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Snap-on Integrations. </w:t>
      </w:r>
      <w:r>
        <w:rPr>
          <w:rFonts w:ascii="Times New Roman" w:cs="Times New Roman" w:eastAsia="Times New Roman" w:hAnsi="Times New Roman"/>
          <w:sz w:val="18"/>
          <w:szCs w:val="18"/>
          <w:color w:val="auto"/>
        </w:rPr>
        <w:t>Rezolve’s Platform supports a snap-on integration design that allows integrations to any payment provider or gateway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eCommerce platforms with minimum effort. Rezolve already supports a large number of payment providers and ramping up support for e-commerce platforms via its unique plugin architecture and webhooks.</w:t>
      </w:r>
    </w:p>
    <w:p>
      <w:pPr>
        <w:spacing w:after="0" w:line="65" w:lineRule="exact"/>
        <w:rPr>
          <w:rFonts w:ascii="Times New Roman" w:cs="Times New Roman" w:eastAsia="Times New Roman" w:hAnsi="Times New Roman"/>
          <w:sz w:val="18"/>
          <w:szCs w:val="18"/>
          <w:color w:val="auto"/>
        </w:rPr>
      </w:pPr>
    </w:p>
    <w:p>
      <w:pPr>
        <w:ind w:left="1020" w:right="120" w:hanging="503"/>
        <w:spacing w:after="0" w:line="267"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Onboarding. </w:t>
      </w:r>
      <w:r>
        <w:rPr>
          <w:rFonts w:ascii="Times New Roman" w:cs="Times New Roman" w:eastAsia="Times New Roman" w:hAnsi="Times New Roman"/>
          <w:sz w:val="18"/>
          <w:szCs w:val="18"/>
          <w:color w:val="auto"/>
        </w:rPr>
        <w:t>Bulk Onboarding of Merchants is a new and unique offering of our platform that allows us to set up and configure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10,000 merchants. Admin portal provides an easy to operate tool for operations teams to quickly add a large merchant base in any market on demand.</w:t>
      </w:r>
    </w:p>
    <w:p>
      <w:pPr>
        <w:spacing w:after="0" w:line="65" w:lineRule="exact"/>
        <w:rPr>
          <w:rFonts w:ascii="Times New Roman" w:cs="Times New Roman" w:eastAsia="Times New Roman" w:hAnsi="Times New Roman"/>
          <w:sz w:val="18"/>
          <w:szCs w:val="18"/>
          <w:color w:val="auto"/>
        </w:rPr>
      </w:pPr>
    </w:p>
    <w:p>
      <w:pPr>
        <w:ind w:left="1020" w:right="60" w:hanging="503"/>
        <w:spacing w:after="0" w:line="267"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 Triggers. </w:t>
      </w:r>
      <w:r>
        <w:rPr>
          <w:rFonts w:ascii="Times New Roman" w:cs="Times New Roman" w:eastAsia="Times New Roman" w:hAnsi="Times New Roman"/>
          <w:sz w:val="18"/>
          <w:szCs w:val="18"/>
          <w:color w:val="auto"/>
        </w:rPr>
        <w:t>Rezolve’s implementation of GeoZones, Beacons and Watermarking are important elements of its platform. The creation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triggers via Rezolve’s Experience Platform when combined with its SDK delivers a powerful tool to Merchants to deliver non spamming targeted engagements.</w:t>
      </w:r>
    </w:p>
    <w:p>
      <w:pPr>
        <w:spacing w:after="0" w:line="65" w:lineRule="exact"/>
        <w:rPr>
          <w:rFonts w:ascii="Times New Roman" w:cs="Times New Roman" w:eastAsia="Times New Roman" w:hAnsi="Times New Roman"/>
          <w:sz w:val="18"/>
          <w:szCs w:val="18"/>
          <w:color w:val="auto"/>
        </w:rPr>
      </w:pPr>
    </w:p>
    <w:p>
      <w:pPr>
        <w:ind w:left="1020" w:right="120" w:hanging="503"/>
        <w:spacing w:after="0" w:line="284"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Developer Friendly. </w:t>
      </w:r>
      <w:r>
        <w:rPr>
          <w:rFonts w:ascii="Times New Roman" w:cs="Times New Roman" w:eastAsia="Times New Roman" w:hAnsi="Times New Roman"/>
          <w:sz w:val="18"/>
          <w:szCs w:val="18"/>
          <w:color w:val="auto"/>
        </w:rPr>
        <w:t>Rezolve’s REST API provides another integration point for any partner or client not using native mobile apps. We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easily support progressive web applications, hybrid applications, web-based services and other applications.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Channels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preliminarily established relationships with Channels such as Microsoft and Google among others. Our Channels are either categorized as merchant acquirors or consumer acquirors or sometimes they represent both. Merchant acquirors typically have large merchant-based customers and upsell/cross sell Rezolve to those customers with Rezolve’s support. Merchant acquirors include (but are not limited to) payment gateways, banks, telecommunications companies, eCommerce or point-of-sale providers, and media entities (such as broadcasters, social media firms and publishers). The type of partnership entered into with these firms determines the level of revenue share, for example, referral, reseller or white label reseller. Larger merchants can have their own mobile app strategy, and, in these cases, our merchant acquirer Channels promote the use of Rezolve technology embedded into their apps directly (using Rezolve’s SDK and mobile application libraries). All merchants are encouraged to use our Rezolve Experience Platform to create engagements with their end-customers, whether it is labeled with the brand of the Channel or our brand.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Our market is transforming, competitive and highly fragmented, and we expect competition to increase in the future. We believe the principal competitive factors in our market are:</w:t>
      </w:r>
    </w:p>
    <w:p>
      <w:pPr>
        <w:spacing w:after="0" w:line="54" w:lineRule="exact"/>
        <w:rPr>
          <w:sz w:val="20"/>
          <w:szCs w:val="20"/>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actionable AI-engineered products and solutions focused on commerce;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simplicity and ease of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multiple Channels;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functionality;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77" w:name="page78"/>
    <w:bookmarkEnd w:id="77"/>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of innovation;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scale;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reliability;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brand development;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With respect to each of these factors, we believe that we provide a number of favorable offerings.</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believe no individual competitor or AI or LLM company offers an integrated, cloud-based commerce platform with comparable functionality to our eCommerce-specific AI platform with its fully conversational discovery experience and connects the upper and lower funnel journeys for an end-to-end user experience that is seamless and frictionless. However, certain competitors such as Shopify or BigCommerce or individual merchants with access to large numbers of consumers, may elect to piece together technology from other companies, including AI-driven search and relevance platforms or digital assistants such as Cohere or Zoovu, that overlaps with certain functions and features that we provide.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Operations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Current revenues generating part of our business relates to transaction fees based on sales of ticketing for La Liga football events in Spain. Rezolve has a contract with La liga to run ticketing for all Spanish La Liga clubs. This allows us to generate revenue from individual clubs. Rezolve provides the ability for individuals to purchase tickets online using its technology. Rezolve has contracts with clubs including Sporting Gijon, Club Deportivo Leganes, Club Deportivo Sociedad and others.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intellectual property and proprietary rights are important to our business. In our efforts to safeguard them, we rely on a combination of copyright, trade secret, trademark, patent and other rights in jurisdictions in which we conduct our business. We also have confidentiality and/or license agreements with employees, contractors, merchants, distributors and other third parties that limit access to and use of our proprietary intellectual property. Though we rely, in part, upon these legal and contractual protections, we believe that factors such as the skills and ingenuity of our employees, as well as the functionality and frequent enhancements to our platform, make our intellectual property rights difficult to replicate.</w:t>
      </w:r>
    </w:p>
    <w:p>
      <w:pPr>
        <w:spacing w:after="0" w:line="183"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We have several US and international patents pending for our eCommerce-specific AI Platform and Language Model such as for its Hierarchical Data relations generator machine, which employs supervised learning models to analyze the product catalogue ingested to build a multidimensional relationship hierarchy that feeds the embedding process, and for its eCommerce Product categorization dictionary that analyzes the product title, images and description data to identify nested categories the product belongs to. Rezolve does this regardless of merchant specified categories which is only reinforced by Merchant provided categories to build a deep and wide category classification that aides the embedding process.</w:t>
      </w:r>
    </w:p>
    <w:p>
      <w:pPr>
        <w:spacing w:after="0" w:line="183"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been issued trademark registrations in Canada, Japan, Mexico, China, Europe, the U.S. and the UK including the term “Rezolve.” We have pending patent applications in the U.S., Canada, China, Europe, Japan, South Korea, Mexico, and Hong Kong. We are subject to certain risks related to our intellectual property. For more information, see “</w:t>
      </w:r>
      <w:r>
        <w:rPr>
          <w:rFonts w:ascii="Times New Roman" w:cs="Times New Roman" w:eastAsia="Times New Roman" w:hAnsi="Times New Roman"/>
          <w:sz w:val="18"/>
          <w:szCs w:val="18"/>
          <w:i w:val="1"/>
          <w:iCs w:val="1"/>
          <w:color w:val="auto"/>
        </w:rPr>
        <w:t>Risk Factors—Risks Related to our Business and Industry</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headquartered in London, England, United Kingdom.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a number of foreign and domestic laws and regulations that affect companies conducting business online, many of which are still evolving and could be interpreted in ways that could harm our business. Concern about the use of SaaS platforms for illegal conduct, such as money laundering or to support terrorist activities, may in the future result in legislation or other governmental action that could require changes to our platform.</w:t>
      </w:r>
    </w:p>
    <w:p>
      <w:pPr>
        <w:spacing w:after="0" w:line="176"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laws and regulations that govern or restrict our business and activities in certain countries and with certain persons. We are currently subject to a variety of laws and regulations in the U.S., Mexico, the UK, Europe, India and elsewhere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8" w:name="page79"/>
    <w:bookmarkEnd w:id="78"/>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related to payment processing, including those governing cross-border and domestic money transmission, gift cards and other prepaid access instruments, electronic funds transfers, foreign exchange, anti-money laundering, counter-terrorist financing, banking and import and export restrictions. Depending on how our merchant solutions evolve, we may be subject to additional laws.</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also subject to various laws, regulations, and obligations regarding privacy, data protection, and cybersecurity. Some jurisdictions require companies to notify individuals of data security breaches involving certain types of personal data and our agreements with certain merchants require us to notify them in the event of a security incident. We post on our website our privacy policy and terms of service, which describe our practices concerning the use, transmission and disclosure of merchant data and data relating to their customers. Any actual or perceived failure by us to comply with our posted privacy policy or laws, regulations, or obligations relating to privacy, data protection or cybersecurity could lead to investigations, inquiries, and other proceedings by governmental authorities, significant fines, penalties and other liabilities imposed by regulators, as well as claims, demands, and litigation by our merchants or their customers or other private actors, any of which could harm our business, financial condition, and results of operations. Laws, regulations, and other actual and asserted obligations relating to privacy, data protection and cybersecurity evolve rapidly and are subject to varying interpretations, and we may not be or may not have been compliant with such laws, regulations or obligations, and we may face allegations that our activities or practices are not or have not been, compliant with each such law, regulation or other obligation. Because our services are accessible worldwide, certain foreign jurisdictions have claimed and others may claim that we are required to comply with their laws, regulations, and obligations, including in jurisdictions where we have no local entity, employees or infrastructure. Working to comply with these varying international requirements could cause us to incur additional costs and change our business practices.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our reputation and brand may be negatively affected by the actions of merchants or their users that are deemed to be hostile, offensive, inappropriate or unlawful. We do not monitor or review the appropriateness of the content accessible through merchants’ shops in connection with our services, and we do not have control over the activities in which merchants’ customers engage. While we have adopted policies regarding illegal or offensive use of our platform, merchants or their customers could nonetheless engage in these activities. The safeguards we have in place may not be sufficient to avoid harm to our reputation and brand, especially if such hostile, offensive or inappropriate use was high profile, which could adversely affect our ability to expand our merchant subscription base and harm our business and financial results. It is possible that we could also be subject to liability. In many jurisdictions, laws relating to the liability of providers of online services for activities of their customers and other third parties are currently being tested by a number of claims, including actions based on defamation, invasion of privacy and other torts, unfair competition, copyright and trademark infringement, and other theories based on the nature of the relevant content. Any court ruling or other governmental regulation or action that imposes liability on providers of online services in connection with the activities of their customers or their customers’ users could harm our business. In such circumstances we may also be subject to liability under applicable law in a way which may not be fully mitigated by our terms of service. Any liability attributed to us could adversely affect our brand, reputation, our ability to expand our subscriber base and our financial results.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or regulatory proceedings arising in the ordinary course of our business.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79" w:name="page80"/>
    <w:bookmarkEnd w:id="79"/>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AND COMPENSATION</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following sets forth the names, business addresses and functions of the Company’s directors and senior management as of the date of this prospectus. The Company’s Articles of Association provide that the Company Board of Directors (the “</w:t>
      </w:r>
      <w:r>
        <w:rPr>
          <w:rFonts w:ascii="Times New Roman" w:cs="Times New Roman" w:eastAsia="Times New Roman" w:hAnsi="Times New Roman"/>
          <w:sz w:val="18"/>
          <w:szCs w:val="18"/>
          <w:b w:val="1"/>
          <w:bCs w:val="1"/>
          <w:i w:val="1"/>
          <w:iCs w:val="1"/>
          <w:color w:val="auto"/>
        </w:rPr>
        <w:t>Company Board</w:t>
      </w:r>
      <w:r>
        <w:rPr>
          <w:rFonts w:ascii="Times New Roman" w:cs="Times New Roman" w:eastAsia="Times New Roman" w:hAnsi="Times New Roman"/>
          <w:sz w:val="18"/>
          <w:szCs w:val="18"/>
          <w:color w:val="auto"/>
        </w:rPr>
        <w:t>”) has three classes of directors with the directors of each class serving staggered three-year terms. Class I directors shall serve a term expiring at Company’s 2025 annual meeting of shareholders, Class II directors shall serve a term expiring at Company’s 2026 annual meeting of shareholders and Class III directors shall serve a term expiring at Company’s 2027 annual meeting of shareholders.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Pr>
          <w:p>
            <w:pPr>
              <w:spacing w:after="0"/>
              <w:rPr>
                <w:sz w:val="15"/>
                <w:szCs w:val="15"/>
                <w:color w:val="auto"/>
              </w:rPr>
            </w:pPr>
          </w:p>
        </w:tc>
        <w:tc>
          <w:tcPr>
            <w:tcW w:w="536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42"/>
        </w:trPr>
        <w:tc>
          <w:tcPr>
            <w:tcW w:w="42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Directors</w:t>
            </w:r>
          </w:p>
        </w:tc>
        <w:tc>
          <w:tcPr>
            <w:tcW w:w="20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360" w:type="dxa"/>
            <w:vAlign w:val="bottom"/>
            <w:shd w:val="clear" w:color="auto" w:fill="CFF0FC"/>
          </w:tcPr>
          <w:p>
            <w:pPr>
              <w:spacing w:after="0"/>
              <w:rPr>
                <w:sz w:val="12"/>
                <w:szCs w:val="12"/>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61</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Wagner</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92</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80</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64</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79</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Stephen Herbert</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216"/>
        </w:trPr>
        <w:tc>
          <w:tcPr>
            <w:tcW w:w="4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36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61</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53</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Chief Commercial Officer and General Manager (EMEA)</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49</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CEO Products, Technology, and Digital Services</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51</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Chief Technology Officer</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Director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Daniel Wagner.</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Mr. Wagner founded Rezolve and has served as Chief Executive Officer and as a director on the board of directors of Rezolve Limited since June 2016. Prior to joining Rezolve, Mr. Wagner founded M.A.I.D. in 1984, an online information service, and built the business into a leading player, when it was sold to Thomson Reuters for $500 million. He then developed Venda in 1998, a provider of on-demand enterprise eCommerce (which included Tesco, Laura Ashley, Neiman Marcus, Lands End, Under Armor and TJX Companies among its clients), which was sold in 2014 to NetSuite, a subsidiary of Oracle Corporation. Mr. Wagner has founded numerous other internet-commerce businesses including SmartLogik in 2000, BuyaPowa in 2010, Powa in 2009, and Attraqt in 2003. Rezolve believes Mr. Wagner is qualified to serve on the board because of his historical knowledge, operational expertise, leadership and the continuity that he brings to our board as our founder and Chief Executive Officer.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Stephen Perry.</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Dr. Perry served on the board of directors of Rezolve as a non-executive director from October 2016 to April 2019 and rejoined in January 2022. Dr. Perry also serves as a Senior Advisor for Fintech and Payments. Prior to joining Rezolve, he worked at Visa for 25 years, first, as Head of Strategy, then as Chief Financial Officer for three years, then as Chief Commercial Officer for 15 years and finally as Chief Digital Officer until December 2015. He also served as an advisor for B-Secur from 2016 to 2018, an advisory board member of Syntel from 2016 to 2017, a non-executive director of MYPINPAD from 2016 to 2018, an advisor for Splitit from 2016 to 2019, an advisor for Good Causes from 2017 to 2019, a strategic advisor for A2P from 2017 to 2019, a non-executive chairman for V9 Group from 2016 to 2020, a non-executive director for Bink from 2016 to 2021, an advisor for 1818 Venture Capital from 2019 to 2021. He also serves as the non-executive chair of Willo and myNexus. He holds a degree in Economics from Wolverhampton Polytechnic, a Masters in Economics from the University of London and a PhD from Keele University. He was awarded the honour of Order of Merit (Cavalieri) in Italy in 2005. Rezolve believes Dr. Perry is qualified to serve on the board because of his experience as a director of technology companies and his experience with investments in technology companies.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Derek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Dr. Smith has served on the board of directors of Rezolve since January 2022. He has also served as chairman of Rhinegold Publishing Ltd from 2007 to 2019. He also served on the board of Opinion Research Corporation from 1997 to 2003. Dr Smith has a BA in Economics from the University of Nottingham and a PhD in Economics from the University of Nottingham. Rezolve believes Dr. Smith is qualified to serve on the board because of his history of holding leadership roles in various companies.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John Wagner.</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Mr. Wagner has served as a director on the board of directors of Rezolve since February 2016. Prior to joining Rezolve, he was a non-executive director of Powa Technologies from 2008 to 2016 and chairman of Folding Helmet Technology from 2012 to 2019. He was also chairman of Preventon, a provider of cybersecurity software. He studied law and economics at the London School of Economics and marketing at the Institute of Marketing. He is also an alumnus of the British and American programme in marketing management at Harvard Business School. Rezolve believes Mr. Wagner is qualified to serve on the board because he brings significant experience to the Rezolve board, having been the managing director or executive director of several businesses, including BMW (GB) Ltd, Volvo GB, Volkswagen/Audi, Grundig (GB) Ltd, and Hasselblad (US and UK).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Anthony Sharp.</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Mr. Sharp has served as a director on the board of directors of Rezolve since August 2016. Prior to joining Rezolve, he has been an early-stage investor, including in lastminute.com, GoAmerica, and Silicon.com. He has participated on 42 boards across the fintech, security, marine, media, leisure, manufacturing, hospitality and property sectors as a chairman, non-executive director and executive director. Rezolve believes Mr. Sharp is qualified to serve on the board because of his long history of serving on the boards of various companies.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Sir David Wright.</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Sir Wright has served as a director on the board of directors of Rezolve since August 2019. Prior to joining Rezolve, he was Vice-Chairman of Barclays from 2003 to 2018, Private Secretary to HRH The Prince of Wales from 1988 to 1990 and the first CEO of British Trade International, subsequently UK Trade and Investment, from 1976 to 1980. He served as ambassador to South Korea from 1990 to 1994 and ambassador to Japan from 1996 to 1999. He also holds the honours of GCMG (Knight Grand Cross of the Order of St Michael and St George) and LVO (Lieutenant Royal Victorian Order Grand Cordon of the Rising Sun). Rezolve believes Sir David Wright is qualified to serve on the board because of his diverse diplomatic and financial experience.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Stephen Herbert.</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Mr. Herbert is expected to serve as a director on the board of directors of Rezolve. Prior to joining Rezolve, he served as Chief Executive Officer and Chairman of Armada since its inception in November 2020. Mr. Herbert was affiliated with USAT in various positions from April 1996 to October 2019, most recently as CEO from November 2011 until he left the company. From 1986 to April 1996, Mr. Herbert was employed by Pepsi-Cola, the beverage division of PepsiCo, Inc., in various capacities, most recently as Manager of Market Strategy where he was responsible for directing development of market strategy for the vending channel, and subsequently, the supermarket channel for Pepsi-Cola in North America. Mr. Herbert graduated with a Bachelor of Science degree from Louisiana State University. Rezolve believes Mr. Herbert is qualified to serve on the board because of his executive leadership at USAT, including his significant knowledge of and experience with its financial technology and payments business, his experience building and scaling high growth fintech companies, and his public board experience with Armada.</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Peter Vesco.</w:t>
      </w:r>
    </w:p>
    <w:p>
      <w:pPr>
        <w:spacing w:after="0" w:line="11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Mr. Vesco has served as the Chief Commercial Officer and General Manager (EMEA) of Rezolve since March 2020. Prior to joining Rezolve, he has held executive roles in numerous companies, including as CEO of ClickandBuy and SVP of Deutsche Telekom Payments (between 2011 and 2016) and President Hypercom EMEA (between 2009 and 2016). He also served on the Advisory Board of Mastercard Europe from 2012 to 2016. He holds a Masters degree in Philosophy and Theology from Goethe-Universität Frankfurt, a degree in Marketing and Product Management and a degree in business administration from the University of Huddersfield.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Richard Burchill.</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Mr. Burchill has served as the Chief Financial Officer of Rezolve since September 2021. Prior to serving as Chief Financial Officer of Rezolve, Mr. Burchill served as Group Finance Director with Rezolve. Prior to joining Rezolve, he was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81" w:name="page82"/>
    <w:bookmarkEnd w:id="81"/>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Treasurer at Arcadia Group Ltd from 1999 to 2021. From 2014 to 2021, he served as a director of the main operating board of Arcadia Group Ltd. He also served as director of card services at Arcadia Group Ltd from 2006 to 2021. He holds a degree in Accounting and Finance from Middlesex University and is a member of the Chartered Institute of Management Accountants.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Sauvik Banerjjee.</w:t>
      </w:r>
    </w:p>
    <w:p>
      <w:pPr>
        <w:spacing w:after="0" w:line="11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Mr. Banerjjee has served as the CEO Products, Technology, and Digital Services of Rezolve since August 2022. Prior to serving as the Chief Executive Officer of Products, Technology, and Digital Services of Rezolve, Mr. Banerjee was the Chief Technology Officer and founding team member at Tata Digital and Tata Neu- The Super App. He was also the founding Chief Technology Officer of TataCli0. Prior to that, he held various management positions, including positions at SAP, Accenture and Infosys. He completed research on Natural Language Processing and Physical Robotics at the University of Sunderland and the University of Durham, and he holds a Master’s Degree in Economics and Financial Computing from the University of Calcutta.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Salman Ahmad.</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Dr. Ahmad has served as the Chief Technology Officer of Rezolve since October 2017. Prior to joining Rezolve, he was the CTO and co-founder of Kenja Corp, an enterprise workflow platform, from 2011 to 2017. Prior to that, he was Engineering Director at Picsel Technologies from 2006 to 2011. Salman earned a First-Class Honours degree in computer science and a doctorate in 3D graphics and AI from Loughborough University.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right="40" w:firstLine="576"/>
        <w:spacing w:after="0" w:line="282" w:lineRule="auto"/>
        <w:rPr>
          <w:sz w:val="20"/>
          <w:szCs w:val="20"/>
          <w:color w:val="auto"/>
        </w:rPr>
      </w:pPr>
      <w:r>
        <w:rPr>
          <w:rFonts w:ascii="Times New Roman" w:cs="Times New Roman" w:eastAsia="Times New Roman" w:hAnsi="Times New Roman"/>
          <w:sz w:val="18"/>
          <w:szCs w:val="18"/>
          <w:color w:val="auto"/>
        </w:rPr>
        <w:t>Except for Daniel Wagner, CEO and director, being the son of John Wagner, a non-executive director on the board of directors, there are no family relationships between any of the executive officers and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 Exemption</w:t>
      </w:r>
    </w:p>
    <w:p>
      <w:pPr>
        <w:spacing w:after="0" w:line="121"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We are a “foreign private issuer,” as defined by the SEC. As a result, in accordance with Nasdaq rules, we will comply with home country governance requirements and certain exemptions thereunder rather than complying with Nasdaq corporate governance standards. While we expect to voluntarily follow most Nasdaq corporate governance rules, we may choose to take advantage of certain limited exemptions, such as:</w:t>
      </w:r>
    </w:p>
    <w:p>
      <w:pPr>
        <w:spacing w:after="0" w:line="68" w:lineRule="exact"/>
        <w:rPr>
          <w:sz w:val="20"/>
          <w:szCs w:val="20"/>
          <w:color w:val="auto"/>
        </w:rPr>
      </w:pPr>
    </w:p>
    <w:p>
      <w:pPr>
        <w:ind w:left="1020" w:right="200" w:hanging="503"/>
        <w:spacing w:after="0" w:line="282" w:lineRule="auto"/>
        <w:tabs>
          <w:tab w:leader="none" w:pos="102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filing quarterly reports on Form 10-Q containing unaudited financial and other specified information or current reports on Form 8-K upon the occurrence of specified significant events;</w:t>
      </w:r>
    </w:p>
    <w:p>
      <w:pPr>
        <w:spacing w:after="0" w:line="53" w:lineRule="exact"/>
        <w:rPr>
          <w:rFonts w:ascii="Times New Roman" w:cs="Times New Roman" w:eastAsia="Times New Roman" w:hAnsi="Times New Roman"/>
          <w:sz w:val="18"/>
          <w:szCs w:val="18"/>
          <w:i w:val="1"/>
          <w:iCs w:val="1"/>
          <w:color w:val="auto"/>
        </w:rPr>
      </w:pPr>
    </w:p>
    <w:p>
      <w:pPr>
        <w:ind w:left="1020" w:right="200" w:hanging="503"/>
        <w:spacing w:after="0" w:line="282" w:lineRule="auto"/>
        <w:tabs>
          <w:tab w:leader="none" w:pos="102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Section 16 under the Exchange Act, which requires insiders to file public reports of their securities ownership and trading activities and provides for liability for insiders who profit from trades in a short period of time;</w:t>
      </w:r>
    </w:p>
    <w:p>
      <w:pPr>
        <w:spacing w:after="0" w:line="53" w:lineRule="exact"/>
        <w:rPr>
          <w:rFonts w:ascii="Times New Roman" w:cs="Times New Roman" w:eastAsia="Times New Roman" w:hAnsi="Times New Roman"/>
          <w:sz w:val="18"/>
          <w:szCs w:val="18"/>
          <w:i w:val="1"/>
          <w:iCs w:val="1"/>
          <w:color w:val="auto"/>
        </w:rPr>
      </w:pPr>
    </w:p>
    <w:p>
      <w:pPr>
        <w:ind w:left="1020" w:right="60" w:hanging="503"/>
        <w:spacing w:after="0" w:line="282" w:lineRule="auto"/>
        <w:tabs>
          <w:tab w:leader="none" w:pos="102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Nasdaq rules applicable to domestic issuers requiring disclosure within four business days of any determination to grant a waiver of the code of business conduct and ethics to directors and officers;</w:t>
      </w:r>
    </w:p>
    <w:p>
      <w:pPr>
        <w:spacing w:after="0" w:line="53" w:lineRule="exact"/>
        <w:rPr>
          <w:rFonts w:ascii="Times New Roman" w:cs="Times New Roman" w:eastAsia="Times New Roman" w:hAnsi="Times New Roman"/>
          <w:sz w:val="18"/>
          <w:szCs w:val="18"/>
          <w:i w:val="1"/>
          <w:iCs w:val="1"/>
          <w:color w:val="auto"/>
        </w:rPr>
      </w:pPr>
    </w:p>
    <w:p>
      <w:pPr>
        <w:ind w:left="1020" w:right="220" w:hanging="503"/>
        <w:spacing w:after="0" w:line="282" w:lineRule="auto"/>
        <w:tabs>
          <w:tab w:leader="none" w:pos="102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requirement to obtain shareholder approval for certain issuances of securities, including shareholder approval of share option plans;</w:t>
      </w:r>
    </w:p>
    <w:p>
      <w:pPr>
        <w:spacing w:after="0" w:line="53" w:lineRule="exact"/>
        <w:rPr>
          <w:rFonts w:ascii="Times New Roman" w:cs="Times New Roman" w:eastAsia="Times New Roman" w:hAnsi="Times New Roman"/>
          <w:sz w:val="18"/>
          <w:szCs w:val="18"/>
          <w:i w:val="1"/>
          <w:iCs w:val="1"/>
          <w:color w:val="auto"/>
        </w:rPr>
      </w:pPr>
    </w:p>
    <w:p>
      <w:pPr>
        <w:ind w:left="1020" w:right="280" w:hanging="503"/>
        <w:spacing w:after="0" w:line="282" w:lineRule="auto"/>
        <w:tabs>
          <w:tab w:leader="none" w:pos="102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requirement that our board have a compensation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i w:val="1"/>
          <w:iCs w:val="1"/>
          <w:color w:val="auto"/>
        </w:rPr>
      </w:pPr>
    </w:p>
    <w:p>
      <w:pPr>
        <w:ind w:left="1020" w:right="140" w:hanging="503"/>
        <w:spacing w:after="0" w:line="261" w:lineRule="auto"/>
        <w:tabs>
          <w:tab w:leader="none" w:pos="102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requirements that director nominees are selected, or recommended for selection by our board, either by (i) independent directors constituting a majority of our board’s independent directors in a vote in which only independent directors participate, or (ii) a committee comprised solely of independent directors, and that a formal written charter or board resolution, as applicable, addressing the nominations process is adopted.</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intend to comply with the Nasdaq corporate governance rules applicable to foreign private issuers, which means that we are permitted to follow certain corporate governance rules that conform to U.K. requirements in lieu of many of the Nasdaq corporate governance rules. Accordingly, our shareholders will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Controlled Company Exemption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Daniel Wagner, the Rezolve Founder and Chief Executive Officer controls 75% of the voting power of our outstanding capital stock. As a result, we are a “controlled company” within the meaning of the Nasdaq listing standards. Under these rules, a company of which more than 50% of the voting power is held by an individual, group or another company is a “controlled company” and may elect not to comply with certain corporate governance requirements, including:</w:t>
      </w:r>
    </w:p>
    <w:p>
      <w:pPr>
        <w:spacing w:after="0" w:line="72"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that a majority of the board of directors consist of independent directors;</w:t>
      </w:r>
    </w:p>
    <w:p>
      <w:pPr>
        <w:spacing w:after="0" w:line="117" w:lineRule="exact"/>
        <w:rPr>
          <w:rFonts w:ascii="Times New Roman" w:cs="Times New Roman" w:eastAsia="Times New Roman" w:hAnsi="Times New Roman"/>
          <w:sz w:val="18"/>
          <w:szCs w:val="18"/>
          <w:i w:val="1"/>
          <w:iCs w:val="1"/>
          <w:color w:val="auto"/>
        </w:rPr>
      </w:pPr>
    </w:p>
    <w:p>
      <w:pPr>
        <w:ind w:left="1020" w:right="100" w:hanging="503"/>
        <w:spacing w:after="0" w:line="282" w:lineRule="auto"/>
        <w:tabs>
          <w:tab w:leader="none" w:pos="102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with a written charter addressing the committee’s purpose and responsibilities;</w:t>
      </w:r>
    </w:p>
    <w:p>
      <w:pPr>
        <w:spacing w:after="0" w:line="53" w:lineRule="exact"/>
        <w:rPr>
          <w:rFonts w:ascii="Times New Roman" w:cs="Times New Roman" w:eastAsia="Times New Roman" w:hAnsi="Times New Roman"/>
          <w:sz w:val="18"/>
          <w:szCs w:val="18"/>
          <w:i w:val="1"/>
          <w:iCs w:val="1"/>
          <w:color w:val="auto"/>
        </w:rPr>
      </w:pPr>
    </w:p>
    <w:p>
      <w:pPr>
        <w:ind w:left="1020" w:right="300" w:hanging="503"/>
        <w:spacing w:after="0" w:line="282" w:lineRule="auto"/>
        <w:tabs>
          <w:tab w:leader="none" w:pos="102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that we have a nominating and corporate governance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for an annual performance evaluation of the nominating and corporate governance and compensation committees.</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the event that we cease to be a “controlled company” and our shares continue to be listed on the Nasdaq, we will be required to comply with these provisions within the applicable transition periods.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are a “foreign private issuer,” under the securities laws of the U.S. and the rules of Nasdaq. Under the applicable securities laws of the U.S., “foreign private issuers” are subject to different disclosure requirements than U.S. domiciled issuers. Under Nasdaq’s rules, a “foreign private issuer” is subject to less stringent corporate governance and compliance requirements and subject to certain exceptions, Nasdaq permits a “foreign private issuer” to follow its home country’s practice in lieu of the listing requirementsof Nasdaq. Accordingly, our shareholders may not receive the same protections afforded to shareholders of companies that are subject to all of Nasdaq’s corporate governance requirements.</w:t>
      </w:r>
    </w:p>
    <w:p>
      <w:pPr>
        <w:spacing w:after="0" w:line="183"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addition, we are an “emerging growth company” as defined in the JOBS Act and have elected to comply with certain reduced public company reporting requirements.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121" w:lineRule="exact"/>
        <w:rPr>
          <w:sz w:val="20"/>
          <w:szCs w:val="20"/>
          <w:color w:val="auto"/>
        </w:rPr>
      </w:pPr>
    </w:p>
    <w:p>
      <w:pPr>
        <w:ind w:right="100" w:firstLine="576"/>
        <w:spacing w:after="0" w:line="256" w:lineRule="auto"/>
        <w:rPr>
          <w:sz w:val="20"/>
          <w:szCs w:val="20"/>
          <w:color w:val="auto"/>
        </w:rPr>
      </w:pPr>
      <w:r>
        <w:rPr>
          <w:rFonts w:ascii="Times New Roman" w:cs="Times New Roman" w:eastAsia="Times New Roman" w:hAnsi="Times New Roman"/>
          <w:sz w:val="18"/>
          <w:szCs w:val="18"/>
          <w:color w:val="auto"/>
        </w:rPr>
        <w:t>As a result of the Ordinary Shares and Public Warrants being listed on Nasdaq, we adhere to the rules of Nasdaq in determining whether a director is independent. Our board of directors has consulted, and will consult, with its counsel to ensure that our board of directors’ determinations are consistent with those rules and all relevant securities and other laws and regulations regarding the independence of directors. Nasdaq listing standards define an “independent director” as a person, other than an executive officer of a company or any other individual having a relationship which, in the opinion of the Rezolve Board, would interfere with the exercise of independent judgment in carrying out the responsibilities of a director. Our board of directors has determined that each of our directors, except for Daniel Wagner, John Wagner and Stephen Herbert, is independent.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a result of the Ordinary Shares and Public Warrants being listed on Nasdaq, we adhere to the rules of Nasdaq in determining whether a director is independent. Our board of directors has consulted, and will consult, with its counsel to ensure that our board of directors’ determinations are consistent with those rules and all relevant securities and other laws and regulations regarding the independence of directors. Nasdaq listing standards define an “independent director” as a person, other than an executive officer of a company or any other individual having a relationship which, in the opinion of the Rezolve Board, would interfere with the exercise of independent judgment in carrying out the responsibilities of a director. Our board of directors has determined that each of our directors, except for Daniel Wagner, John Wagner and Stephen Herbert, is independent.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Board of Directors Composition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is comprised of eight directors (provided that Daniel Wagner has the right to appoint an additional director to the Board from time to time), five of whom qualify as independent directors as defined in the Nasdaq listing requirements. Daniel Wagner serves as the Chairman of the board of directors and Anthony Sharp serves as deputy Chairman.</w:t>
      </w:r>
    </w:p>
    <w:p>
      <w:pPr>
        <w:spacing w:after="0" w:line="17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Directors may be appointed and removed by an ordinary resolution of the shareholders. In addition, directors may be appointed either to fill a vacancy arising from the resignation of a former director or as an addition to the existing board by the affirmative vote of a simple majority of the directors present and voting at a board meeting. A director may be removed by a resolution passed by all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83" w:name="page84"/>
    <w:bookmarkEnd w:id="83"/>
    <w:p>
      <w:pPr>
        <w:ind w:right="60"/>
        <w:spacing w:after="0" w:line="282" w:lineRule="auto"/>
        <w:rPr>
          <w:sz w:val="20"/>
          <w:szCs w:val="20"/>
          <w:color w:val="auto"/>
        </w:rPr>
      </w:pPr>
      <w:r>
        <w:rPr>
          <w:rFonts w:ascii="Times New Roman" w:cs="Times New Roman" w:eastAsia="Times New Roman" w:hAnsi="Times New Roman"/>
          <w:sz w:val="18"/>
          <w:szCs w:val="18"/>
          <w:color w:val="auto"/>
        </w:rPr>
        <w:t>the other directors at a meeting of the directors, or by written notice from all of the other directors. Each of our directors holds office until he or she resigns or is vacated from office. There will be a three-year rotation pattern.</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board is divided into three classes serving staggered three year terms. Upon expiration of the term of a class of directors, directors in that class will be eligible to be elected for a new three-year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Mr. Stephen Herbert is a Class I director and will serve until our annual meeting in 2025. Messrs. Anthony Sharp, Sir David Wright, Stephen Perry and Derek Smith, are Class II directors and will serve until our annual meeting in 2026. Messrs. Dan Wagner and John Wagner are Class III directors and will serve until our annual meeting in 2027.</w:t>
      </w:r>
    </w:p>
    <w:p>
      <w:pPr>
        <w:spacing w:after="0" w:line="187"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Anthony Sharp, Sir David Wright, Stephen Perry and Derek Smith would satisfy the general independence requirements under SEC and Nasdaq rules. Audit committee members must also satisfy the independence criteria set forth in Rule 10A-3 under the Exchange Act and the listing requirements of the Nasdaq.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Rezolve Board of Directors in Risk Oversight</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Our board of directors does not have a standing risk management committee but our board of directors oversees risk management, and the various standing committees of the board of directors addresses risks inherent in their respective areas of oversight. In particular, the board of directors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also monitors compliance with legal and regulatory requirements. Our remuneration committee also assess and monitor whether our compensation plans, policies and programs comply with applicable legal and regulatory requirements.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Rezolve Board of Directors</w:t>
      </w:r>
    </w:p>
    <w:p>
      <w:pPr>
        <w:spacing w:after="0" w:line="117" w:lineRule="exact"/>
        <w:rPr>
          <w:sz w:val="20"/>
          <w:szCs w:val="20"/>
          <w:color w:val="auto"/>
        </w:rPr>
      </w:pPr>
    </w:p>
    <w:p>
      <w:pPr>
        <w:ind w:right="160" w:firstLine="509"/>
        <w:spacing w:after="0" w:line="262" w:lineRule="auto"/>
        <w:rPr>
          <w:sz w:val="20"/>
          <w:szCs w:val="20"/>
          <w:color w:val="auto"/>
        </w:rPr>
      </w:pPr>
      <w:r>
        <w:rPr>
          <w:rFonts w:ascii="Times New Roman" w:cs="Times New Roman" w:eastAsia="Times New Roman" w:hAnsi="Times New Roman"/>
          <w:sz w:val="18"/>
          <w:szCs w:val="18"/>
          <w:color w:val="auto"/>
        </w:rPr>
        <w:t>Following the Closing, the board of directors established three standing committees: (i) an audit committee (the "</w:t>
      </w: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(ii) a remuneration committee (the "</w:t>
      </w:r>
      <w:r>
        <w:rPr>
          <w:rFonts w:ascii="Times New Roman" w:cs="Times New Roman" w:eastAsia="Times New Roman" w:hAnsi="Times New Roman"/>
          <w:sz w:val="18"/>
          <w:szCs w:val="18"/>
          <w:b w:val="1"/>
          <w:bCs w:val="1"/>
          <w:i w:val="1"/>
          <w:iCs w:val="1"/>
          <w:color w:val="auto"/>
        </w:rPr>
        <w:t>Remuneration Committee</w:t>
      </w:r>
      <w:r>
        <w:rPr>
          <w:rFonts w:ascii="Times New Roman" w:cs="Times New Roman" w:eastAsia="Times New Roman" w:hAnsi="Times New Roman"/>
          <w:sz w:val="18"/>
          <w:szCs w:val="18"/>
          <w:color w:val="auto"/>
        </w:rPr>
        <w:t>"), and (iii) a nominating and corporate governance committee (the "</w:t>
      </w:r>
      <w:r>
        <w:rPr>
          <w:rFonts w:ascii="Times New Roman" w:cs="Times New Roman" w:eastAsia="Times New Roman" w:hAnsi="Times New Roman"/>
          <w:sz w:val="18"/>
          <w:szCs w:val="18"/>
          <w:b w:val="1"/>
          <w:bCs w:val="1"/>
          <w:i w:val="1"/>
          <w:iCs w:val="1"/>
          <w:color w:val="auto"/>
        </w:rPr>
        <w:t>Nominating and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Governance Committee</w:t>
      </w:r>
      <w:r>
        <w:rPr>
          <w:rFonts w:ascii="Times New Roman" w:cs="Times New Roman" w:eastAsia="Times New Roman" w:hAnsi="Times New Roman"/>
          <w:sz w:val="18"/>
          <w:szCs w:val="18"/>
          <w:color w:val="auto"/>
        </w:rPr>
        <w:t>"). In addition, from time to time, special committees may be established under the direction of our board of directors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necessary to address specific issues.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Audit Committee is responsible for, among other things:</w:t>
      </w:r>
    </w:p>
    <w:p>
      <w:pPr>
        <w:spacing w:after="0" w:line="117" w:lineRule="exact"/>
        <w:rPr>
          <w:sz w:val="20"/>
          <w:szCs w:val="20"/>
          <w:color w:val="auto"/>
        </w:rPr>
      </w:pPr>
    </w:p>
    <w:p>
      <w:pPr>
        <w:ind w:left="520" w:right="66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our independent registered accounting firm regarding, among other issues, audits, and adequacy of our accounting and control systems;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w:t>
      </w:r>
    </w:p>
    <w:p>
      <w:pPr>
        <w:spacing w:after="0" w:line="11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registered public accounting firm;</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84" w:name="page85"/>
    <w:bookmarkEnd w:id="84"/>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Audit Committee consists of Anthony Sharp, Derek Smith and Sir David Wright, with Sir David Wright serving as the chair of the committee. Each of the directors who serves on the audit committee qualifies as an independent director according to the applicable rules and regulations of the SEC and Nasdaq with respect to audit committee membership. In addition, all of the audit committee members meet the requirements for financial literacy under applicable SEC and Nasdaq rules and at least one of the audit committee members will qualify as an “audit committee financial expert,” as such term is defined in Item 407(d) of Regulation S-K. Our board of directors has adopted written terms of reference for the Audit Committee, which are available on our website.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Remuneration Committee is responsible for, among other things:</w:t>
      </w:r>
    </w:p>
    <w:p>
      <w:pPr>
        <w:spacing w:after="0" w:line="117" w:lineRule="exact"/>
        <w:rPr>
          <w:sz w:val="20"/>
          <w:szCs w:val="20"/>
          <w:color w:val="auto"/>
        </w:rPr>
      </w:pPr>
    </w:p>
    <w:p>
      <w:pPr>
        <w:ind w:left="1020" w:right="120" w:hanging="503"/>
        <w:spacing w:after="0" w:line="266"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executive officers;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any disclosure requirements;</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officers and employees;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overseeing any compensation consultants.</w:t>
      </w:r>
    </w:p>
    <w:p>
      <w:pPr>
        <w:spacing w:after="0" w:line="225"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Our Remuneration Committee consists of Anthony Sharp and Steve Perry, with Steve Perry serving as the chair of the committee. Our board of directors has adopted a written terms of reference for the Remuneration Committee, which is available on our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Nominating and Corporate Governance Committee is responsible for, among other things:</w:t>
      </w:r>
    </w:p>
    <w:p>
      <w:pPr>
        <w:spacing w:after="0" w:line="117" w:lineRule="exact"/>
        <w:rPr>
          <w:sz w:val="20"/>
          <w:szCs w:val="20"/>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of the committees of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our board leadership 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management succession planning;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corporate governance principles.</w:t>
      </w:r>
    </w:p>
    <w:p>
      <w:pPr>
        <w:spacing w:after="0" w:line="22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Daniel Wagner, Sir David Wright and Derek Smith, with Derek Smith serving as the chair of the committee. Our board of directors has adopted a written terms of reference for the Nominating and Corporate Governance Committee, which is available on our website.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180" w:firstLine="576"/>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Code of Ethics applicable to our directors, executive officers and team members that complies with the rules and regulations of the SEC and Nasdaq. The Code of Ethics is available on our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English law limits in certain respects the extent to which a company’s memorandum and articles of association may provide for indemnification of officers and directors. Accordingly a provision will be void if it provides an indemnity against (i) any liability of the director to pay a fine imposed in criminal proceedings, or a sum payable to a regulatory authority as a penalty for non-compliance with a regulatory requirement or (ii) liability incurred by the director in defending criminal proceedings in which he is convicted, in defending civil proceedings brought by the company in which judgement is given against him or in connection with an application for relief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85" w:name="page86"/>
    <w:bookmarkEnd w:id="85"/>
    <w:p>
      <w:pPr>
        <w:jc w:val="both"/>
        <w:spacing w:after="0" w:line="255" w:lineRule="auto"/>
        <w:rPr>
          <w:sz w:val="20"/>
          <w:szCs w:val="20"/>
          <w:color w:val="auto"/>
        </w:rPr>
      </w:pPr>
      <w:r>
        <w:rPr>
          <w:rFonts w:ascii="Times New Roman" w:cs="Times New Roman" w:eastAsia="Times New Roman" w:hAnsi="Times New Roman"/>
          <w:sz w:val="18"/>
          <w:szCs w:val="18"/>
          <w:color w:val="auto"/>
        </w:rPr>
        <w:t>which the court refuses to grant him relief. Our amended and restated memorandum and articles of association provides for indemnification of our officers and directors to the maximum extent permitted by law, including for any liability incurred in their capacities as such, except through their own actual fraud, willful default or willful neglect. In addition, we have entered into indemnification agreements with each of our executive officers and directors. The indemnification agreements provide the indemnitees with contractual rights to indemnification, and expense advancement and reimbursement, to the fullest extent permitted under English law, subject to certain exceptions contained in those agreements. We have also purchased a policy of directors’ and officers’ liability insurance effective upon completion of the Business Combination that insures our officers and directors against the cost of defense, settlement or payment of a judgment in some circumstances and insures us against our obligations to indemnify our officers and directors.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These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Rezolve and its shareholders. Furthermore, a shareholder’s investment may be adversely affected to the extent we pay the costs of settlement and damage awards against its officers and directors pursuant to these indemnification provisions.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the insurance and the indemnity agreements are necessary to attract and retain talented and experienced officers and directors.</w:t>
      </w:r>
    </w:p>
    <w:p>
      <w:pPr>
        <w:spacing w:after="0" w:line="16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For further details on the indemnity provisions referred to in our articles of association, see the section entitled “</w:t>
      </w:r>
      <w:r>
        <w:rPr>
          <w:rFonts w:ascii="Times New Roman" w:cs="Times New Roman" w:eastAsia="Times New Roman" w:hAnsi="Times New Roman"/>
          <w:sz w:val="18"/>
          <w:szCs w:val="18"/>
          <w:i w:val="1"/>
          <w:iCs w:val="1"/>
          <w:color w:val="auto"/>
        </w:rPr>
        <w:t>Description of Ordinary Shares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Articles of Association</w:t>
      </w:r>
      <w:r>
        <w:rPr>
          <w:rFonts w:ascii="Times New Roman" w:cs="Times New Roman" w:eastAsia="Times New Roman" w:hAnsi="Times New Roman"/>
          <w:sz w:val="18"/>
          <w:szCs w:val="18"/>
          <w:color w:val="auto"/>
        </w:rPr>
        <w:t>” of this prospectus, and for a summary of the indemnification agreement, see the section entitled “</w:t>
      </w:r>
      <w:r>
        <w:rPr>
          <w:rFonts w:ascii="Times New Roman" w:cs="Times New Roman" w:eastAsia="Times New Roman" w:hAnsi="Times New Roman"/>
          <w:sz w:val="18"/>
          <w:szCs w:val="18"/>
          <w:i w:val="1"/>
          <w:iCs w:val="1"/>
          <w:color w:val="auto"/>
        </w:rPr>
        <w:t>Indemnification Agreements with Officers and Directors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Executive Officer and Director Compensation</w:t>
      </w:r>
    </w:p>
    <w:p>
      <w:pPr>
        <w:spacing w:after="0" w:line="33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aggregate cash compensation paid by Rezolve and its subsidiaries to its executive officers and directors for the year ended December 31, 2024 was $2,164,680.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Executive Officer and Director Compensation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aggregate cash compensation paid by Rezolve and its subsidiaries to its executive officers and directors for the year ended December 31, 2024 was $2,164,680.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Rezolve’s policies with respect to the compensation of its executive officers will be administered by its board of directors in consultation with the remuneration committee. The compensation decisions regarding Rezolve’s executives will be based on the need to attract individuals with the skills necessary for the company to achieve its business plan, to reward those individuals fairly over time, and to retain those individuals who continue to perform at or above the company’s expectations. To that end, following completion of the Business Combination, Rezolve intends to establish an executive compensation program that is competitive with other similarly-situated companies in its industry. This is expected to include establishment of base salary, cash annual bonus and long-term equity compensation awards that are, in each case, consistent with market practices and designed to incentivize, motivate and retain key employees.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Daniel Wagner</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Daniel Wagner is currently engaged as Rezolve’s Chief Executive Officer under a service agreement entered into on April 1, 2016. He is entitled to a base salary of £600,000 per annum. In addition to his base salary, he is entitled to participate in a bonus scheme, which may be paid from time to time at the discretion of the remuneration committee.</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agreement may be terminated by either party on one year’s written notice or, immediately by us, in the event of default, which includes, but is not limited to circumstances in which, Mr. Wagner is disqualified from acting as a director, convicted of a criminal offence, declared bankrupt, found guilty of fraud or conducting gross misconduct. In the event of early termination not caused by an event of default, we may exercise our discretion to make a payment in lieu of notice to Mr. Wagner. The agreement includes certain restrictive covenants, and, upon termination, Mr. Wagner is restricted from becoming involved, directly or indirectly, with any business which is similar to or competitive with Rezolve, for a period of six months.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Richard Burchill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6" w:name="page87"/>
    <w:bookmarkEnd w:id="86"/>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Richard Burchill entered into a service agreement on September 6, 2021 with a commencement date of September 13, 2021. He is entitled to an initial salary of £220,000 per annum. In addition, Richard has been granted 979,186 options over Ordinary Shares exercisable at nominal value per share (the number of shares to be adjusted as a result of the Company Reorganization) which are exercisable on listing of the Company or three years from the date of execution of the agreement, whichever is the earlier.</w:t>
      </w:r>
    </w:p>
    <w:p>
      <w:pPr>
        <w:spacing w:after="0" w:line="180"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During the first three months of the agreement, it could be terminated on one months’ notice. After the first three months, the agreement may be terminated by either party providing not less than three month’s written notice to the other party. The agreement can be terminated for cause by the Company with immediate effect for reasons including, but not limited to, if Mr. Burchill (i) is in breach of the Company’s corruption, bribery or related policies, (ii) is guilty of any gross misconduct affecting the business of Rezolve, (iii) commits any serious or repeated breach, (iv) is negligent and incompetent, (v) is declared bankrupt, (vi) is convicted of any criminal offence or any insider dealing offence, (vii) ceases to be eligible to work in England, (viii) is guilty of fraud or dishonesty, (ix) is guilty of a serious breach of any rules issued by the Company regarding its electronic communications systems, or (x) is unable by reason of incapacity to perform his duties for 26 weeks in a 52 week period. The agreement contains various restrictive covenants for a period of three or four months after termination, depending on the restriction in question.</w:t>
      </w:r>
    </w:p>
    <w:p>
      <w:pPr>
        <w:spacing w:after="0" w:line="29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Non-executive Director Letters of Appointment (John Wagner, Anthony Sharp, Sir David Wright, Derek Smith, Stephen Perry, and Stephen Herbert)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(John Wagner, Anthony Sharp, Sir David Wright, Derek Smith, and Stephen Perry)</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Rezolve has entered into letters of appointment with the above named non-executive directors which provides each director with cash compensation of £75,000 per annum for service on our board of directors. The appointment of Rezolve’s non-executive directors is for an initial period of three years and can be terminated thereafter by either Rezolve or the director upon three calendar months’ written notice.</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Under the non-executive director appointment letters, Rezolve may also terminate each appointment with immediate effect and without notice including when the non-executive director is disqualified from acting as a director; is not re-elected as a director when the director submits himself or herself for re-election; vacates their office under Rezolve’s Articles; commits a material breach of his or her obligations under the letter of appointment and it is not remedied within 14 days of Rezolve specifying the breach and requiring its remedy; has been guilty of any fraud or dishonesty or acts in any manner which, in Rezolve’s opinion, brings or is likely to bring Rezolve into disrepute or is materially adverse to Rezolve’s interests.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(Stephen Herbert)</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Rezolve has entered into letters of appointment with the above named non-executive director on the same terms as set out above with the exception of the term of appointment and compensation, which will be for a period of one year with no cash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87" w:name="page88"/>
    <w:bookmarkEnd w:id="87"/>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At the Closing, the Company entered into that certain Investor Rights Agreement with certain directors and officers and certain other parties identified therein (such persons, the “Holders”) (the “Investor Rights Agreement”). Pursuant to the terms of the Investor Rights Agreement, the Holders are entitled to certain piggyback registration rights and customary demand registration rights. The Investor Rights Agreement provides that the Company will, as soon as practicable, and in any event within 21 days after August 16, 2024, file with the SEC a shelf registration statement. The Company will use its commercially reasonable efforts to have such shelf registration statement declared effective as soon as practicable after the filing thereof, but no later than the 45th day (or the 5th day business after the Securities and Exchange Commission (the “SEC”) notifies the Company that it will “review” such shelf registration statement) following the filing deadline, in each case subject to the terms and conditions set forth therein; and the Company will not be subject to any form of monetary penalty for its failure to do so.</w:t>
      </w:r>
    </w:p>
    <w:p>
      <w:pPr>
        <w:spacing w:after="0" w:line="19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Pursuant to the Investor Rights Agreement, subject to certain exceptions, the Holders agreed to not transfer or make any announcement of any intention to effect a transfer, in respect of the shares beneficially owned or otherwise held by the Holders prior to the termination of the applicable lock-up period, subject to certain customary exceptions, including: (i) transfers to permitted transferees upon written notice to the Company, such as a member of the person’s immediate family or to a trust, the beneficiary of which is a member of the person’s immediate family or an affiliate of such person; (ii) to a charitable organization upon written notice to the Company, by the laws of descent and distribution upon death, or pursuant to a qualified domestic relations order; and (iii) pursuant to any liquidation, merger, stock exchange or other similar transaction which results in all of the Company’s stockholders having the right to exchange Ordinary Shares for cash, securities, or other property.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Lock-In Agreements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At the Closing, the Company entered into separate Lock-In Agreements (the“Lock-In Agreements) with certain holders of the Company (such persons, the “Rezolve Holders”), pursuant to which the Ordinary Shares held by the Rezolve Holders will be locked-up and subject to transfer restrictions for 180 days following the Closing, subject to certain customary exceptions, including: (i) transfers to permitted transferees upon written notice to the Company, such as a member of the person’s immediate family or to a trust, the beneficiary of which is a member of the person’s immediate family or an affiliate of such person; (ii) to a charitable organization upon written notice to the Company, by the laws of descent and distribution upon death, or pursuant to a qualified domestic relations order; and (iii) pursuant to any liquidation, merger, stock exchange or other similar transaction which results in all of the Company’s stockholders having the right to exchange their Ordinary Shares for cash, securities, or other property.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Bluedot Acquisition</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February 4, 2025, the Company entered into the Bluedot Purchase Agreement, by and between the Company and DBLP Sea Cow Limited (a company incorporated in the Seychelles) (“DBLP”), pursuant to which the Company agreed to purchase, and DBLP agreed to sell, the entire issued and to be issued share capital of Bluedot.</w:t>
      </w:r>
    </w:p>
    <w:p>
      <w:pPr>
        <w:spacing w:after="0" w:line="176" w:lineRule="exact"/>
        <w:rPr>
          <w:sz w:val="20"/>
          <w:szCs w:val="20"/>
          <w:color w:val="auto"/>
        </w:rPr>
      </w:pPr>
    </w:p>
    <w:p>
      <w:pPr>
        <w:ind w:right="360" w:firstLine="554"/>
        <w:spacing w:after="0" w:line="282" w:lineRule="auto"/>
        <w:rPr>
          <w:sz w:val="20"/>
          <w:szCs w:val="20"/>
          <w:color w:val="auto"/>
        </w:rPr>
      </w:pPr>
      <w:r>
        <w:rPr>
          <w:rFonts w:ascii="Times New Roman" w:cs="Times New Roman" w:eastAsia="Times New Roman" w:hAnsi="Times New Roman"/>
          <w:sz w:val="18"/>
          <w:szCs w:val="18"/>
          <w:color w:val="auto"/>
        </w:rPr>
        <w:t>On February 20, 2025, Rezolve closed the Bluedot Acquisition. As consideration for the Bluedot Acquisition, Rezolve issued 819,737 ordinary shares of the Company in a private placement to DBLP.</w:t>
      </w:r>
    </w:p>
    <w:p>
      <w:pPr>
        <w:spacing w:after="0" w:line="16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and beneficially owned by John Wagner. Both Daniel Wagner and John Wagner are directors of DBLP.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Daniel Wagner</w:t>
      </w:r>
    </w:p>
    <w:p>
      <w:pPr>
        <w:spacing w:after="0" w:line="11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have debt outstanding to Daniel Wagner and DBLP Sea Cow Limited (a company incorporated in the Seychelles) (“</w:t>
      </w:r>
      <w:r>
        <w:rPr>
          <w:rFonts w:ascii="Times New Roman" w:cs="Times New Roman" w:eastAsia="Times New Roman" w:hAnsi="Times New Roman"/>
          <w:sz w:val="18"/>
          <w:szCs w:val="18"/>
          <w:i w:val="1"/>
          <w:iCs w:val="1"/>
          <w:color w:val="auto"/>
        </w:rPr>
        <w:t>DBLP</w:t>
      </w:r>
      <w:r>
        <w:rPr>
          <w:rFonts w:ascii="Times New Roman" w:cs="Times New Roman" w:eastAsia="Times New Roman" w:hAnsi="Times New Roman"/>
          <w:sz w:val="18"/>
          <w:szCs w:val="18"/>
          <w:color w:val="auto"/>
        </w:rPr>
        <w:t>”), which is wholly legally owned by Daniel Wagner and beneficially owned by John Wagner, in the amounts of $5,555,122 and $447,067, an aggregate of $6,002,189. The loans provided by DBLP were to provide liquidity to Rezolve. There are no formal loan documents in place and the loan is non-interest bearing and remains callable at any time. We expect the loan to be called and repaid in 2025.</w:t>
      </w:r>
    </w:p>
    <w:p>
      <w:pPr>
        <w:spacing w:after="0" w:line="18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Rezolve and DBLP entered into a rolling annual consultancy agreement dated November 1, 2016. Pursuant to the terms of the agreement, DBLP is to be paid between $20,000 and $50,000 each month of the agreement. The agreement is not limited in time but has a rolling minimum 12 calendar month period and shall continue for as long as Rezolve requires services from DBLP.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Other amounts due to related parties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2024, we have the $137,019 due to Arthur Yao and $17,433 due to Steve Perry. All of these outstanding amounts will be settled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 with Officers and Directors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 have entered into indemnification agreements with each of our directors and officers. The agreements provide the indemnitees with contractual rights to indemnification and expense advancement and reimbursement, to the fullest extent permitted under English law, subject to certain exceptions contained in those agreements. No indemnification, hold harmless or exoneration rights shall be available where the conduct of the indemnitee constitutes a breach of indemnitee’s fiduciary duties to the Company or its shareholders or is an act or omission not in good faith or which involves intentional misconduct or a knowing violation of the law.</w:t>
      </w:r>
    </w:p>
    <w:p>
      <w:pPr>
        <w:spacing w:after="0" w:line="183"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Rezolve has also purchased a policy of directors’ and officers’ liability insurance that insures Rezolve’s officers and directors against the cost of defense, settlement or payment of a judgment in some circumstances and insures Rezolve against its obligations to indemnify its officers and directors. Rezolve shall not be obligated under the indemnification agreements to make any indemnification, advance expenses, hold harmless or exoneration payment in connection with any claim made against the indemnitee for which payment has actually been received by or on behalf of the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Person Transactions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Rezolve board of directors has adopted a written related person transaction policy that sets forth the following policies and procedures for the review and approval or ratification of related person transactions. A “related person transaction” is a transaction, arrangement or relationship in which Rezolve or any of its subsidiaries was, is or will be a participant, the amount of which involved exceeds $120,000, and in which any related person had, has or will have a direct or indirect material interest. A “related person” means:</w:t>
      </w:r>
    </w:p>
    <w:p>
      <w:pPr>
        <w:spacing w:after="0" w:line="72"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Rezolve’s executive officers or directors;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Rezolve to be the beneficial owner of more than 5% of Rezolve voting shares;</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 in- law or sister-in-law of a director, executive officer or a beneficial owner of more than 5% of Rezolve’s voting shares, and any person (other than a tenant or employee) sharing the household of such director, executive officer or beneficial owner of more than 5% of Rezolve’s voting shares; and</w:t>
      </w:r>
    </w:p>
    <w:p>
      <w:pPr>
        <w:spacing w:after="0" w:line="71"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Rezolve has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89" w:name="page90"/>
    <w:bookmarkEnd w:id="89"/>
    <w:p>
      <w:pPr>
        <w:spacing w:after="0" w:line="21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Ordinary Shares as of April 21, 2025 by:</w:t>
      </w:r>
    </w:p>
    <w:p>
      <w:pPr>
        <w:spacing w:after="0" w:line="117" w:lineRule="exact"/>
        <w:rPr>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outstanding Ordinary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 The Company’s major shareholders do not have different voting rights from other holders of Ordinary Shares.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percentage of Ordinary Shares beneficially owned is computed on the basis of 243,671,374 Ordinary Shares outstanding.</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Ordinary Shares beneficially owned by them. To our knowledge, no Ordinary Shares beneficially owned by any executive officer, director or director nominee have been pledged as security.</w:t>
      </w:r>
    </w:p>
    <w:p>
      <w:pPr>
        <w:spacing w:after="0" w:line="97" w:lineRule="exact"/>
        <w:rPr>
          <w:sz w:val="20"/>
          <w:szCs w:val="20"/>
          <w:color w:val="auto"/>
        </w:rPr>
      </w:pPr>
    </w:p>
    <w:tbl>
      <w:tblPr>
        <w:tblLayout w:type="fixed"/>
        <w:tblInd w:w="580" w:type="dxa"/>
        <w:tblCellMar>
          <w:top w:w="0" w:type="dxa"/>
          <w:left w:w="0" w:type="dxa"/>
          <w:bottom w:w="0" w:type="dxa"/>
          <w:right w:w="0" w:type="dxa"/>
        </w:tblCellMar>
      </w:tblPr>
      <w:tr>
        <w:trPr>
          <w:trHeight w:val="218"/>
        </w:trPr>
        <w:tc>
          <w:tcPr>
            <w:tcW w:w="66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Name of Beneficial Owners</w:t>
            </w:r>
            <w:r>
              <w:rPr>
                <w:rFonts w:ascii="Times New Roman" w:cs="Times New Roman" w:eastAsia="Times New Roman" w:hAnsi="Times New Roman"/>
                <w:sz w:val="19"/>
                <w:szCs w:val="19"/>
                <w:b w:val="1"/>
                <w:bCs w:val="1"/>
                <w:i w:val="1"/>
                <w:iCs w:val="1"/>
                <w:color w:val="auto"/>
                <w:vertAlign w:val="superscript"/>
              </w:rPr>
              <w:t>(1)</w:t>
            </w:r>
          </w:p>
        </w:tc>
        <w:tc>
          <w:tcPr>
            <w:tcW w:w="120" w:type="dxa"/>
            <w:vAlign w:val="bottom"/>
          </w:tcPr>
          <w:p>
            <w:pPr>
              <w:spacing w:after="0"/>
              <w:rPr>
                <w:sz w:val="18"/>
                <w:szCs w:val="18"/>
                <w:color w:val="auto"/>
              </w:rPr>
            </w:pPr>
          </w:p>
        </w:tc>
        <w:tc>
          <w:tcPr>
            <w:tcW w:w="142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i w:val="1"/>
                <w:iCs w:val="1"/>
                <w:color w:val="auto"/>
              </w:rPr>
              <w:t>Number of Shares</w:t>
            </w:r>
          </w:p>
        </w:tc>
        <w:tc>
          <w:tcPr>
            <w:tcW w:w="460" w:type="dxa"/>
            <w:vAlign w:val="bottom"/>
          </w:tcPr>
          <w:p>
            <w:pPr>
              <w:spacing w:after="0"/>
              <w:rPr>
                <w:sz w:val="18"/>
                <w:szCs w:val="18"/>
                <w:color w:val="auto"/>
              </w:rPr>
            </w:pPr>
          </w:p>
        </w:tc>
        <w:tc>
          <w:tcPr>
            <w:tcW w:w="132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Directors and Executive Officers</w:t>
            </w:r>
          </w:p>
        </w:tc>
        <w:tc>
          <w:tcPr>
            <w:tcW w:w="12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(3)</w:t>
            </w:r>
            <w:r>
              <w:rPr>
                <w:rFonts w:ascii="Times New Roman" w:cs="Times New Roman" w:eastAsia="Times New Roman" w:hAnsi="Times New Roman"/>
                <w:sz w:val="24"/>
                <w:szCs w:val="24"/>
                <w:color w:val="auto"/>
                <w:vertAlign w:val="superscript"/>
              </w:rPr>
              <w:t>(2)</w:t>
            </w:r>
          </w:p>
        </w:tc>
        <w:tc>
          <w:tcPr>
            <w:tcW w:w="13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53,429,933</w:t>
            </w:r>
          </w:p>
        </w:tc>
        <w:tc>
          <w:tcPr>
            <w:tcW w:w="460" w:type="dxa"/>
            <w:vAlign w:val="bottom"/>
            <w:vMerge w:val="continue"/>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John Wagner</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49,554,221</w:t>
            </w:r>
          </w:p>
        </w:tc>
        <w:tc>
          <w:tcPr>
            <w:tcW w:w="460" w:type="dxa"/>
            <w:vAlign w:val="bottom"/>
            <w:vMerge w:val="continue"/>
          </w:tcPr>
          <w:p>
            <w:pPr>
              <w:spacing w:after="0"/>
              <w:rPr>
                <w:sz w:val="5"/>
                <w:szCs w:val="5"/>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(4)</w:t>
            </w: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1,921,793</w:t>
            </w:r>
          </w:p>
        </w:tc>
        <w:tc>
          <w:tcPr>
            <w:tcW w:w="460" w:type="dxa"/>
            <w:vAlign w:val="bottom"/>
            <w:vMerge w:val="continue"/>
          </w:tcPr>
          <w:p>
            <w:pPr>
              <w:spacing w:after="0"/>
              <w:rPr>
                <w:sz w:val="5"/>
                <w:szCs w:val="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495,343</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791,556</w:t>
            </w:r>
          </w:p>
        </w:tc>
        <w:tc>
          <w:tcPr>
            <w:tcW w:w="460" w:type="dxa"/>
            <w:vAlign w:val="bottom"/>
            <w:vMerge w:val="continue"/>
          </w:tcPr>
          <w:p>
            <w:pPr>
              <w:spacing w:after="0"/>
              <w:rPr>
                <w:sz w:val="5"/>
                <w:szCs w:val="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(6)</w:t>
            </w:r>
          </w:p>
        </w:tc>
        <w:tc>
          <w:tcPr>
            <w:tcW w:w="1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33,334</w:t>
            </w:r>
          </w:p>
        </w:tc>
        <w:tc>
          <w:tcPr>
            <w:tcW w:w="4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Stephen Herbert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298,436</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1,153,633</w:t>
            </w:r>
          </w:p>
        </w:tc>
        <w:tc>
          <w:tcPr>
            <w:tcW w:w="460" w:type="dxa"/>
            <w:vAlign w:val="bottom"/>
            <w:vMerge w:val="continue"/>
          </w:tcPr>
          <w:p>
            <w:pPr>
              <w:spacing w:after="0"/>
              <w:rPr>
                <w:sz w:val="5"/>
                <w:szCs w:val="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58,893,222</w:t>
            </w:r>
          </w:p>
        </w:tc>
        <w:tc>
          <w:tcPr>
            <w:tcW w:w="4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24.17%</w:t>
            </w:r>
          </w:p>
        </w:tc>
        <w:tc>
          <w:tcPr>
            <w:tcW w:w="0" w:type="dxa"/>
            <w:vAlign w:val="bottom"/>
          </w:tcPr>
          <w:p>
            <w:pPr>
              <w:spacing w:after="0"/>
              <w:rPr>
                <w:sz w:val="1"/>
                <w:szCs w:val="1"/>
                <w:color w:val="auto"/>
              </w:rPr>
            </w:pPr>
          </w:p>
        </w:tc>
      </w:tr>
      <w:tr>
        <w:trPr>
          <w:trHeight w:val="178"/>
        </w:trPr>
        <w:tc>
          <w:tcPr>
            <w:tcW w:w="6600" w:type="dxa"/>
            <w:vAlign w:val="bottom"/>
          </w:tcPr>
          <w:p>
            <w:pPr>
              <w:spacing w:after="0" w:line="177" w:lineRule="exact"/>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w w:val="87"/>
              </w:rPr>
              <w:t>(10)</w:t>
            </w:r>
            <w:r>
              <w:rPr>
                <w:rFonts w:ascii="Times New Roman" w:cs="Times New Roman" w:eastAsia="Times New Roman" w:hAnsi="Times New Roman"/>
                <w:sz w:val="24"/>
                <w:szCs w:val="24"/>
                <w:color w:val="auto"/>
                <w:w w:val="87"/>
                <w:vertAlign w:val="superscript"/>
              </w:rPr>
              <w:t>(9)</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60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DBLP Sea Cow Limited</w:t>
            </w:r>
            <w:r>
              <w:rPr>
                <w:rFonts w:ascii="Times New Roman" w:cs="Times New Roman" w:eastAsia="Times New Roman" w:hAnsi="Times New Roman"/>
                <w:sz w:val="24"/>
                <w:szCs w:val="24"/>
                <w:color w:val="auto"/>
                <w:vertAlign w:val="superscript"/>
              </w:rPr>
              <w:t>(8)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48,731,428</w:t>
            </w:r>
          </w:p>
        </w:tc>
        <w:tc>
          <w:tcPr>
            <w:tcW w:w="460" w:type="dxa"/>
            <w:vAlign w:val="bottom"/>
            <w:vMerge w:val="continue"/>
          </w:tcPr>
          <w:p>
            <w:pPr>
              <w:spacing w:after="0"/>
              <w:rPr>
                <w:sz w:val="22"/>
                <w:szCs w:val="22"/>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Igor Lychagov</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35,843,258</w:t>
            </w:r>
          </w:p>
        </w:tc>
        <w:tc>
          <w:tcPr>
            <w:tcW w:w="460" w:type="dxa"/>
            <w:vAlign w:val="bottom"/>
            <w:vMerge w:val="continue"/>
          </w:tcPr>
          <w:p>
            <w:pPr>
              <w:spacing w:after="0"/>
              <w:rPr>
                <w:sz w:val="5"/>
                <w:szCs w:val="5"/>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180"/>
        </w:trPr>
        <w:tc>
          <w:tcPr>
            <w:tcW w:w="660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(11)</w:t>
            </w:r>
          </w:p>
        </w:tc>
        <w:tc>
          <w:tcPr>
            <w:tcW w:w="1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Brooks Newmark</w:t>
            </w:r>
          </w:p>
        </w:tc>
        <w:tc>
          <w:tcPr>
            <w:tcW w:w="15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17,070,000</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(12)</w:t>
            </w:r>
          </w:p>
        </w:tc>
        <w:tc>
          <w:tcPr>
            <w:tcW w:w="150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Brad Wickens</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25,864,807</w:t>
            </w:r>
          </w:p>
        </w:tc>
        <w:tc>
          <w:tcPr>
            <w:tcW w:w="460" w:type="dxa"/>
            <w:vAlign w:val="bottom"/>
            <w:vMerge w:val="continue"/>
          </w:tcPr>
          <w:p>
            <w:pPr>
              <w:spacing w:after="0"/>
              <w:rPr>
                <w:sz w:val="5"/>
                <w:szCs w:val="5"/>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(13)</w:t>
            </w: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Aperion Investment Group Limited</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25,097,545</w:t>
            </w:r>
          </w:p>
        </w:tc>
        <w:tc>
          <w:tcPr>
            <w:tcW w:w="460" w:type="dxa"/>
            <w:vAlign w:val="bottom"/>
            <w:vMerge w:val="continue"/>
          </w:tcPr>
          <w:p>
            <w:pPr>
              <w:spacing w:after="0"/>
              <w:rPr>
                <w:sz w:val="5"/>
                <w:szCs w:val="5"/>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-2331085</wp:posOffset>
            </wp:positionV>
            <wp:extent cx="641223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-2056765</wp:posOffset>
            </wp:positionV>
            <wp:extent cx="641223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-1782445</wp:posOffset>
            </wp:positionV>
            <wp:extent cx="641223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-1508125</wp:posOffset>
            </wp:positionV>
            <wp:extent cx="641223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-685165</wp:posOffset>
            </wp:positionV>
            <wp:extent cx="641223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-410845</wp:posOffset>
            </wp:positionV>
            <wp:extent cx="641223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117"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following owners is 21 Sackville Street, London, W1S 3DN, United Kingdom.</w:t>
      </w:r>
    </w:p>
    <w:p>
      <w:pPr>
        <w:spacing w:after="0" w:line="113" w:lineRule="exact"/>
        <w:rPr>
          <w:rFonts w:ascii="Times New Roman" w:cs="Times New Roman" w:eastAsia="Times New Roman" w:hAnsi="Times New Roman"/>
          <w:sz w:val="18"/>
          <w:szCs w:val="18"/>
          <w:color w:val="auto"/>
        </w:rPr>
      </w:pPr>
    </w:p>
    <w:p>
      <w:pPr>
        <w:ind w:left="520" w:right="160" w:hanging="512"/>
        <w:spacing w:after="0" w:line="286"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4,698,505 shares directly held by Daniel Wagner; (ii) 37,052,254 shares directly held by DBLP Sea Cow Limited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and (iii) 11,679,174 shares issuable to DBLP upon conversion of certain options granted under Rezolve's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734060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0" w:name="page91"/>
    <w:bookmarkEnd w:id="90"/>
    <w:p>
      <w:pPr>
        <w:ind w:left="512" w:right="200"/>
        <w:spacing w:after="0" w:line="282" w:lineRule="auto"/>
        <w:rPr>
          <w:sz w:val="20"/>
          <w:szCs w:val="20"/>
          <w:color w:val="auto"/>
        </w:rPr>
      </w:pPr>
      <w:r>
        <w:rPr>
          <w:rFonts w:ascii="Times New Roman" w:cs="Times New Roman" w:eastAsia="Times New Roman" w:hAnsi="Times New Roman"/>
          <w:sz w:val="18"/>
          <w:szCs w:val="18"/>
          <w:color w:val="auto"/>
        </w:rPr>
        <w:t>Incentive Plan ("LTIP"). DBLP is wholly legally owned by Mr. Wagner and Mr. Wagner is a director of DBLP and therefore Mr. Wagner may be deemed to share voting and investment power over the shares held by DBLP.</w:t>
      </w:r>
    </w:p>
    <w:p>
      <w:pPr>
        <w:spacing w:after="0" w:line="54" w:lineRule="exact"/>
        <w:rPr>
          <w:sz w:val="20"/>
          <w:szCs w:val="20"/>
          <w:color w:val="auto"/>
        </w:rPr>
      </w:pPr>
    </w:p>
    <w:p>
      <w:pPr>
        <w:ind w:left="512" w:hanging="512"/>
        <w:spacing w:after="0" w:line="258"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815,989 shares directly held by John Wagner; (ii) 2,835 Ordinary Shares issued upon conversion of the Promissory Note held by Mr. Wagnere; (iii) 3,969 Ordinary Shares underlying the Private Warrants held by Mr. Wagner (iv) 37,052,254 shares directly held by DBLP; and (v) 11,679,174 shares issuable to DBLP upon conversion of certain options granted under the LTIP. DBLP is beneficially owned by Mr. John Wagner and Mr. John Wagner is a director of DBLP and therefore Mr. Wagner may be deemed to share voting and investment power over the shares held by DBLP.</w:t>
      </w:r>
    </w:p>
    <w:p>
      <w:pPr>
        <w:spacing w:after="0" w:line="75" w:lineRule="exact"/>
        <w:rPr>
          <w:rFonts w:ascii="Times New Roman" w:cs="Times New Roman" w:eastAsia="Times New Roman" w:hAnsi="Times New Roman"/>
          <w:sz w:val="18"/>
          <w:szCs w:val="18"/>
          <w:color w:val="auto"/>
        </w:rPr>
      </w:pPr>
    </w:p>
    <w:p>
      <w:pPr>
        <w:ind w:left="512" w:right="260" w:hanging="512"/>
        <w:spacing w:after="0" w:line="282"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1,879,352 Ordinary Shares; and (ii) 42,441 Ordinary Shares issued upon the conversion of the Advance Subscription made by Mr. Sharp. Excludes 15,850 Ordinary Shares underlying the Private Warrants held by Mr. Sharp.</w:t>
      </w:r>
    </w:p>
    <w:p>
      <w:pPr>
        <w:spacing w:after="0" w:line="53" w:lineRule="exact"/>
        <w:rPr>
          <w:rFonts w:ascii="Times New Roman" w:cs="Times New Roman" w:eastAsia="Times New Roman" w:hAnsi="Times New Roman"/>
          <w:sz w:val="18"/>
          <w:szCs w:val="18"/>
          <w:color w:val="auto"/>
        </w:rPr>
      </w:pPr>
    </w:p>
    <w:p>
      <w:pPr>
        <w:ind w:left="512" w:right="120" w:hanging="512"/>
        <w:spacing w:after="0" w:line="289" w:lineRule="auto"/>
        <w:tabs>
          <w:tab w:leader="none" w:pos="512"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564,935 Ordinary Shares; (ii) 110,000 Ordinary Shares issued upon the conversion of the Advance Subscription made by Mr. Perry; and (iii) 69,526 Ordinary Shares issued upon conversion of the Convertible Note held by Mr. Perry. Excludes (i) 34,395 Ordinary Shares issued upon conversion of the Promissory Note held by Mr. Perry; and (ii) 12,700 Ordinary Shares underlying the Private Warrants held by Mr. Perry.</w:t>
      </w:r>
    </w:p>
    <w:p>
      <w:pPr>
        <w:spacing w:after="0" w:line="49" w:lineRule="exact"/>
        <w:rPr>
          <w:rFonts w:ascii="Times New Roman" w:cs="Times New Roman" w:eastAsia="Times New Roman" w:hAnsi="Times New Roman"/>
          <w:sz w:val="17"/>
          <w:szCs w:val="17"/>
          <w:color w:val="auto"/>
        </w:rPr>
      </w:pPr>
    </w:p>
    <w:p>
      <w:pPr>
        <w:ind w:left="512" w:hanging="512"/>
        <w:spacing w:after="0"/>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33,334 Ordinary Shares issued upon the conversion of the Advance Subscription made by Mr. Smith.</w:t>
      </w:r>
    </w:p>
    <w:p>
      <w:pPr>
        <w:spacing w:after="0" w:line="117" w:lineRule="exact"/>
        <w:rPr>
          <w:rFonts w:ascii="Times New Roman" w:cs="Times New Roman" w:eastAsia="Times New Roman" w:hAnsi="Times New Roman"/>
          <w:sz w:val="18"/>
          <w:szCs w:val="18"/>
          <w:color w:val="auto"/>
        </w:rPr>
      </w:pPr>
    </w:p>
    <w:p>
      <w:pPr>
        <w:ind w:left="512" w:right="300" w:hanging="512"/>
        <w:spacing w:after="0" w:line="282"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1,142,384 Ordinary Shares and (ii) 11,249 Ordinary Shares issued upon the conversion of the Advance Subscription made by Mr. Vesco.</w:t>
      </w:r>
    </w:p>
    <w:p>
      <w:pPr>
        <w:spacing w:after="0" w:line="53" w:lineRule="exact"/>
        <w:rPr>
          <w:rFonts w:ascii="Times New Roman" w:cs="Times New Roman" w:eastAsia="Times New Roman" w:hAnsi="Times New Roman"/>
          <w:sz w:val="18"/>
          <w:szCs w:val="18"/>
          <w:color w:val="auto"/>
        </w:rPr>
      </w:pPr>
    </w:p>
    <w:p>
      <w:pPr>
        <w:ind w:left="512" w:right="300" w:hanging="512"/>
        <w:spacing w:after="0" w:line="282"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is wholly legally owned by Daniel Wagner and is wholly beneficially owned by John Wagner. Both Daniel Wagner and John Wagner are directors of DBLP.</w:t>
      </w:r>
    </w:p>
    <w:p>
      <w:pPr>
        <w:spacing w:after="0" w:line="53" w:lineRule="exact"/>
        <w:rPr>
          <w:rFonts w:ascii="Times New Roman" w:cs="Times New Roman" w:eastAsia="Times New Roman" w:hAnsi="Times New Roman"/>
          <w:sz w:val="18"/>
          <w:szCs w:val="18"/>
          <w:color w:val="auto"/>
        </w:rPr>
      </w:pPr>
    </w:p>
    <w:p>
      <w:pPr>
        <w:ind w:left="512" w:right="200" w:hanging="512"/>
        <w:spacing w:after="0" w:line="282"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37,052,254 Ordinary Shares; and (ii) 11,679,174 shares issuable to DBLP upon conversion of certain options granted under the LTIP. Excludes (i) 3,592,193 shares subject to a call option currently exercisable by Brad Wickens.</w:t>
      </w:r>
    </w:p>
    <w:p>
      <w:pPr>
        <w:spacing w:after="0" w:line="53"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34,649,207 Ordinary Shares; and (ii) 1,194,051 Ordinary Shares issued upon conversion of the Convertible Note held by Mr. Lychagov.</w:t>
      </w:r>
    </w:p>
    <w:p>
      <w:pPr>
        <w:spacing w:after="0" w:line="117" w:lineRule="exact"/>
        <w:rPr>
          <w:rFonts w:ascii="Times New Roman" w:cs="Times New Roman" w:eastAsia="Times New Roman" w:hAnsi="Times New Roman"/>
          <w:sz w:val="18"/>
          <w:szCs w:val="18"/>
          <w:color w:val="auto"/>
        </w:rPr>
      </w:pPr>
    </w:p>
    <w:p>
      <w:pPr>
        <w:ind w:left="512" w:right="280" w:hanging="512"/>
        <w:spacing w:after="0" w:line="282"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7,870,000 Ordinary Shares and (ii) 9,200,000 Ordinary Shares issued upon the conversion of the Advance Subscription made by Mr. Newmark.</w:t>
      </w:r>
    </w:p>
    <w:p>
      <w:pPr>
        <w:spacing w:after="0" w:line="53" w:lineRule="exact"/>
        <w:rPr>
          <w:rFonts w:ascii="Times New Roman" w:cs="Times New Roman" w:eastAsia="Times New Roman" w:hAnsi="Times New Roman"/>
          <w:sz w:val="18"/>
          <w:szCs w:val="18"/>
          <w:color w:val="auto"/>
        </w:rPr>
      </w:pPr>
    </w:p>
    <w:p>
      <w:pPr>
        <w:ind w:left="512" w:right="80" w:hanging="512"/>
        <w:spacing w:after="0" w:line="258"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9,638,692 Ordinary Shares; (ii) 1,240,865 Ordinary Shares currently held by Apeiron on Mr. Wickens' behalf; (iii) 3,592,194 Ordinary Shares currently held by DBLP but subject to a call option currently exercisable by Mr. Wickens; (iv) 156,250 Ordinary Shares issued upon conversion of the Promissory Note held by Mr. Wickens; (iv) 333,333 Ordinary Shares issued upon the conversion of the Advance Subscription made by Mr. Wickens, (v) 62,500 Ordinary Shares underlying the Private Warrants held by Mr. Wickens; and (vi) 10,840,973 Ordinary Shares issued upon conversion of the Convertible Note held by Mr. Wickens.</w:t>
      </w:r>
    </w:p>
    <w:p>
      <w:pPr>
        <w:spacing w:after="0" w:line="75" w:lineRule="exact"/>
        <w:rPr>
          <w:rFonts w:ascii="Times New Roman" w:cs="Times New Roman" w:eastAsia="Times New Roman" w:hAnsi="Times New Roman"/>
          <w:sz w:val="18"/>
          <w:szCs w:val="18"/>
          <w:color w:val="auto"/>
        </w:rPr>
      </w:pPr>
    </w:p>
    <w:p>
      <w:pPr>
        <w:ind w:left="512" w:right="40" w:hanging="512"/>
        <w:spacing w:after="0" w:line="257"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10,712,645 Ordinary Shares, (ii) 333,333 Ordinary Shares issued upon conversion of the Advance Subscription made by Apeiron; (iii) 182,886 Ordinary Shares issuable upon potential conversion of the Promissory Note held by Apeiron; (iii) 62,500 Ordinary Shares underlying the Private Warrants held by Apeiron; and (iv) 13,806,181 Ordinary Shares issued upon conversion of the Convertible Note held by Apeiron. Excludes</w:t>
      </w:r>
    </w:p>
    <w:p>
      <w:pPr>
        <w:spacing w:after="0" w:line="1" w:lineRule="exact"/>
        <w:rPr>
          <w:rFonts w:ascii="Times New Roman" w:cs="Times New Roman" w:eastAsia="Times New Roman" w:hAnsi="Times New Roman"/>
          <w:sz w:val="18"/>
          <w:szCs w:val="18"/>
          <w:color w:val="auto"/>
        </w:rPr>
      </w:pPr>
    </w:p>
    <w:p>
      <w:pPr>
        <w:ind w:left="5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1,240,865 Ordinary Shares held by Apeiron on Brad Wickens'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764540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20" w:right="359" w:bottom="1440" w:gutter="0" w:footer="0" w:header="0"/>
        </w:sectPr>
      </w:pPr>
    </w:p>
    <w:bookmarkStart w:id="91" w:name="page92"/>
    <w:bookmarkEnd w:id="91"/>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SELLING HOLDERS</w:t>
      </w:r>
    </w:p>
    <w:p>
      <w:pPr>
        <w:spacing w:after="0" w:line="20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This prospectus also relates to the resale by certain of the Selling Holders of up to 156,515,540 Ordinary Shares, consisting of (i) 121,156,424 Ordinary Shares; (ii) 544,982 Ordinary Shares issuable in respect of the Private Warrants; (iii) 19,079,139 Ordinary Shares issuable upon conversion of the Convertible Notes; (iv) 15,207,479 Ordinary Shares issuable pursuant to the advanced subscription agreements; and (v) and 527,516 Ordinary Shares issuable upon the conversion of the Promissory Notes.</w:t>
      </w:r>
    </w:p>
    <w:p>
      <w:pPr>
        <w:spacing w:after="0" w:line="13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Following the expiration of the applicable lock-up restrictions described herein, the sale of all of the securities registered for resale hereunder (and the Ordinary Shares issuable upon exercise of the Private Warrants and the conversion of the Rezolve Convertible Notes, the YA Note and the Promissory Notes), or the perception that such sales may occur, may cause the market prices of our securities to decline significantly. Despite such a decline in price, Armada’s Sponsor and our holders may still experience a positive rate of return on the shares purchased by them due to the lower price per share at which its shares were purchased. See “</w:t>
      </w:r>
      <w:r>
        <w:rPr>
          <w:rFonts w:ascii="Times New Roman" w:cs="Times New Roman" w:eastAsia="Times New Roman" w:hAnsi="Times New Roman"/>
          <w:sz w:val="18"/>
          <w:szCs w:val="18"/>
          <w:i w:val="1"/>
          <w:iCs w:val="1"/>
          <w:color w:val="auto"/>
        </w:rPr>
        <w:t>Risk Factors—Risks Related to the Company</w:t>
      </w:r>
      <w:r>
        <w:rPr>
          <w:rFonts w:ascii="Times New Roman" w:cs="Times New Roman" w:eastAsia="Times New Roman" w:hAnsi="Times New Roman"/>
          <w:sz w:val="18"/>
          <w:szCs w:val="18"/>
          <w:color w:val="auto"/>
        </w:rPr>
        <w:t>” for more information.</w:t>
      </w:r>
    </w:p>
    <w:p>
      <w:pPr>
        <w:spacing w:after="0" w:line="14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February 2021, Armada issued 4,312,500 shares of common stock to its Sponsor for $25,000 in cash, at a purchase price of approximately $0.006 per share, in connection with its organization. On June 16, 2021, Armada’s Sponsor purchased an additional 700,000 shares of common stock at a purchase price of $0.006 per share, resulting in the Sponsor holding an aggregate of 5,012,500 Founder Shares. On June 16, 2021, Armada’s Sponsor transferred 50,000 Founder Shares to each of Messrs. Herbert and Lurio and 35,000 Founder Shares to each of Messrs. Khan, Decker and White. On July 23, 2021, Armada’s Sponsor purchased an additional 1,200,000 shares of common stock at a purchase price of $0.006 per share, resulting in the Sponsor holding an aggregate of 6,007,500 shares of common stock. Because Armada’s underwriters did not exercise their over-allotment option, Armada’s Sponsor forfeited 1,125,000 shares of common stock as of October 1, 2021. Additionally, upon consummation of Armada’s initial business combination, the Sponsor allocated membership interests representing Founder Shares to each anchor investor.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Armada’s Sponsor purchased an aggregate of 459,500 private shares at a price of $10.00 per share for an aggregate purchase price of $4,595,000.</w:t>
      </w:r>
    </w:p>
    <w:p>
      <w:pPr>
        <w:spacing w:after="0" w:line="18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Upon the consummation of the Business Combination, (i) each issued and outstanding share of common stock of Armada immediately prior to the Merger Effective Time was exchanged for one Ordinary Share; (ii) each issued and outstanding Armada Warrant immediately prior to the Merger Effective Time was exchanged for one Public Warrant; (iii) each issued and outstanding Armada Unit immediately prior to the Merger Effective Time was separated into its component parts (one share of Armada Common Stock and one-half of one Armada Warrant), with each share of Armada Common Stock to be exchanged for one Ordinary Share and each Armada Warrant to be exchanged for one Public Warrant. The Ordinary Shares, Public Warrants, the Ordinary Shares issuable upon exercise of the Private Warrants and the conversion of the Convertible Notes, the YA Note and the Promissory Notes are being registered by the registration statement of which this prospectus forms a part pursuant to the registration rights granted under certain of the Subscription Agreements and the Registration Rights Agreement.</w:t>
      </w:r>
    </w:p>
    <w:p>
      <w:pPr>
        <w:spacing w:after="0" w:line="1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Selling Holders may from time to time offer and sell any or all of the Ordinary Shares a set forth below pursuant to this prospectus. When we refer to the “Selling Holders” in this prospectus, we mean the persons listed in the table and in the footnotes in the table below (as such table may be amended from time to time by means of an amendment to the registration statement of which this prospectus is a part or by supplement to this prospectus), and any pledgees, donees, transferees, assignees, successors and others who later come to hold any of the Selling Holders’ interest in the Class A ordinary shares or warrants after the date of this prospectus such that registration rights shall apply to those securities.</w:t>
      </w:r>
    </w:p>
    <w:p>
      <w:pPr>
        <w:spacing w:after="0" w:line="1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following tables are prepared based on information provided to us by the Selling Holders. It sets forth the name and address of the Selling Holders, the aggregate number of Ordinary Shares that the Selling Holders may offer pursuant to this prospectus, and the beneficial ownership of the Selling Holders both before and after the offering. Except as otherwise indicated in the table below, no selling stockholder is a broker-dealer or an affiliate of a broker-dealer. We have based percentage ownership prior to this offering on 172,182,769 Ordinary Shares outstanding as of November 27, 2024. In calculating percentages of Ordinary Shares owned by a particular Selling Holder, we treated as outstanding the number of Ordinary Shares issuable upon exercise of that particular Selling Holder’s Warrants and upon the conversion of that Selling Holder’s Convertible Notes, YA Note or Promissory Notes, if any, and did not assume the exercise of any other Selling Holder’s Warrants or the conversion of any other Selling Holder’s Convertible Notes, YA Note or Promissory Notes.</w:t>
      </w:r>
    </w:p>
    <w:p>
      <w:pPr>
        <w:spacing w:after="0" w:line="15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cannot advise you as to whether the Selling Holders will in fact sell any or all of such Ordinary Shares. In addition, the Selling Holders may sell, transfer or otherwise dispose of, at any time and from time to time, the Ordinary Shares in transactions exempt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2" w:name="page93"/>
    <w:bookmarkEnd w:id="92"/>
    <w:p>
      <w:pPr>
        <w:spacing w:after="0" w:line="282" w:lineRule="auto"/>
        <w:rPr>
          <w:sz w:val="20"/>
          <w:szCs w:val="20"/>
          <w:color w:val="auto"/>
        </w:rPr>
      </w:pPr>
      <w:r>
        <w:rPr>
          <w:rFonts w:ascii="Times New Roman" w:cs="Times New Roman" w:eastAsia="Times New Roman" w:hAnsi="Times New Roman"/>
          <w:sz w:val="18"/>
          <w:szCs w:val="18"/>
          <w:color w:val="auto"/>
        </w:rPr>
        <w:t>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the business address of each of the following owners is 21 Sackville Street, London, W1S 3DN.</w:t>
      </w:r>
    </w:p>
    <w:p>
      <w:pPr>
        <w:spacing w:after="0" w:line="200" w:lineRule="exact"/>
        <w:rPr>
          <w:sz w:val="20"/>
          <w:szCs w:val="20"/>
          <w:color w:val="auto"/>
        </w:rPr>
      </w:pPr>
    </w:p>
    <w:p>
      <w:pPr>
        <w:spacing w:after="0" w:line="385"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2560" w:type="dxa"/>
            <w:vAlign w:val="bottom"/>
            <w:tcBorders>
              <w:top w:val="single" w:sz="8" w:color="auto"/>
              <w:left w:val="single" w:sz="8" w:color="auto"/>
              <w:right w:val="single" w:sz="8" w:color="auto"/>
            </w:tcBorders>
          </w:tcPr>
          <w:p>
            <w:pPr>
              <w:spacing w:after="0"/>
              <w:rPr>
                <w:sz w:val="22"/>
                <w:szCs w:val="22"/>
                <w:color w:val="auto"/>
              </w:rPr>
            </w:pPr>
          </w:p>
        </w:tc>
        <w:tc>
          <w:tcPr>
            <w:tcW w:w="26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Shares(1)</w:t>
            </w:r>
          </w:p>
        </w:tc>
        <w:tc>
          <w:tcPr>
            <w:tcW w:w="1940" w:type="dxa"/>
            <w:vAlign w:val="bottom"/>
            <w:tcBorders>
              <w:top w:val="single" w:sz="8" w:color="auto"/>
            </w:tcBorders>
          </w:tcPr>
          <w:p>
            <w:pPr>
              <w:spacing w:after="0"/>
              <w:rPr>
                <w:sz w:val="22"/>
                <w:szCs w:val="22"/>
                <w:color w:val="auto"/>
              </w:rPr>
            </w:pPr>
          </w:p>
        </w:tc>
        <w:tc>
          <w:tcPr>
            <w:tcW w:w="2560" w:type="dxa"/>
            <w:vAlign w:val="bottom"/>
            <w:tcBorders>
              <w:top w:val="single" w:sz="8" w:color="auto"/>
            </w:tcBorders>
          </w:tcPr>
          <w:p>
            <w:pPr>
              <w:spacing w:after="0"/>
              <w:rPr>
                <w:sz w:val="22"/>
                <w:szCs w:val="22"/>
                <w:color w:val="auto"/>
              </w:rPr>
            </w:pPr>
          </w:p>
        </w:tc>
        <w:tc>
          <w:tcPr>
            <w:tcW w:w="1580" w:type="dxa"/>
            <w:vAlign w:val="bottom"/>
            <w:tcBorders>
              <w:top w:val="single" w:sz="8" w:color="auto"/>
              <w:right w:val="single" w:sz="8" w:color="auto"/>
            </w:tcBorders>
          </w:tcPr>
          <w:p>
            <w:pPr>
              <w:spacing w:after="0"/>
              <w:rPr>
                <w:sz w:val="22"/>
                <w:szCs w:val="22"/>
                <w:color w:val="auto"/>
              </w:rPr>
            </w:pPr>
          </w:p>
        </w:tc>
      </w:tr>
      <w:tr>
        <w:trPr>
          <w:trHeight w:val="190"/>
        </w:trPr>
        <w:tc>
          <w:tcPr>
            <w:tcW w:w="2560" w:type="dxa"/>
            <w:vAlign w:val="bottom"/>
            <w:tcBorders>
              <w:left w:val="single" w:sz="8" w:color="auto"/>
              <w:bottom w:val="single" w:sz="8" w:color="auto"/>
              <w:right w:val="single" w:sz="8" w:color="auto"/>
            </w:tcBorders>
          </w:tcPr>
          <w:p>
            <w:pPr>
              <w:spacing w:after="0"/>
              <w:rPr>
                <w:sz w:val="16"/>
                <w:szCs w:val="16"/>
                <w:color w:val="auto"/>
              </w:rPr>
            </w:pPr>
          </w:p>
        </w:tc>
        <w:tc>
          <w:tcPr>
            <w:tcW w:w="26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spacing w:after="0"/>
              <w:rPr>
                <w:sz w:val="16"/>
                <w:szCs w:val="16"/>
                <w:color w:val="auto"/>
              </w:rPr>
            </w:pPr>
          </w:p>
        </w:tc>
      </w:tr>
      <w:tr>
        <w:trPr>
          <w:trHeight w:val="150"/>
        </w:trPr>
        <w:tc>
          <w:tcPr>
            <w:tcW w:w="2560" w:type="dxa"/>
            <w:vAlign w:val="bottom"/>
            <w:tcBorders>
              <w:left w:val="single" w:sz="8" w:color="auto"/>
              <w:right w:val="single" w:sz="8" w:color="auto"/>
            </w:tcBorders>
          </w:tcPr>
          <w:p>
            <w:pPr>
              <w:ind w:left="12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Name</w:t>
            </w:r>
          </w:p>
        </w:tc>
        <w:tc>
          <w:tcPr>
            <w:tcW w:w="2600" w:type="dxa"/>
            <w:vAlign w:val="bottom"/>
            <w:tcBorders>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Number Beneficially Owned</w:t>
            </w:r>
          </w:p>
        </w:tc>
        <w:tc>
          <w:tcPr>
            <w:tcW w:w="194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Maximum Number</w:t>
            </w:r>
          </w:p>
        </w:tc>
        <w:tc>
          <w:tcPr>
            <w:tcW w:w="256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Number Beneficially Owned</w:t>
            </w:r>
          </w:p>
        </w:tc>
        <w:tc>
          <w:tcPr>
            <w:tcW w:w="158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Percent Owned</w:t>
            </w:r>
          </w:p>
        </w:tc>
      </w:tr>
      <w:tr>
        <w:trPr>
          <w:trHeight w:val="216"/>
        </w:trPr>
        <w:tc>
          <w:tcPr>
            <w:tcW w:w="256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Prior to Offering</w:t>
            </w:r>
          </w:p>
        </w:tc>
        <w:tc>
          <w:tcPr>
            <w:tcW w:w="1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Registered for Sale</w:t>
            </w:r>
          </w:p>
        </w:tc>
        <w:tc>
          <w:tcPr>
            <w:tcW w:w="2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After the Offered Shares are</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After the Offered</w:t>
            </w:r>
          </w:p>
        </w:tc>
      </w:tr>
      <w:tr>
        <w:trPr>
          <w:trHeight w:val="238"/>
        </w:trPr>
        <w:tc>
          <w:tcPr>
            <w:tcW w:w="25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Hereby</w:t>
            </w:r>
          </w:p>
        </w:tc>
        <w:tc>
          <w:tcPr>
            <w:tcW w:w="2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Sold(2)</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Shares are Sold</w:t>
            </w:r>
          </w:p>
        </w:tc>
      </w:tr>
      <w:tr>
        <w:trPr>
          <w:trHeight w:val="175"/>
        </w:trPr>
        <w:tc>
          <w:tcPr>
            <w:tcW w:w="2560" w:type="dxa"/>
            <w:vAlign w:val="bottom"/>
            <w:tcBorders>
              <w:left w:val="single" w:sz="8" w:color="auto"/>
              <w:bottom w:val="single" w:sz="8" w:color="auto"/>
              <w:right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256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r>
      <w:tr>
        <w:trPr>
          <w:trHeight w:val="228"/>
        </w:trPr>
        <w:tc>
          <w:tcPr>
            <w:tcW w:w="2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Daniel Wagner(3)</w:t>
            </w:r>
          </w:p>
        </w:tc>
        <w:tc>
          <w:tcPr>
            <w:tcW w:w="2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4,698,504(15)</w:t>
            </w:r>
          </w:p>
        </w:tc>
        <w:tc>
          <w:tcPr>
            <w:tcW w:w="1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4,698,504</w:t>
            </w:r>
          </w:p>
        </w:tc>
        <w:tc>
          <w:tcPr>
            <w:tcW w:w="2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2560" w:type="dxa"/>
            <w:vAlign w:val="bottom"/>
            <w:tcBorders>
              <w:left w:val="single" w:sz="8" w:color="auto"/>
              <w:bottom w:val="single" w:sz="8" w:color="auto"/>
              <w:right w:val="single" w:sz="8" w:color="auto"/>
            </w:tcBorders>
          </w:tcPr>
          <w:p>
            <w:pPr>
              <w:spacing w:after="0"/>
              <w:rPr>
                <w:sz w:val="13"/>
                <w:szCs w:val="13"/>
                <w:color w:val="auto"/>
              </w:rPr>
            </w:pPr>
          </w:p>
        </w:tc>
        <w:tc>
          <w:tcPr>
            <w:tcW w:w="260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c>
          <w:tcPr>
            <w:tcW w:w="256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r>
      <w:tr>
        <w:trPr>
          <w:trHeight w:val="228"/>
        </w:trPr>
        <w:tc>
          <w:tcPr>
            <w:tcW w:w="2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John Wagner(4)</w:t>
            </w:r>
          </w:p>
        </w:tc>
        <w:tc>
          <w:tcPr>
            <w:tcW w:w="2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822,793(5) (15)</w:t>
            </w:r>
          </w:p>
        </w:tc>
        <w:tc>
          <w:tcPr>
            <w:tcW w:w="1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822,793</w:t>
            </w:r>
          </w:p>
        </w:tc>
        <w:tc>
          <w:tcPr>
            <w:tcW w:w="2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2560" w:type="dxa"/>
            <w:vAlign w:val="bottom"/>
            <w:tcBorders>
              <w:left w:val="single" w:sz="8" w:color="auto"/>
              <w:bottom w:val="single" w:sz="8" w:color="auto"/>
              <w:right w:val="single" w:sz="8" w:color="auto"/>
            </w:tcBorders>
          </w:tcPr>
          <w:p>
            <w:pPr>
              <w:spacing w:after="0"/>
              <w:rPr>
                <w:sz w:val="13"/>
                <w:szCs w:val="13"/>
                <w:color w:val="auto"/>
              </w:rPr>
            </w:pPr>
          </w:p>
        </w:tc>
        <w:tc>
          <w:tcPr>
            <w:tcW w:w="260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c>
          <w:tcPr>
            <w:tcW w:w="256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r>
      <w:tr>
        <w:trPr>
          <w:trHeight w:val="228"/>
        </w:trPr>
        <w:tc>
          <w:tcPr>
            <w:tcW w:w="2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Anthony Sharp(6)</w:t>
            </w:r>
          </w:p>
        </w:tc>
        <w:tc>
          <w:tcPr>
            <w:tcW w:w="2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1,948,964(7)</w:t>
            </w:r>
          </w:p>
        </w:tc>
        <w:tc>
          <w:tcPr>
            <w:tcW w:w="1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1,948,964</w:t>
            </w:r>
          </w:p>
        </w:tc>
        <w:tc>
          <w:tcPr>
            <w:tcW w:w="2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2560" w:type="dxa"/>
            <w:vAlign w:val="bottom"/>
            <w:tcBorders>
              <w:left w:val="single" w:sz="8" w:color="auto"/>
              <w:bottom w:val="single" w:sz="8" w:color="auto"/>
              <w:right w:val="single" w:sz="8" w:color="auto"/>
            </w:tcBorders>
          </w:tcPr>
          <w:p>
            <w:pPr>
              <w:spacing w:after="0"/>
              <w:rPr>
                <w:sz w:val="13"/>
                <w:szCs w:val="13"/>
                <w:color w:val="auto"/>
              </w:rPr>
            </w:pPr>
          </w:p>
        </w:tc>
        <w:tc>
          <w:tcPr>
            <w:tcW w:w="260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c>
          <w:tcPr>
            <w:tcW w:w="256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r>
      <w:tr>
        <w:trPr>
          <w:trHeight w:val="228"/>
        </w:trPr>
        <w:tc>
          <w:tcPr>
            <w:tcW w:w="2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Sir David Wright(8)</w:t>
            </w:r>
          </w:p>
        </w:tc>
        <w:tc>
          <w:tcPr>
            <w:tcW w:w="2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495,343</w:t>
            </w:r>
          </w:p>
        </w:tc>
        <w:tc>
          <w:tcPr>
            <w:tcW w:w="1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495,343</w:t>
            </w:r>
          </w:p>
        </w:tc>
        <w:tc>
          <w:tcPr>
            <w:tcW w:w="2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2560" w:type="dxa"/>
            <w:vAlign w:val="bottom"/>
            <w:tcBorders>
              <w:left w:val="single" w:sz="8" w:color="auto"/>
              <w:bottom w:val="single" w:sz="8" w:color="auto"/>
              <w:right w:val="single" w:sz="8" w:color="auto"/>
            </w:tcBorders>
          </w:tcPr>
          <w:p>
            <w:pPr>
              <w:spacing w:after="0"/>
              <w:rPr>
                <w:sz w:val="13"/>
                <w:szCs w:val="13"/>
                <w:color w:val="auto"/>
              </w:rPr>
            </w:pPr>
          </w:p>
        </w:tc>
        <w:tc>
          <w:tcPr>
            <w:tcW w:w="260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c>
          <w:tcPr>
            <w:tcW w:w="256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r>
      <w:tr>
        <w:trPr>
          <w:trHeight w:val="228"/>
        </w:trPr>
        <w:tc>
          <w:tcPr>
            <w:tcW w:w="2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Stephen Perry(9)</w:t>
            </w:r>
          </w:p>
        </w:tc>
        <w:tc>
          <w:tcPr>
            <w:tcW w:w="2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791,556 (10)</w:t>
            </w:r>
          </w:p>
        </w:tc>
        <w:tc>
          <w:tcPr>
            <w:tcW w:w="1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715,723</w:t>
            </w:r>
          </w:p>
        </w:tc>
        <w:tc>
          <w:tcPr>
            <w:tcW w:w="2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75,833</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2560" w:type="dxa"/>
            <w:vAlign w:val="bottom"/>
            <w:tcBorders>
              <w:left w:val="single" w:sz="8" w:color="auto"/>
              <w:bottom w:val="single" w:sz="8" w:color="auto"/>
              <w:right w:val="single" w:sz="8" w:color="auto"/>
            </w:tcBorders>
          </w:tcPr>
          <w:p>
            <w:pPr>
              <w:spacing w:after="0"/>
              <w:rPr>
                <w:sz w:val="13"/>
                <w:szCs w:val="13"/>
                <w:color w:val="auto"/>
              </w:rPr>
            </w:pPr>
          </w:p>
        </w:tc>
        <w:tc>
          <w:tcPr>
            <w:tcW w:w="260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c>
          <w:tcPr>
            <w:tcW w:w="256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r>
      <w:tr>
        <w:trPr>
          <w:trHeight w:val="228"/>
        </w:trPr>
        <w:tc>
          <w:tcPr>
            <w:tcW w:w="2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Douglas Lurio(11)</w:t>
            </w:r>
          </w:p>
        </w:tc>
        <w:tc>
          <w:tcPr>
            <w:tcW w:w="2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357,647</w:t>
            </w:r>
          </w:p>
        </w:tc>
        <w:tc>
          <w:tcPr>
            <w:tcW w:w="1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357,647</w:t>
            </w:r>
          </w:p>
        </w:tc>
        <w:tc>
          <w:tcPr>
            <w:tcW w:w="2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2560" w:type="dxa"/>
            <w:vAlign w:val="bottom"/>
            <w:tcBorders>
              <w:left w:val="single" w:sz="8" w:color="auto"/>
              <w:bottom w:val="single" w:sz="8" w:color="auto"/>
              <w:right w:val="single" w:sz="8" w:color="auto"/>
            </w:tcBorders>
          </w:tcPr>
          <w:p>
            <w:pPr>
              <w:spacing w:after="0"/>
              <w:rPr>
                <w:sz w:val="13"/>
                <w:szCs w:val="13"/>
                <w:color w:val="auto"/>
              </w:rPr>
            </w:pPr>
          </w:p>
        </w:tc>
        <w:tc>
          <w:tcPr>
            <w:tcW w:w="260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c>
          <w:tcPr>
            <w:tcW w:w="256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r>
      <w:tr>
        <w:trPr>
          <w:trHeight w:val="228"/>
        </w:trPr>
        <w:tc>
          <w:tcPr>
            <w:tcW w:w="2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Stephen Herbert(12)</w:t>
            </w:r>
          </w:p>
        </w:tc>
        <w:tc>
          <w:tcPr>
            <w:tcW w:w="2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298,436</w:t>
            </w:r>
          </w:p>
        </w:tc>
        <w:tc>
          <w:tcPr>
            <w:tcW w:w="1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298,436</w:t>
            </w:r>
          </w:p>
        </w:tc>
        <w:tc>
          <w:tcPr>
            <w:tcW w:w="2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2560" w:type="dxa"/>
            <w:vAlign w:val="bottom"/>
            <w:tcBorders>
              <w:left w:val="single" w:sz="8" w:color="auto"/>
              <w:bottom w:val="single" w:sz="8" w:color="auto"/>
              <w:right w:val="single" w:sz="8" w:color="auto"/>
            </w:tcBorders>
          </w:tcPr>
          <w:p>
            <w:pPr>
              <w:spacing w:after="0"/>
              <w:rPr>
                <w:sz w:val="13"/>
                <w:szCs w:val="13"/>
                <w:color w:val="auto"/>
              </w:rPr>
            </w:pPr>
          </w:p>
        </w:tc>
        <w:tc>
          <w:tcPr>
            <w:tcW w:w="260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c>
          <w:tcPr>
            <w:tcW w:w="256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r>
      <w:tr>
        <w:trPr>
          <w:trHeight w:val="228"/>
        </w:trPr>
        <w:tc>
          <w:tcPr>
            <w:tcW w:w="2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Peter Vesco(13)</w:t>
            </w:r>
          </w:p>
        </w:tc>
        <w:tc>
          <w:tcPr>
            <w:tcW w:w="2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1,153,633(14)</w:t>
            </w:r>
          </w:p>
        </w:tc>
        <w:tc>
          <w:tcPr>
            <w:tcW w:w="1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1,153,633</w:t>
            </w:r>
          </w:p>
        </w:tc>
        <w:tc>
          <w:tcPr>
            <w:tcW w:w="2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2560" w:type="dxa"/>
            <w:vAlign w:val="bottom"/>
            <w:tcBorders>
              <w:left w:val="single" w:sz="8" w:color="auto"/>
              <w:bottom w:val="single" w:sz="8" w:color="auto"/>
              <w:right w:val="single" w:sz="8" w:color="auto"/>
            </w:tcBorders>
          </w:tcPr>
          <w:p>
            <w:pPr>
              <w:spacing w:after="0"/>
              <w:rPr>
                <w:sz w:val="13"/>
                <w:szCs w:val="13"/>
                <w:color w:val="auto"/>
              </w:rPr>
            </w:pPr>
          </w:p>
        </w:tc>
        <w:tc>
          <w:tcPr>
            <w:tcW w:w="260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c>
          <w:tcPr>
            <w:tcW w:w="256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r>
      <w:tr>
        <w:trPr>
          <w:trHeight w:val="228"/>
        </w:trPr>
        <w:tc>
          <w:tcPr>
            <w:tcW w:w="2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DBLP Sea Cow Limited(15)</w:t>
            </w:r>
          </w:p>
        </w:tc>
        <w:tc>
          <w:tcPr>
            <w:tcW w:w="2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48,731,428(16)</w:t>
            </w:r>
          </w:p>
        </w:tc>
        <w:tc>
          <w:tcPr>
            <w:tcW w:w="1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37,052,254</w:t>
            </w:r>
          </w:p>
        </w:tc>
        <w:tc>
          <w:tcPr>
            <w:tcW w:w="2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11,679,174</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4.79</w:t>
            </w:r>
          </w:p>
        </w:tc>
      </w:tr>
      <w:tr>
        <w:trPr>
          <w:trHeight w:val="157"/>
        </w:trPr>
        <w:tc>
          <w:tcPr>
            <w:tcW w:w="2560" w:type="dxa"/>
            <w:vAlign w:val="bottom"/>
            <w:tcBorders>
              <w:left w:val="single" w:sz="8" w:color="auto"/>
              <w:bottom w:val="single" w:sz="8" w:color="auto"/>
              <w:right w:val="single" w:sz="8" w:color="auto"/>
            </w:tcBorders>
          </w:tcPr>
          <w:p>
            <w:pPr>
              <w:spacing w:after="0"/>
              <w:rPr>
                <w:sz w:val="13"/>
                <w:szCs w:val="13"/>
                <w:color w:val="auto"/>
              </w:rPr>
            </w:pPr>
          </w:p>
        </w:tc>
        <w:tc>
          <w:tcPr>
            <w:tcW w:w="260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c>
          <w:tcPr>
            <w:tcW w:w="256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r>
      <w:tr>
        <w:trPr>
          <w:trHeight w:val="228"/>
        </w:trPr>
        <w:tc>
          <w:tcPr>
            <w:tcW w:w="2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Igor Lychagov(17)</w:t>
            </w:r>
          </w:p>
        </w:tc>
        <w:tc>
          <w:tcPr>
            <w:tcW w:w="2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35,843,258(18)</w:t>
            </w:r>
          </w:p>
        </w:tc>
        <w:tc>
          <w:tcPr>
            <w:tcW w:w="1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35,792,064</w:t>
            </w:r>
          </w:p>
        </w:tc>
        <w:tc>
          <w:tcPr>
            <w:tcW w:w="2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51,194</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2560" w:type="dxa"/>
            <w:vAlign w:val="bottom"/>
            <w:tcBorders>
              <w:left w:val="single" w:sz="8" w:color="auto"/>
              <w:bottom w:val="single" w:sz="8" w:color="auto"/>
              <w:right w:val="single" w:sz="8" w:color="auto"/>
            </w:tcBorders>
          </w:tcPr>
          <w:p>
            <w:pPr>
              <w:spacing w:after="0"/>
              <w:rPr>
                <w:sz w:val="13"/>
                <w:szCs w:val="13"/>
                <w:color w:val="auto"/>
              </w:rPr>
            </w:pPr>
          </w:p>
        </w:tc>
        <w:tc>
          <w:tcPr>
            <w:tcW w:w="260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c>
          <w:tcPr>
            <w:tcW w:w="256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r>
      <w:tr>
        <w:trPr>
          <w:trHeight w:val="191"/>
        </w:trPr>
        <w:tc>
          <w:tcPr>
            <w:tcW w:w="25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Apeiron Investment Group</w:t>
            </w:r>
          </w:p>
        </w:tc>
        <w:tc>
          <w:tcPr>
            <w:tcW w:w="26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25,097,545(20)</w:t>
            </w:r>
          </w:p>
        </w:tc>
        <w:tc>
          <w:tcPr>
            <w:tcW w:w="19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25,097,545</w:t>
            </w:r>
          </w:p>
        </w:tc>
        <w:tc>
          <w:tcPr>
            <w:tcW w:w="2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Limited (19)</w:t>
            </w:r>
          </w:p>
        </w:tc>
        <w:tc>
          <w:tcPr>
            <w:tcW w:w="260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r>
      <w:tr>
        <w:trPr>
          <w:trHeight w:val="175"/>
        </w:trPr>
        <w:tc>
          <w:tcPr>
            <w:tcW w:w="2560" w:type="dxa"/>
            <w:vAlign w:val="bottom"/>
            <w:tcBorders>
              <w:left w:val="single" w:sz="8" w:color="auto"/>
              <w:bottom w:val="single" w:sz="8" w:color="auto"/>
              <w:right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256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r>
      <w:tr>
        <w:trPr>
          <w:trHeight w:val="191"/>
        </w:trPr>
        <w:tc>
          <w:tcPr>
            <w:tcW w:w="25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ACM Alameda Special Purpose</w:t>
            </w:r>
          </w:p>
        </w:tc>
        <w:tc>
          <w:tcPr>
            <w:tcW w:w="26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45,634</w:t>
            </w:r>
          </w:p>
        </w:tc>
        <w:tc>
          <w:tcPr>
            <w:tcW w:w="19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45,634</w:t>
            </w:r>
          </w:p>
        </w:tc>
        <w:tc>
          <w:tcPr>
            <w:tcW w:w="2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Investment Fund II LP(21)</w:t>
            </w:r>
          </w:p>
        </w:tc>
        <w:tc>
          <w:tcPr>
            <w:tcW w:w="260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r>
      <w:tr>
        <w:trPr>
          <w:trHeight w:val="175"/>
        </w:trPr>
        <w:tc>
          <w:tcPr>
            <w:tcW w:w="2560" w:type="dxa"/>
            <w:vAlign w:val="bottom"/>
            <w:tcBorders>
              <w:left w:val="single" w:sz="8" w:color="auto"/>
              <w:bottom w:val="single" w:sz="8" w:color="auto"/>
              <w:right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256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r>
      <w:tr>
        <w:trPr>
          <w:trHeight w:val="191"/>
        </w:trPr>
        <w:tc>
          <w:tcPr>
            <w:tcW w:w="25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ACM Alamosa (Cayman)</w:t>
            </w:r>
          </w:p>
        </w:tc>
        <w:tc>
          <w:tcPr>
            <w:tcW w:w="26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51,889</w:t>
            </w:r>
          </w:p>
        </w:tc>
        <w:tc>
          <w:tcPr>
            <w:tcW w:w="19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51,889</w:t>
            </w:r>
          </w:p>
        </w:tc>
        <w:tc>
          <w:tcPr>
            <w:tcW w:w="2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Holdco LP(22)</w:t>
            </w:r>
          </w:p>
        </w:tc>
        <w:tc>
          <w:tcPr>
            <w:tcW w:w="260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r>
      <w:tr>
        <w:trPr>
          <w:trHeight w:val="175"/>
        </w:trPr>
        <w:tc>
          <w:tcPr>
            <w:tcW w:w="2560" w:type="dxa"/>
            <w:vAlign w:val="bottom"/>
            <w:tcBorders>
              <w:left w:val="single" w:sz="8" w:color="auto"/>
              <w:bottom w:val="single" w:sz="8" w:color="auto"/>
              <w:right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256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r>
      <w:tr>
        <w:trPr>
          <w:trHeight w:val="191"/>
        </w:trPr>
        <w:tc>
          <w:tcPr>
            <w:tcW w:w="25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ACM ASOF VII (Cayman)</w:t>
            </w:r>
          </w:p>
        </w:tc>
        <w:tc>
          <w:tcPr>
            <w:tcW w:w="26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48,967</w:t>
            </w:r>
          </w:p>
        </w:tc>
        <w:tc>
          <w:tcPr>
            <w:tcW w:w="19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48,967</w:t>
            </w:r>
          </w:p>
        </w:tc>
        <w:tc>
          <w:tcPr>
            <w:tcW w:w="2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Holdco LP(23)</w:t>
            </w:r>
          </w:p>
        </w:tc>
        <w:tc>
          <w:tcPr>
            <w:tcW w:w="260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r>
      <w:tr>
        <w:trPr>
          <w:trHeight w:val="175"/>
        </w:trPr>
        <w:tc>
          <w:tcPr>
            <w:tcW w:w="2560" w:type="dxa"/>
            <w:vAlign w:val="bottom"/>
            <w:tcBorders>
              <w:left w:val="single" w:sz="8" w:color="auto"/>
              <w:bottom w:val="single" w:sz="8" w:color="auto"/>
              <w:right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256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r>
      <w:tr>
        <w:trPr>
          <w:trHeight w:val="228"/>
        </w:trPr>
        <w:tc>
          <w:tcPr>
            <w:tcW w:w="2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Adam Krupczynski(24)</w:t>
            </w:r>
          </w:p>
        </w:tc>
        <w:tc>
          <w:tcPr>
            <w:tcW w:w="2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107,823(25)</w:t>
            </w:r>
          </w:p>
        </w:tc>
        <w:tc>
          <w:tcPr>
            <w:tcW w:w="1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67,113</w:t>
            </w:r>
          </w:p>
        </w:tc>
        <w:tc>
          <w:tcPr>
            <w:tcW w:w="2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40,710</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2560" w:type="dxa"/>
            <w:vAlign w:val="bottom"/>
            <w:tcBorders>
              <w:left w:val="single" w:sz="8" w:color="auto"/>
              <w:bottom w:val="single" w:sz="8" w:color="auto"/>
              <w:right w:val="single" w:sz="8" w:color="auto"/>
            </w:tcBorders>
          </w:tcPr>
          <w:p>
            <w:pPr>
              <w:spacing w:after="0"/>
              <w:rPr>
                <w:sz w:val="13"/>
                <w:szCs w:val="13"/>
                <w:color w:val="auto"/>
              </w:rPr>
            </w:pPr>
          </w:p>
        </w:tc>
        <w:tc>
          <w:tcPr>
            <w:tcW w:w="260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c>
          <w:tcPr>
            <w:tcW w:w="256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r>
      <w:tr>
        <w:trPr>
          <w:trHeight w:val="228"/>
        </w:trPr>
        <w:tc>
          <w:tcPr>
            <w:tcW w:w="2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Adam Wagner</w:t>
            </w:r>
          </w:p>
        </w:tc>
        <w:tc>
          <w:tcPr>
            <w:tcW w:w="2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940,000(26)</w:t>
            </w:r>
          </w:p>
        </w:tc>
        <w:tc>
          <w:tcPr>
            <w:tcW w:w="1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10,714</w:t>
            </w:r>
          </w:p>
        </w:tc>
        <w:tc>
          <w:tcPr>
            <w:tcW w:w="2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929,286</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2560" w:type="dxa"/>
            <w:vAlign w:val="bottom"/>
            <w:tcBorders>
              <w:left w:val="single" w:sz="8" w:color="auto"/>
              <w:bottom w:val="single" w:sz="8" w:color="auto"/>
              <w:right w:val="single" w:sz="8" w:color="auto"/>
            </w:tcBorders>
          </w:tcPr>
          <w:p>
            <w:pPr>
              <w:spacing w:after="0"/>
              <w:rPr>
                <w:sz w:val="13"/>
                <w:szCs w:val="13"/>
                <w:color w:val="auto"/>
              </w:rPr>
            </w:pPr>
          </w:p>
        </w:tc>
        <w:tc>
          <w:tcPr>
            <w:tcW w:w="260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c>
          <w:tcPr>
            <w:tcW w:w="256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r>
      <w:tr>
        <w:trPr>
          <w:trHeight w:val="191"/>
        </w:trPr>
        <w:tc>
          <w:tcPr>
            <w:tcW w:w="25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Antara Capital Total Return</w:t>
            </w:r>
          </w:p>
        </w:tc>
        <w:tc>
          <w:tcPr>
            <w:tcW w:w="26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265,483</w:t>
            </w:r>
          </w:p>
        </w:tc>
        <w:tc>
          <w:tcPr>
            <w:tcW w:w="19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131,250</w:t>
            </w:r>
          </w:p>
        </w:tc>
        <w:tc>
          <w:tcPr>
            <w:tcW w:w="2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134,233</w:t>
            </w:r>
          </w:p>
        </w:tc>
        <w:tc>
          <w:tcPr>
            <w:tcW w:w="1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SPAC(27)</w:t>
            </w:r>
          </w:p>
        </w:tc>
        <w:tc>
          <w:tcPr>
            <w:tcW w:w="260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r>
      <w:tr>
        <w:trPr>
          <w:trHeight w:val="175"/>
        </w:trPr>
        <w:tc>
          <w:tcPr>
            <w:tcW w:w="2560" w:type="dxa"/>
            <w:vAlign w:val="bottom"/>
            <w:tcBorders>
              <w:left w:val="single" w:sz="8" w:color="auto"/>
              <w:bottom w:val="single" w:sz="8" w:color="auto"/>
              <w:right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256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r>
      <w:tr>
        <w:trPr>
          <w:trHeight w:val="228"/>
        </w:trPr>
        <w:tc>
          <w:tcPr>
            <w:tcW w:w="2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Aperitus Limited</w:t>
            </w:r>
          </w:p>
        </w:tc>
        <w:tc>
          <w:tcPr>
            <w:tcW w:w="2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1,665,310(28)</w:t>
            </w:r>
          </w:p>
        </w:tc>
        <w:tc>
          <w:tcPr>
            <w:tcW w:w="1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33,333</w:t>
            </w:r>
          </w:p>
        </w:tc>
        <w:tc>
          <w:tcPr>
            <w:tcW w:w="2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1,631,977</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2560" w:type="dxa"/>
            <w:vAlign w:val="bottom"/>
            <w:tcBorders>
              <w:left w:val="single" w:sz="8" w:color="auto"/>
              <w:bottom w:val="single" w:sz="8" w:color="auto"/>
              <w:right w:val="single" w:sz="8" w:color="auto"/>
            </w:tcBorders>
          </w:tcPr>
          <w:p>
            <w:pPr>
              <w:spacing w:after="0"/>
              <w:rPr>
                <w:sz w:val="13"/>
                <w:szCs w:val="13"/>
                <w:color w:val="auto"/>
              </w:rPr>
            </w:pPr>
          </w:p>
        </w:tc>
        <w:tc>
          <w:tcPr>
            <w:tcW w:w="260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c>
          <w:tcPr>
            <w:tcW w:w="256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r>
      <w:tr>
        <w:trPr>
          <w:trHeight w:val="191"/>
        </w:trPr>
        <w:tc>
          <w:tcPr>
            <w:tcW w:w="25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AQR Absolute Return Master</w:t>
            </w:r>
          </w:p>
        </w:tc>
        <w:tc>
          <w:tcPr>
            <w:tcW w:w="26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4,125(30)</w:t>
            </w:r>
          </w:p>
        </w:tc>
        <w:tc>
          <w:tcPr>
            <w:tcW w:w="19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4,125</w:t>
            </w:r>
          </w:p>
        </w:tc>
        <w:tc>
          <w:tcPr>
            <w:tcW w:w="2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Account, L.P. (29)</w:t>
            </w:r>
          </w:p>
        </w:tc>
        <w:tc>
          <w:tcPr>
            <w:tcW w:w="260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r>
      <w:tr>
        <w:trPr>
          <w:trHeight w:val="176"/>
        </w:trPr>
        <w:tc>
          <w:tcPr>
            <w:tcW w:w="2560" w:type="dxa"/>
            <w:vAlign w:val="bottom"/>
            <w:tcBorders>
              <w:left w:val="single" w:sz="8" w:color="auto"/>
              <w:bottom w:val="single" w:sz="8" w:color="auto"/>
              <w:right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256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r>
      <w:tr>
        <w:trPr>
          <w:trHeight w:val="1215"/>
        </w:trPr>
        <w:tc>
          <w:tcPr>
            <w:tcW w:w="25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3" w:name="page94"/>
    <w:bookmarkEnd w:id="93"/>
    <w:tbl>
      <w:tblPr>
        <w:tblLayout w:type="fixed"/>
        <w:tblInd w:w="10" w:type="dxa"/>
        <w:tblCellMar>
          <w:top w:w="0" w:type="dxa"/>
          <w:left w:w="0" w:type="dxa"/>
          <w:bottom w:w="0" w:type="dxa"/>
          <w:right w:w="0" w:type="dxa"/>
        </w:tblCellMar>
      </w:tblPr>
      <w:tr>
        <w:trPr>
          <w:trHeight w:val="207"/>
        </w:trPr>
        <w:tc>
          <w:tcPr>
            <w:tcW w:w="2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AQR Diversified Arbitrage</w:t>
            </w:r>
          </w:p>
        </w:tc>
        <w:tc>
          <w:tcPr>
            <w:tcW w:w="2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19,875(32)</w:t>
            </w:r>
          </w:p>
        </w:tc>
        <w:tc>
          <w:tcPr>
            <w:tcW w:w="1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19,875</w:t>
            </w:r>
          </w:p>
        </w:tc>
        <w:tc>
          <w:tcPr>
            <w:tcW w:w="2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Fund, a series of AQR</w:t>
            </w:r>
          </w:p>
        </w:tc>
        <w:tc>
          <w:tcPr>
            <w:tcW w:w="260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r>
      <w:tr>
        <w:trPr>
          <w:trHeight w:val="234"/>
        </w:trPr>
        <w:tc>
          <w:tcPr>
            <w:tcW w:w="2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Funds(31)</w:t>
            </w:r>
          </w:p>
        </w:tc>
        <w:tc>
          <w:tcPr>
            <w:tcW w:w="260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r>
      <w:tr>
        <w:trPr>
          <w:trHeight w:val="175"/>
        </w:trPr>
        <w:tc>
          <w:tcPr>
            <w:tcW w:w="2560" w:type="dxa"/>
            <w:vAlign w:val="bottom"/>
            <w:tcBorders>
              <w:left w:val="single" w:sz="8" w:color="auto"/>
              <w:bottom w:val="single" w:sz="8" w:color="auto"/>
              <w:right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256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r>
      <w:tr>
        <w:trPr>
          <w:trHeight w:val="191"/>
        </w:trPr>
        <w:tc>
          <w:tcPr>
            <w:tcW w:w="25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AQR Global Alternative</w:t>
            </w:r>
          </w:p>
        </w:tc>
        <w:tc>
          <w:tcPr>
            <w:tcW w:w="26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18,857(34)</w:t>
            </w:r>
          </w:p>
        </w:tc>
        <w:tc>
          <w:tcPr>
            <w:tcW w:w="19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18,857</w:t>
            </w:r>
          </w:p>
        </w:tc>
        <w:tc>
          <w:tcPr>
            <w:tcW w:w="2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Investment Offshore Fund,</w:t>
            </w:r>
          </w:p>
        </w:tc>
        <w:tc>
          <w:tcPr>
            <w:tcW w:w="260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r>
      <w:tr>
        <w:trPr>
          <w:trHeight w:val="234"/>
        </w:trPr>
        <w:tc>
          <w:tcPr>
            <w:tcW w:w="2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L.P(33)</w:t>
            </w:r>
          </w:p>
        </w:tc>
        <w:tc>
          <w:tcPr>
            <w:tcW w:w="260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r>
      <w:tr>
        <w:trPr>
          <w:trHeight w:val="176"/>
        </w:trPr>
        <w:tc>
          <w:tcPr>
            <w:tcW w:w="2560" w:type="dxa"/>
            <w:vAlign w:val="bottom"/>
            <w:tcBorders>
              <w:left w:val="single" w:sz="8" w:color="auto"/>
              <w:bottom w:val="single" w:sz="8" w:color="auto"/>
              <w:right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256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r>
      <w:tr>
        <w:trPr>
          <w:trHeight w:val="228"/>
        </w:trPr>
        <w:tc>
          <w:tcPr>
            <w:tcW w:w="2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Arthur Yao(35)</w:t>
            </w:r>
          </w:p>
        </w:tc>
        <w:tc>
          <w:tcPr>
            <w:tcW w:w="2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1,311,816(36)</w:t>
            </w:r>
          </w:p>
        </w:tc>
        <w:tc>
          <w:tcPr>
            <w:tcW w:w="1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82,094</w:t>
            </w:r>
          </w:p>
        </w:tc>
        <w:tc>
          <w:tcPr>
            <w:tcW w:w="2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1,229,722</w:t>
            </w: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2560" w:type="dxa"/>
            <w:vAlign w:val="bottom"/>
            <w:tcBorders>
              <w:left w:val="single" w:sz="8" w:color="auto"/>
              <w:bottom w:val="single" w:sz="8" w:color="auto"/>
              <w:right w:val="single" w:sz="8" w:color="auto"/>
            </w:tcBorders>
          </w:tcPr>
          <w:p>
            <w:pPr>
              <w:spacing w:after="0"/>
              <w:rPr>
                <w:sz w:val="13"/>
                <w:szCs w:val="13"/>
                <w:color w:val="auto"/>
              </w:rPr>
            </w:pPr>
          </w:p>
        </w:tc>
        <w:tc>
          <w:tcPr>
            <w:tcW w:w="2600" w:type="dxa"/>
            <w:vAlign w:val="bottom"/>
            <w:tcBorders>
              <w:bottom w:val="single" w:sz="8" w:color="auto"/>
              <w:right w:val="single" w:sz="8" w:color="auto"/>
            </w:tcBorders>
          </w:tcPr>
          <w:p>
            <w:pPr>
              <w:spacing w:after="0"/>
              <w:rPr>
                <w:sz w:val="13"/>
                <w:szCs w:val="13"/>
                <w:color w:val="auto"/>
              </w:rPr>
            </w:pPr>
          </w:p>
        </w:tc>
        <w:tc>
          <w:tcPr>
            <w:tcW w:w="1940" w:type="dxa"/>
            <w:vAlign w:val="bottom"/>
            <w:tcBorders>
              <w:bottom w:val="single" w:sz="8" w:color="auto"/>
              <w:right w:val="single" w:sz="8" w:color="auto"/>
            </w:tcBorders>
          </w:tcPr>
          <w:p>
            <w:pPr>
              <w:spacing w:after="0"/>
              <w:rPr>
                <w:sz w:val="13"/>
                <w:szCs w:val="13"/>
                <w:color w:val="auto"/>
              </w:rPr>
            </w:pPr>
          </w:p>
        </w:tc>
        <w:tc>
          <w:tcPr>
            <w:tcW w:w="256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spacing w:after="0"/>
              <w:rPr>
                <w:sz w:val="13"/>
                <w:szCs w:val="13"/>
                <w:color w:val="auto"/>
              </w:rPr>
            </w:pPr>
          </w:p>
        </w:tc>
      </w:tr>
      <w:tr>
        <w:trPr>
          <w:trHeight w:val="191"/>
        </w:trPr>
        <w:tc>
          <w:tcPr>
            <w:tcW w:w="256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ASJC Global LLC - Series 14</w:t>
            </w:r>
          </w:p>
        </w:tc>
        <w:tc>
          <w:tcPr>
            <w:tcW w:w="26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1,036,863</w:t>
            </w:r>
          </w:p>
        </w:tc>
        <w:tc>
          <w:tcPr>
            <w:tcW w:w="19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1,036,863</w:t>
            </w:r>
          </w:p>
        </w:tc>
        <w:tc>
          <w:tcPr>
            <w:tcW w:w="25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(37)</w:t>
            </w:r>
          </w:p>
        </w:tc>
        <w:tc>
          <w:tcPr>
            <w:tcW w:w="260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r>
      <w:tr>
        <w:trPr>
          <w:trHeight w:val="176"/>
        </w:trPr>
        <w:tc>
          <w:tcPr>
            <w:tcW w:w="2560" w:type="dxa"/>
            <w:vAlign w:val="bottom"/>
            <w:tcBorders>
              <w:left w:val="single" w:sz="8" w:color="auto"/>
              <w:bottom w:val="single" w:sz="8" w:color="auto"/>
              <w:right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256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r>
      <w:tr>
        <w:trPr>
          <w:trHeight w:val="228"/>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6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87"/>
        </w:trPr>
        <w:tc>
          <w:tcPr>
            <w:tcW w:w="2560" w:type="dxa"/>
            <w:vAlign w:val="bottom"/>
            <w:tcBorders>
              <w:bottom w:val="single" w:sz="8" w:color="A0A0A0"/>
            </w:tcBorders>
          </w:tcPr>
          <w:p>
            <w:pPr>
              <w:spacing w:after="0"/>
              <w:rPr>
                <w:sz w:val="24"/>
                <w:szCs w:val="24"/>
                <w:color w:val="auto"/>
              </w:rPr>
            </w:pPr>
          </w:p>
        </w:tc>
        <w:tc>
          <w:tcPr>
            <w:tcW w:w="2600" w:type="dxa"/>
            <w:vAlign w:val="bottom"/>
            <w:tcBorders>
              <w:bottom w:val="single" w:sz="8" w:color="A0A0A0"/>
            </w:tcBorders>
          </w:tcPr>
          <w:p>
            <w:pPr>
              <w:spacing w:after="0"/>
              <w:rPr>
                <w:sz w:val="24"/>
                <w:szCs w:val="24"/>
                <w:color w:val="auto"/>
              </w:rPr>
            </w:pPr>
          </w:p>
        </w:tc>
        <w:tc>
          <w:tcPr>
            <w:tcW w:w="1940" w:type="dxa"/>
            <w:vAlign w:val="bottom"/>
            <w:tcBorders>
              <w:bottom w:val="single" w:sz="8" w:color="A0A0A0"/>
            </w:tcBorders>
          </w:tcPr>
          <w:p>
            <w:pPr>
              <w:spacing w:after="0"/>
              <w:rPr>
                <w:sz w:val="24"/>
                <w:szCs w:val="24"/>
                <w:color w:val="auto"/>
              </w:rPr>
            </w:pPr>
          </w:p>
        </w:tc>
        <w:tc>
          <w:tcPr>
            <w:tcW w:w="2560" w:type="dxa"/>
            <w:vAlign w:val="bottom"/>
            <w:tcBorders>
              <w:bottom w:val="single" w:sz="8" w:color="A0A0A0"/>
            </w:tcBorders>
          </w:tcPr>
          <w:p>
            <w:pPr>
              <w:spacing w:after="0"/>
              <w:rPr>
                <w:sz w:val="24"/>
                <w:szCs w:val="24"/>
                <w:color w:val="auto"/>
              </w:rPr>
            </w:pPr>
          </w:p>
        </w:tc>
        <w:tc>
          <w:tcPr>
            <w:tcW w:w="1580" w:type="dxa"/>
            <w:vAlign w:val="bottom"/>
            <w:tcBorders>
              <w:bottom w:val="single" w:sz="8" w:color="A0A0A0"/>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35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Atalaya Special Purpose Investment Fund II</w:t>
            </w:r>
          </w:p>
        </w:tc>
        <w:tc>
          <w:tcPr>
            <w:tcW w:w="29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35,177</w:t>
            </w:r>
          </w:p>
        </w:tc>
        <w:tc>
          <w:tcPr>
            <w:tcW w:w="16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35,177</w:t>
            </w:r>
          </w:p>
        </w:tc>
        <w:tc>
          <w:tcPr>
            <w:tcW w:w="28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LP(38)</w:t>
            </w:r>
          </w:p>
        </w:tc>
        <w:tc>
          <w:tcPr>
            <w:tcW w:w="294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r>
      <w:tr>
        <w:trPr>
          <w:trHeight w:val="212"/>
        </w:trPr>
        <w:tc>
          <w:tcPr>
            <w:tcW w:w="3520" w:type="dxa"/>
            <w:vAlign w:val="bottom"/>
            <w:tcBorders>
              <w:left w:val="single" w:sz="8" w:color="auto"/>
              <w:bottom w:val="single" w:sz="8" w:color="auto"/>
              <w:right w:val="single" w:sz="8" w:color="auto"/>
            </w:tcBorders>
          </w:tcPr>
          <w:p>
            <w:pPr>
              <w:spacing w:after="0"/>
              <w:rPr>
                <w:sz w:val="18"/>
                <w:szCs w:val="18"/>
                <w:color w:val="auto"/>
              </w:rPr>
            </w:pPr>
          </w:p>
        </w:tc>
        <w:tc>
          <w:tcPr>
            <w:tcW w:w="29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r>
      <w:tr>
        <w:trPr>
          <w:trHeight w:val="194"/>
        </w:trPr>
        <w:tc>
          <w:tcPr>
            <w:tcW w:w="3520" w:type="dxa"/>
            <w:vAlign w:val="bottom"/>
            <w:tcBorders>
              <w:left w:val="single" w:sz="8" w:color="auto"/>
              <w:righ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Berenberg Capital Markets LLC</w:t>
            </w:r>
          </w:p>
        </w:tc>
        <w:tc>
          <w:tcPr>
            <w:tcW w:w="2940" w:type="dxa"/>
            <w:vAlign w:val="bottom"/>
            <w:tcBorders>
              <w:right w:val="single" w:sz="8" w:color="auto"/>
            </w:tcBorders>
          </w:tcPr>
          <w:p>
            <w:pPr>
              <w:ind w:left="80"/>
              <w:spacing w:after="0" w:line="195" w:lineRule="exact"/>
              <w:rPr>
                <w:sz w:val="20"/>
                <w:szCs w:val="20"/>
                <w:color w:val="auto"/>
              </w:rPr>
            </w:pPr>
            <w:r>
              <w:rPr>
                <w:rFonts w:ascii="Times New Roman" w:cs="Times New Roman" w:eastAsia="Times New Roman" w:hAnsi="Times New Roman"/>
                <w:sz w:val="18"/>
                <w:szCs w:val="18"/>
                <w:color w:val="auto"/>
              </w:rPr>
              <w:t>50,000(39)</w:t>
            </w:r>
          </w:p>
        </w:tc>
        <w:tc>
          <w:tcPr>
            <w:tcW w:w="162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color w:val="auto"/>
              </w:rPr>
              <w:t>50,000</w:t>
            </w:r>
          </w:p>
        </w:tc>
        <w:tc>
          <w:tcPr>
            <w:tcW w:w="280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154"/>
        </w:trPr>
        <w:tc>
          <w:tcPr>
            <w:tcW w:w="3520" w:type="dxa"/>
            <w:vAlign w:val="bottom"/>
            <w:tcBorders>
              <w:left w:val="single" w:sz="8" w:color="auto"/>
              <w:bottom w:val="single" w:sz="8" w:color="auto"/>
              <w:right w:val="single" w:sz="8" w:color="auto"/>
            </w:tcBorders>
          </w:tcPr>
          <w:p>
            <w:pPr>
              <w:spacing w:after="0"/>
              <w:rPr>
                <w:sz w:val="13"/>
                <w:szCs w:val="13"/>
                <w:color w:val="auto"/>
              </w:rPr>
            </w:pPr>
          </w:p>
        </w:tc>
        <w:tc>
          <w:tcPr>
            <w:tcW w:w="294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228"/>
        </w:trPr>
        <w:tc>
          <w:tcPr>
            <w:tcW w:w="3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Boston Patriot Merrimack ST. LLC(40)</w:t>
            </w:r>
          </w:p>
        </w:tc>
        <w:tc>
          <w:tcPr>
            <w:tcW w:w="2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29,495</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29,495</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20" w:type="dxa"/>
            <w:vAlign w:val="bottom"/>
            <w:tcBorders>
              <w:left w:val="single" w:sz="8" w:color="auto"/>
              <w:bottom w:val="single" w:sz="8" w:color="auto"/>
              <w:right w:val="single" w:sz="8" w:color="auto"/>
            </w:tcBorders>
          </w:tcPr>
          <w:p>
            <w:pPr>
              <w:spacing w:after="0"/>
              <w:rPr>
                <w:sz w:val="13"/>
                <w:szCs w:val="13"/>
                <w:color w:val="auto"/>
              </w:rPr>
            </w:pPr>
          </w:p>
        </w:tc>
        <w:tc>
          <w:tcPr>
            <w:tcW w:w="294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191"/>
        </w:trPr>
        <w:tc>
          <w:tcPr>
            <w:tcW w:w="35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Bradley Wickens</w:t>
            </w:r>
          </w:p>
        </w:tc>
        <w:tc>
          <w:tcPr>
            <w:tcW w:w="29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25,938,919(41)</w:t>
            </w:r>
          </w:p>
        </w:tc>
        <w:tc>
          <w:tcPr>
            <w:tcW w:w="16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12,544,460</w:t>
            </w:r>
          </w:p>
        </w:tc>
        <w:tc>
          <w:tcPr>
            <w:tcW w:w="28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13,394,459</w:t>
            </w:r>
          </w:p>
        </w:tc>
        <w:tc>
          <w:tcPr>
            <w:tcW w:w="3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3520" w:type="dxa"/>
            <w:vAlign w:val="bottom"/>
            <w:tcBorders>
              <w:left w:val="single" w:sz="8" w:color="auto"/>
              <w:right w:val="single" w:sz="8" w:color="auto"/>
            </w:tcBorders>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3520" w:type="dxa"/>
            <w:vAlign w:val="bottom"/>
            <w:tcBorders>
              <w:left w:val="single" w:sz="8" w:color="auto"/>
              <w:right w:val="single" w:sz="8" w:color="auto"/>
            </w:tcBorders>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w:t>
            </w:r>
          </w:p>
        </w:tc>
      </w:tr>
      <w:tr>
        <w:trPr>
          <w:trHeight w:val="175"/>
        </w:trPr>
        <w:tc>
          <w:tcPr>
            <w:tcW w:w="3520" w:type="dxa"/>
            <w:vAlign w:val="bottom"/>
            <w:tcBorders>
              <w:left w:val="single" w:sz="8" w:color="auto"/>
              <w:bottom w:val="single" w:sz="8" w:color="auto"/>
              <w:right w:val="single" w:sz="8" w:color="auto"/>
            </w:tcBorders>
          </w:tcPr>
          <w:p>
            <w:pPr>
              <w:spacing w:after="0"/>
              <w:rPr>
                <w:sz w:val="15"/>
                <w:szCs w:val="15"/>
                <w:color w:val="auto"/>
              </w:rPr>
            </w:pPr>
          </w:p>
        </w:tc>
        <w:tc>
          <w:tcPr>
            <w:tcW w:w="294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spacing w:after="0"/>
              <w:rPr>
                <w:sz w:val="15"/>
                <w:szCs w:val="15"/>
                <w:color w:val="auto"/>
              </w:rPr>
            </w:pPr>
          </w:p>
        </w:tc>
        <w:tc>
          <w:tcPr>
            <w:tcW w:w="28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r>
      <w:tr>
        <w:trPr>
          <w:trHeight w:val="228"/>
        </w:trPr>
        <w:tc>
          <w:tcPr>
            <w:tcW w:w="3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Brooks Newmark</w:t>
            </w:r>
          </w:p>
        </w:tc>
        <w:tc>
          <w:tcPr>
            <w:tcW w:w="2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17,070,000 (42)</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17,070,000</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20" w:type="dxa"/>
            <w:vAlign w:val="bottom"/>
            <w:tcBorders>
              <w:left w:val="single" w:sz="8" w:color="auto"/>
              <w:bottom w:val="single" w:sz="8" w:color="auto"/>
              <w:right w:val="single" w:sz="8" w:color="auto"/>
            </w:tcBorders>
          </w:tcPr>
          <w:p>
            <w:pPr>
              <w:spacing w:after="0"/>
              <w:rPr>
                <w:sz w:val="13"/>
                <w:szCs w:val="13"/>
                <w:color w:val="auto"/>
              </w:rPr>
            </w:pPr>
          </w:p>
        </w:tc>
        <w:tc>
          <w:tcPr>
            <w:tcW w:w="294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228"/>
        </w:trPr>
        <w:tc>
          <w:tcPr>
            <w:tcW w:w="3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Cecil Levy</w:t>
            </w:r>
          </w:p>
        </w:tc>
        <w:tc>
          <w:tcPr>
            <w:tcW w:w="2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30,553(43)</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10,000</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20,553</w:t>
            </w:r>
          </w:p>
        </w:tc>
        <w:tc>
          <w:tcPr>
            <w:tcW w:w="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20" w:type="dxa"/>
            <w:vAlign w:val="bottom"/>
            <w:tcBorders>
              <w:left w:val="single" w:sz="8" w:color="auto"/>
              <w:bottom w:val="single" w:sz="8" w:color="auto"/>
              <w:right w:val="single" w:sz="8" w:color="auto"/>
            </w:tcBorders>
          </w:tcPr>
          <w:p>
            <w:pPr>
              <w:spacing w:after="0"/>
              <w:rPr>
                <w:sz w:val="13"/>
                <w:szCs w:val="13"/>
                <w:color w:val="auto"/>
              </w:rPr>
            </w:pPr>
          </w:p>
        </w:tc>
        <w:tc>
          <w:tcPr>
            <w:tcW w:w="294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228"/>
        </w:trPr>
        <w:tc>
          <w:tcPr>
            <w:tcW w:w="3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Celso L. White(44)</w:t>
            </w:r>
          </w:p>
        </w:tc>
        <w:tc>
          <w:tcPr>
            <w:tcW w:w="2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125,000</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125,000</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20" w:type="dxa"/>
            <w:vAlign w:val="bottom"/>
            <w:tcBorders>
              <w:left w:val="single" w:sz="8" w:color="auto"/>
              <w:bottom w:val="single" w:sz="8" w:color="auto"/>
              <w:right w:val="single" w:sz="8" w:color="auto"/>
            </w:tcBorders>
          </w:tcPr>
          <w:p>
            <w:pPr>
              <w:spacing w:after="0"/>
              <w:rPr>
                <w:sz w:val="13"/>
                <w:szCs w:val="13"/>
                <w:color w:val="auto"/>
              </w:rPr>
            </w:pPr>
          </w:p>
        </w:tc>
        <w:tc>
          <w:tcPr>
            <w:tcW w:w="294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191"/>
        </w:trPr>
        <w:tc>
          <w:tcPr>
            <w:tcW w:w="35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Cohen &amp; Company Financial Management</w:t>
            </w:r>
          </w:p>
        </w:tc>
        <w:tc>
          <w:tcPr>
            <w:tcW w:w="29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16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12,579,532(46)</w:t>
            </w:r>
          </w:p>
        </w:tc>
        <w:tc>
          <w:tcPr>
            <w:tcW w:w="28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3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LLC(45)</w:t>
            </w:r>
          </w:p>
        </w:tc>
        <w:tc>
          <w:tcPr>
            <w:tcW w:w="294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r>
      <w:tr>
        <w:trPr>
          <w:trHeight w:val="175"/>
        </w:trPr>
        <w:tc>
          <w:tcPr>
            <w:tcW w:w="3520" w:type="dxa"/>
            <w:vAlign w:val="bottom"/>
            <w:tcBorders>
              <w:left w:val="single" w:sz="8" w:color="auto"/>
              <w:bottom w:val="single" w:sz="8" w:color="auto"/>
              <w:right w:val="single" w:sz="8" w:color="auto"/>
            </w:tcBorders>
          </w:tcPr>
          <w:p>
            <w:pPr>
              <w:spacing w:after="0"/>
              <w:rPr>
                <w:sz w:val="15"/>
                <w:szCs w:val="15"/>
                <w:color w:val="auto"/>
              </w:rPr>
            </w:pPr>
          </w:p>
        </w:tc>
        <w:tc>
          <w:tcPr>
            <w:tcW w:w="294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spacing w:after="0"/>
              <w:rPr>
                <w:sz w:val="15"/>
                <w:szCs w:val="15"/>
                <w:color w:val="auto"/>
              </w:rPr>
            </w:pPr>
          </w:p>
        </w:tc>
        <w:tc>
          <w:tcPr>
            <w:tcW w:w="280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r>
      <w:tr>
        <w:trPr>
          <w:trHeight w:val="228"/>
        </w:trPr>
        <w:tc>
          <w:tcPr>
            <w:tcW w:w="3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Cohen Sponsor LLC - A14 RS(47)</w:t>
            </w:r>
          </w:p>
        </w:tc>
        <w:tc>
          <w:tcPr>
            <w:tcW w:w="2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494,203</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494,203</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20" w:type="dxa"/>
            <w:vAlign w:val="bottom"/>
            <w:tcBorders>
              <w:left w:val="single" w:sz="8" w:color="auto"/>
              <w:bottom w:val="single" w:sz="8" w:color="auto"/>
              <w:right w:val="single" w:sz="8" w:color="auto"/>
            </w:tcBorders>
          </w:tcPr>
          <w:p>
            <w:pPr>
              <w:spacing w:after="0"/>
              <w:rPr>
                <w:sz w:val="13"/>
                <w:szCs w:val="13"/>
                <w:color w:val="auto"/>
              </w:rPr>
            </w:pPr>
          </w:p>
        </w:tc>
        <w:tc>
          <w:tcPr>
            <w:tcW w:w="294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228"/>
        </w:trPr>
        <w:tc>
          <w:tcPr>
            <w:tcW w:w="3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Context Partners Master Fund LP(48)</w:t>
            </w:r>
          </w:p>
        </w:tc>
        <w:tc>
          <w:tcPr>
            <w:tcW w:w="2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131,250</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131,250</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20" w:type="dxa"/>
            <w:vAlign w:val="bottom"/>
            <w:tcBorders>
              <w:left w:val="single" w:sz="8" w:color="auto"/>
              <w:bottom w:val="single" w:sz="8" w:color="auto"/>
              <w:right w:val="single" w:sz="8" w:color="auto"/>
            </w:tcBorders>
          </w:tcPr>
          <w:p>
            <w:pPr>
              <w:spacing w:after="0"/>
              <w:rPr>
                <w:sz w:val="13"/>
                <w:szCs w:val="13"/>
                <w:color w:val="auto"/>
              </w:rPr>
            </w:pPr>
          </w:p>
        </w:tc>
        <w:tc>
          <w:tcPr>
            <w:tcW w:w="294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228"/>
        </w:trPr>
        <w:tc>
          <w:tcPr>
            <w:tcW w:w="3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Corbin ERISA Opportunity Fund, Ltd. (49)</w:t>
            </w:r>
          </w:p>
        </w:tc>
        <w:tc>
          <w:tcPr>
            <w:tcW w:w="2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24,583</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24,583</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20" w:type="dxa"/>
            <w:vAlign w:val="bottom"/>
            <w:tcBorders>
              <w:left w:val="single" w:sz="8" w:color="auto"/>
              <w:bottom w:val="single" w:sz="8" w:color="auto"/>
              <w:right w:val="single" w:sz="8" w:color="auto"/>
            </w:tcBorders>
          </w:tcPr>
          <w:p>
            <w:pPr>
              <w:spacing w:after="0"/>
              <w:rPr>
                <w:sz w:val="13"/>
                <w:szCs w:val="13"/>
                <w:color w:val="auto"/>
              </w:rPr>
            </w:pPr>
          </w:p>
        </w:tc>
        <w:tc>
          <w:tcPr>
            <w:tcW w:w="294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228"/>
        </w:trPr>
        <w:tc>
          <w:tcPr>
            <w:tcW w:w="3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Julius Meller Management Services LTD</w:t>
            </w:r>
          </w:p>
        </w:tc>
        <w:tc>
          <w:tcPr>
            <w:tcW w:w="2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27,812(50)</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12,857</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14,955</w:t>
            </w:r>
          </w:p>
        </w:tc>
        <w:tc>
          <w:tcPr>
            <w:tcW w:w="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20" w:type="dxa"/>
            <w:vAlign w:val="bottom"/>
            <w:tcBorders>
              <w:left w:val="single" w:sz="8" w:color="auto"/>
              <w:bottom w:val="single" w:sz="8" w:color="auto"/>
              <w:right w:val="single" w:sz="8" w:color="auto"/>
            </w:tcBorders>
          </w:tcPr>
          <w:p>
            <w:pPr>
              <w:spacing w:after="0"/>
              <w:rPr>
                <w:sz w:val="13"/>
                <w:szCs w:val="13"/>
                <w:color w:val="auto"/>
              </w:rPr>
            </w:pPr>
          </w:p>
        </w:tc>
        <w:tc>
          <w:tcPr>
            <w:tcW w:w="294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228"/>
        </w:trPr>
        <w:tc>
          <w:tcPr>
            <w:tcW w:w="3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David Weinberger</w:t>
            </w:r>
          </w:p>
        </w:tc>
        <w:tc>
          <w:tcPr>
            <w:tcW w:w="2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201,300(51)</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201,000</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300</w:t>
            </w:r>
          </w:p>
        </w:tc>
        <w:tc>
          <w:tcPr>
            <w:tcW w:w="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20" w:type="dxa"/>
            <w:vAlign w:val="bottom"/>
            <w:tcBorders>
              <w:left w:val="single" w:sz="8" w:color="auto"/>
              <w:bottom w:val="single" w:sz="8" w:color="auto"/>
              <w:right w:val="single" w:sz="8" w:color="auto"/>
            </w:tcBorders>
          </w:tcPr>
          <w:p>
            <w:pPr>
              <w:spacing w:after="0"/>
              <w:rPr>
                <w:sz w:val="13"/>
                <w:szCs w:val="13"/>
                <w:color w:val="auto"/>
              </w:rPr>
            </w:pPr>
          </w:p>
        </w:tc>
        <w:tc>
          <w:tcPr>
            <w:tcW w:w="294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228"/>
        </w:trPr>
        <w:tc>
          <w:tcPr>
            <w:tcW w:w="3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Derek Smith</w:t>
            </w:r>
          </w:p>
        </w:tc>
        <w:tc>
          <w:tcPr>
            <w:tcW w:w="2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33,334(52)</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33,334</w:t>
            </w:r>
          </w:p>
        </w:tc>
        <w:tc>
          <w:tcPr>
            <w:tcW w:w="28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20" w:type="dxa"/>
            <w:vAlign w:val="bottom"/>
            <w:tcBorders>
              <w:left w:val="single" w:sz="8" w:color="auto"/>
              <w:bottom w:val="single" w:sz="8" w:color="auto"/>
              <w:right w:val="single" w:sz="8" w:color="auto"/>
            </w:tcBorders>
          </w:tcPr>
          <w:p>
            <w:pPr>
              <w:spacing w:after="0"/>
              <w:rPr>
                <w:sz w:val="13"/>
                <w:szCs w:val="13"/>
                <w:color w:val="auto"/>
              </w:rPr>
            </w:pPr>
          </w:p>
        </w:tc>
        <w:tc>
          <w:tcPr>
            <w:tcW w:w="294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228"/>
        </w:trPr>
        <w:tc>
          <w:tcPr>
            <w:tcW w:w="3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Dionysios Kolyris(53)</w:t>
            </w:r>
          </w:p>
        </w:tc>
        <w:tc>
          <w:tcPr>
            <w:tcW w:w="2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65,209(54)</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11,951</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20" w:type="dxa"/>
            <w:vAlign w:val="bottom"/>
            <w:tcBorders>
              <w:left w:val="single" w:sz="8" w:color="auto"/>
              <w:bottom w:val="single" w:sz="8" w:color="auto"/>
              <w:right w:val="single" w:sz="8" w:color="auto"/>
            </w:tcBorders>
          </w:tcPr>
          <w:p>
            <w:pPr>
              <w:spacing w:after="0"/>
              <w:rPr>
                <w:sz w:val="13"/>
                <w:szCs w:val="13"/>
                <w:color w:val="auto"/>
              </w:rPr>
            </w:pPr>
          </w:p>
        </w:tc>
        <w:tc>
          <w:tcPr>
            <w:tcW w:w="294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228"/>
        </w:trPr>
        <w:tc>
          <w:tcPr>
            <w:tcW w:w="3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DXG Deutsche Digital GmbH</w:t>
            </w:r>
          </w:p>
        </w:tc>
        <w:tc>
          <w:tcPr>
            <w:tcW w:w="2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7,333(55)</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7,333</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20" w:type="dxa"/>
            <w:vAlign w:val="bottom"/>
            <w:tcBorders>
              <w:left w:val="single" w:sz="8" w:color="auto"/>
              <w:bottom w:val="single" w:sz="8" w:color="auto"/>
              <w:right w:val="single" w:sz="8" w:color="auto"/>
            </w:tcBorders>
          </w:tcPr>
          <w:p>
            <w:pPr>
              <w:spacing w:after="0"/>
              <w:rPr>
                <w:sz w:val="13"/>
                <w:szCs w:val="13"/>
                <w:color w:val="auto"/>
              </w:rPr>
            </w:pPr>
          </w:p>
        </w:tc>
        <w:tc>
          <w:tcPr>
            <w:tcW w:w="294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228"/>
        </w:trPr>
        <w:tc>
          <w:tcPr>
            <w:tcW w:w="3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EF Hutton LLC(56)</w:t>
            </w:r>
          </w:p>
        </w:tc>
        <w:tc>
          <w:tcPr>
            <w:tcW w:w="2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50,000(57)</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20" w:type="dxa"/>
            <w:vAlign w:val="bottom"/>
            <w:tcBorders>
              <w:left w:val="single" w:sz="8" w:color="auto"/>
              <w:bottom w:val="single" w:sz="8" w:color="auto"/>
              <w:right w:val="single" w:sz="8" w:color="auto"/>
            </w:tcBorders>
          </w:tcPr>
          <w:p>
            <w:pPr>
              <w:spacing w:after="0"/>
              <w:rPr>
                <w:sz w:val="13"/>
                <w:szCs w:val="13"/>
                <w:color w:val="auto"/>
              </w:rPr>
            </w:pPr>
          </w:p>
        </w:tc>
        <w:tc>
          <w:tcPr>
            <w:tcW w:w="294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228"/>
        </w:trPr>
        <w:tc>
          <w:tcPr>
            <w:tcW w:w="3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Ercan Kilic(58)</w:t>
            </w:r>
          </w:p>
        </w:tc>
        <w:tc>
          <w:tcPr>
            <w:tcW w:w="2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18,175(59)</w:t>
            </w:r>
          </w:p>
        </w:tc>
        <w:tc>
          <w:tcPr>
            <w:tcW w:w="1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18,175</w:t>
            </w: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20" w:type="dxa"/>
            <w:vAlign w:val="bottom"/>
            <w:tcBorders>
              <w:left w:val="single" w:sz="8" w:color="auto"/>
              <w:bottom w:val="single" w:sz="8" w:color="auto"/>
              <w:right w:val="single" w:sz="8" w:color="auto"/>
            </w:tcBorders>
          </w:tcPr>
          <w:p>
            <w:pPr>
              <w:spacing w:after="0"/>
              <w:rPr>
                <w:sz w:val="13"/>
                <w:szCs w:val="13"/>
                <w:color w:val="auto"/>
              </w:rPr>
            </w:pPr>
          </w:p>
        </w:tc>
        <w:tc>
          <w:tcPr>
            <w:tcW w:w="294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280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1215"/>
        </w:trPr>
        <w:tc>
          <w:tcPr>
            <w:tcW w:w="35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94" w:name="page95"/>
    <w:bookmarkEnd w:id="94"/>
    <w:tbl>
      <w:tblPr>
        <w:tblLayout w:type="fixed"/>
        <w:tblInd w:w="10" w:type="dxa"/>
        <w:tblCellMar>
          <w:top w:w="0" w:type="dxa"/>
          <w:left w:w="0" w:type="dxa"/>
          <w:bottom w:w="0" w:type="dxa"/>
          <w:right w:w="0" w:type="dxa"/>
        </w:tblCellMar>
      </w:tblPr>
      <w:tr>
        <w:trPr>
          <w:trHeight w:val="207"/>
        </w:trPr>
        <w:tc>
          <w:tcPr>
            <w:tcW w:w="3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Fir Tree Capital Opportunity Master Fund</w:t>
            </w:r>
          </w:p>
        </w:tc>
        <w:tc>
          <w:tcPr>
            <w:tcW w:w="60" w:type="dxa"/>
            <w:vAlign w:val="bottom"/>
          </w:tcPr>
          <w:p>
            <w:pPr>
              <w:spacing w:after="0"/>
              <w:rPr>
                <w:sz w:val="17"/>
                <w:szCs w:val="17"/>
                <w:color w:val="auto"/>
              </w:rPr>
            </w:pPr>
          </w:p>
        </w:tc>
        <w:tc>
          <w:tcPr>
            <w:tcW w:w="1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9,122</w:t>
            </w:r>
          </w:p>
        </w:tc>
        <w:tc>
          <w:tcPr>
            <w:tcW w:w="1160" w:type="dxa"/>
            <w:vAlign w:val="bottom"/>
            <w:tcBorders>
              <w:right w:val="single" w:sz="8" w:color="auto"/>
            </w:tcBorders>
          </w:tcPr>
          <w:p>
            <w:pPr>
              <w:spacing w:after="0"/>
              <w:rPr>
                <w:sz w:val="17"/>
                <w:szCs w:val="17"/>
                <w:color w:val="auto"/>
              </w:rPr>
            </w:pP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9,122</w:t>
            </w:r>
          </w:p>
        </w:tc>
        <w:tc>
          <w:tcPr>
            <w:tcW w:w="580" w:type="dxa"/>
            <w:vAlign w:val="bottom"/>
            <w:tcBorders>
              <w:right w:val="single" w:sz="8" w:color="auto"/>
            </w:tcBorders>
          </w:tcPr>
          <w:p>
            <w:pPr>
              <w:spacing w:after="0"/>
              <w:rPr>
                <w:sz w:val="17"/>
                <w:szCs w:val="17"/>
                <w:color w:val="auto"/>
              </w:rPr>
            </w:pPr>
          </w:p>
        </w:tc>
        <w:tc>
          <w:tcPr>
            <w:tcW w:w="11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LP(60)</w:t>
            </w:r>
          </w:p>
        </w:tc>
        <w:tc>
          <w:tcPr>
            <w:tcW w:w="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r>
      <w:tr>
        <w:trPr>
          <w:trHeight w:val="175"/>
        </w:trPr>
        <w:tc>
          <w:tcPr>
            <w:tcW w:w="3500" w:type="dxa"/>
            <w:vAlign w:val="bottom"/>
            <w:tcBorders>
              <w:left w:val="single" w:sz="8" w:color="auto"/>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8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r>
      <w:tr>
        <w:trPr>
          <w:trHeight w:val="191"/>
        </w:trPr>
        <w:tc>
          <w:tcPr>
            <w:tcW w:w="35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Fir Tree Capital Opportunity Master Fund</w:t>
            </w:r>
          </w:p>
        </w:tc>
        <w:tc>
          <w:tcPr>
            <w:tcW w:w="60" w:type="dxa"/>
            <w:vAlign w:val="bottom"/>
          </w:tcPr>
          <w:p>
            <w:pPr>
              <w:spacing w:after="0"/>
              <w:rPr>
                <w:sz w:val="16"/>
                <w:szCs w:val="16"/>
                <w:color w:val="auto"/>
              </w:rPr>
            </w:pPr>
          </w:p>
        </w:tc>
        <w:tc>
          <w:tcPr>
            <w:tcW w:w="17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15,414</w:t>
            </w:r>
          </w:p>
        </w:tc>
        <w:tc>
          <w:tcPr>
            <w:tcW w:w="1160" w:type="dxa"/>
            <w:vAlign w:val="bottom"/>
            <w:tcBorders>
              <w:right w:val="single" w:sz="8" w:color="auto"/>
            </w:tcBorders>
          </w:tcPr>
          <w:p>
            <w:pPr>
              <w:spacing w:after="0"/>
              <w:rPr>
                <w:sz w:val="16"/>
                <w:szCs w:val="16"/>
                <w:color w:val="auto"/>
              </w:rPr>
            </w:pPr>
          </w:p>
        </w:tc>
        <w:tc>
          <w:tcPr>
            <w:tcW w:w="10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15,414</w:t>
            </w:r>
          </w:p>
        </w:tc>
        <w:tc>
          <w:tcPr>
            <w:tcW w:w="580" w:type="dxa"/>
            <w:vAlign w:val="bottom"/>
            <w:tcBorders>
              <w:right w:val="single" w:sz="8" w:color="auto"/>
            </w:tcBorders>
          </w:tcPr>
          <w:p>
            <w:pPr>
              <w:spacing w:after="0"/>
              <w:rPr>
                <w:sz w:val="16"/>
                <w:szCs w:val="16"/>
                <w:color w:val="auto"/>
              </w:rPr>
            </w:pPr>
          </w:p>
        </w:tc>
        <w:tc>
          <w:tcPr>
            <w:tcW w:w="1120" w:type="dxa"/>
            <w:vAlign w:val="bottom"/>
          </w:tcPr>
          <w:p>
            <w:pPr>
              <w:jc w:val="right"/>
              <w:ind w:right="8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3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3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III, LP(61)</w:t>
            </w:r>
          </w:p>
        </w:tc>
        <w:tc>
          <w:tcPr>
            <w:tcW w:w="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r>
      <w:tr>
        <w:trPr>
          <w:trHeight w:val="175"/>
        </w:trPr>
        <w:tc>
          <w:tcPr>
            <w:tcW w:w="3500" w:type="dxa"/>
            <w:vAlign w:val="bottom"/>
            <w:tcBorders>
              <w:left w:val="single" w:sz="8" w:color="auto"/>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8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r>
      <w:tr>
        <w:trPr>
          <w:trHeight w:val="228"/>
        </w:trPr>
        <w:tc>
          <w:tcPr>
            <w:tcW w:w="3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Fir Tree Value Master Fund, LP(62)</w:t>
            </w:r>
          </w:p>
        </w:tc>
        <w:tc>
          <w:tcPr>
            <w:tcW w:w="60" w:type="dxa"/>
            <w:vAlign w:val="bottom"/>
          </w:tcPr>
          <w:p>
            <w:pPr>
              <w:spacing w:after="0"/>
              <w:rPr>
                <w:sz w:val="19"/>
                <w:szCs w:val="19"/>
                <w:color w:val="auto"/>
              </w:rPr>
            </w:pPr>
          </w:p>
        </w:tc>
        <w:tc>
          <w:tcPr>
            <w:tcW w:w="1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14,048</w:t>
            </w:r>
          </w:p>
        </w:tc>
        <w:tc>
          <w:tcPr>
            <w:tcW w:w="1160" w:type="dxa"/>
            <w:vAlign w:val="bottom"/>
            <w:tcBorders>
              <w:right w:val="single" w:sz="8" w:color="auto"/>
            </w:tcBorders>
          </w:tcPr>
          <w:p>
            <w:pPr>
              <w:spacing w:after="0"/>
              <w:rPr>
                <w:sz w:val="19"/>
                <w:szCs w:val="19"/>
                <w:color w:val="auto"/>
              </w:rPr>
            </w:pP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14,048</w:t>
            </w:r>
          </w:p>
        </w:tc>
        <w:tc>
          <w:tcPr>
            <w:tcW w:w="580" w:type="dxa"/>
            <w:vAlign w:val="bottom"/>
            <w:tcBorders>
              <w:right w:val="single" w:sz="8" w:color="auto"/>
            </w:tcBorders>
          </w:tcPr>
          <w:p>
            <w:pPr>
              <w:spacing w:after="0"/>
              <w:rPr>
                <w:sz w:val="19"/>
                <w:szCs w:val="19"/>
                <w:color w:val="auto"/>
              </w:rPr>
            </w:pPr>
          </w:p>
        </w:tc>
        <w:tc>
          <w:tcPr>
            <w:tcW w:w="11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0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8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228"/>
        </w:trPr>
        <w:tc>
          <w:tcPr>
            <w:tcW w:w="3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FT SOF XIII (SPAC) Holdings, LLC(63)</w:t>
            </w:r>
          </w:p>
        </w:tc>
        <w:tc>
          <w:tcPr>
            <w:tcW w:w="60" w:type="dxa"/>
            <w:vAlign w:val="bottom"/>
          </w:tcPr>
          <w:p>
            <w:pPr>
              <w:spacing w:after="0"/>
              <w:rPr>
                <w:sz w:val="19"/>
                <w:szCs w:val="19"/>
                <w:color w:val="auto"/>
              </w:rPr>
            </w:pPr>
          </w:p>
        </w:tc>
        <w:tc>
          <w:tcPr>
            <w:tcW w:w="1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6,921</w:t>
            </w:r>
          </w:p>
        </w:tc>
        <w:tc>
          <w:tcPr>
            <w:tcW w:w="1160" w:type="dxa"/>
            <w:vAlign w:val="bottom"/>
            <w:tcBorders>
              <w:right w:val="single" w:sz="8" w:color="auto"/>
            </w:tcBorders>
          </w:tcPr>
          <w:p>
            <w:pPr>
              <w:spacing w:after="0"/>
              <w:rPr>
                <w:sz w:val="19"/>
                <w:szCs w:val="19"/>
                <w:color w:val="auto"/>
              </w:rPr>
            </w:pP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6,921</w:t>
            </w:r>
          </w:p>
        </w:tc>
        <w:tc>
          <w:tcPr>
            <w:tcW w:w="580" w:type="dxa"/>
            <w:vAlign w:val="bottom"/>
            <w:tcBorders>
              <w:right w:val="single" w:sz="8" w:color="auto"/>
            </w:tcBorders>
          </w:tcPr>
          <w:p>
            <w:pPr>
              <w:spacing w:after="0"/>
              <w:rPr>
                <w:sz w:val="19"/>
                <w:szCs w:val="19"/>
                <w:color w:val="auto"/>
              </w:rPr>
            </w:pPr>
          </w:p>
        </w:tc>
        <w:tc>
          <w:tcPr>
            <w:tcW w:w="11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0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8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191"/>
        </w:trPr>
        <w:tc>
          <w:tcPr>
            <w:tcW w:w="35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Fujian Limatong XinXi Keji Youxian</w:t>
            </w:r>
          </w:p>
        </w:tc>
        <w:tc>
          <w:tcPr>
            <w:tcW w:w="60" w:type="dxa"/>
            <w:vAlign w:val="bottom"/>
          </w:tcPr>
          <w:p>
            <w:pPr>
              <w:spacing w:after="0"/>
              <w:rPr>
                <w:sz w:val="16"/>
                <w:szCs w:val="16"/>
                <w:color w:val="auto"/>
              </w:rPr>
            </w:pPr>
          </w:p>
        </w:tc>
        <w:tc>
          <w:tcPr>
            <w:tcW w:w="17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325,411 (64)</w:t>
            </w:r>
          </w:p>
        </w:tc>
        <w:tc>
          <w:tcPr>
            <w:tcW w:w="1160" w:type="dxa"/>
            <w:vAlign w:val="bottom"/>
            <w:tcBorders>
              <w:right w:val="single" w:sz="8" w:color="auto"/>
            </w:tcBorders>
          </w:tcPr>
          <w:p>
            <w:pPr>
              <w:spacing w:after="0"/>
              <w:rPr>
                <w:sz w:val="16"/>
                <w:szCs w:val="16"/>
                <w:color w:val="auto"/>
              </w:rPr>
            </w:pPr>
          </w:p>
        </w:tc>
        <w:tc>
          <w:tcPr>
            <w:tcW w:w="10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225,714</w:t>
            </w:r>
          </w:p>
        </w:tc>
        <w:tc>
          <w:tcPr>
            <w:tcW w:w="580" w:type="dxa"/>
            <w:vAlign w:val="bottom"/>
            <w:tcBorders>
              <w:right w:val="single" w:sz="8" w:color="auto"/>
            </w:tcBorders>
          </w:tcPr>
          <w:p>
            <w:pPr>
              <w:spacing w:after="0"/>
              <w:rPr>
                <w:sz w:val="16"/>
                <w:szCs w:val="16"/>
                <w:color w:val="auto"/>
              </w:rPr>
            </w:pPr>
          </w:p>
        </w:tc>
        <w:tc>
          <w:tcPr>
            <w:tcW w:w="112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99,697</w:t>
            </w:r>
          </w:p>
        </w:tc>
        <w:tc>
          <w:tcPr>
            <w:tcW w:w="16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36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3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Gongsi</w:t>
            </w:r>
          </w:p>
        </w:tc>
        <w:tc>
          <w:tcPr>
            <w:tcW w:w="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r>
      <w:tr>
        <w:trPr>
          <w:trHeight w:val="364"/>
        </w:trPr>
        <w:tc>
          <w:tcPr>
            <w:tcW w:w="3500" w:type="dxa"/>
            <w:vAlign w:val="bottom"/>
            <w:tcBorders>
              <w:left w:val="single" w:sz="8" w:color="auto"/>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r>
      <w:tr>
        <w:trPr>
          <w:trHeight w:val="228"/>
        </w:trPr>
        <w:tc>
          <w:tcPr>
            <w:tcW w:w="3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George Bellow</w:t>
            </w:r>
          </w:p>
        </w:tc>
        <w:tc>
          <w:tcPr>
            <w:tcW w:w="60" w:type="dxa"/>
            <w:vAlign w:val="bottom"/>
          </w:tcPr>
          <w:p>
            <w:pPr>
              <w:spacing w:after="0"/>
              <w:rPr>
                <w:sz w:val="19"/>
                <w:szCs w:val="19"/>
                <w:color w:val="auto"/>
              </w:rPr>
            </w:pPr>
          </w:p>
        </w:tc>
        <w:tc>
          <w:tcPr>
            <w:tcW w:w="1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8,000(65)</w:t>
            </w:r>
          </w:p>
        </w:tc>
        <w:tc>
          <w:tcPr>
            <w:tcW w:w="1160" w:type="dxa"/>
            <w:vAlign w:val="bottom"/>
            <w:tcBorders>
              <w:right w:val="single" w:sz="8" w:color="auto"/>
            </w:tcBorders>
          </w:tcPr>
          <w:p>
            <w:pPr>
              <w:spacing w:after="0"/>
              <w:rPr>
                <w:sz w:val="19"/>
                <w:szCs w:val="19"/>
                <w:color w:val="auto"/>
              </w:rPr>
            </w:pP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8,000</w:t>
            </w:r>
          </w:p>
        </w:tc>
        <w:tc>
          <w:tcPr>
            <w:tcW w:w="580" w:type="dxa"/>
            <w:vAlign w:val="bottom"/>
            <w:tcBorders>
              <w:right w:val="single" w:sz="8" w:color="auto"/>
            </w:tcBorders>
          </w:tcPr>
          <w:p>
            <w:pPr>
              <w:spacing w:after="0"/>
              <w:rPr>
                <w:sz w:val="19"/>
                <w:szCs w:val="19"/>
                <w:color w:val="auto"/>
              </w:rPr>
            </w:pPr>
          </w:p>
        </w:tc>
        <w:tc>
          <w:tcPr>
            <w:tcW w:w="11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0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8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191"/>
        </w:trPr>
        <w:tc>
          <w:tcPr>
            <w:tcW w:w="35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Highbridge Tactical Credit Master Fund,</w:t>
            </w:r>
          </w:p>
        </w:tc>
        <w:tc>
          <w:tcPr>
            <w:tcW w:w="60" w:type="dxa"/>
            <w:vAlign w:val="bottom"/>
          </w:tcPr>
          <w:p>
            <w:pPr>
              <w:spacing w:after="0"/>
              <w:rPr>
                <w:sz w:val="16"/>
                <w:szCs w:val="16"/>
                <w:color w:val="auto"/>
              </w:rPr>
            </w:pPr>
          </w:p>
        </w:tc>
        <w:tc>
          <w:tcPr>
            <w:tcW w:w="17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59,775</w:t>
            </w:r>
          </w:p>
        </w:tc>
        <w:tc>
          <w:tcPr>
            <w:tcW w:w="1160" w:type="dxa"/>
            <w:vAlign w:val="bottom"/>
            <w:tcBorders>
              <w:right w:val="single" w:sz="8" w:color="auto"/>
            </w:tcBorders>
          </w:tcPr>
          <w:p>
            <w:pPr>
              <w:spacing w:after="0"/>
              <w:rPr>
                <w:sz w:val="16"/>
                <w:szCs w:val="16"/>
                <w:color w:val="auto"/>
              </w:rPr>
            </w:pPr>
          </w:p>
        </w:tc>
        <w:tc>
          <w:tcPr>
            <w:tcW w:w="10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59,775</w:t>
            </w:r>
          </w:p>
        </w:tc>
        <w:tc>
          <w:tcPr>
            <w:tcW w:w="580" w:type="dxa"/>
            <w:vAlign w:val="bottom"/>
            <w:tcBorders>
              <w:right w:val="single" w:sz="8" w:color="auto"/>
            </w:tcBorders>
          </w:tcPr>
          <w:p>
            <w:pPr>
              <w:spacing w:after="0"/>
              <w:rPr>
                <w:sz w:val="16"/>
                <w:szCs w:val="16"/>
                <w:color w:val="auto"/>
              </w:rPr>
            </w:pPr>
          </w:p>
        </w:tc>
        <w:tc>
          <w:tcPr>
            <w:tcW w:w="1120" w:type="dxa"/>
            <w:vAlign w:val="bottom"/>
          </w:tcPr>
          <w:p>
            <w:pPr>
              <w:jc w:val="right"/>
              <w:ind w:right="8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3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3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L.P. (66)</w:t>
            </w:r>
          </w:p>
        </w:tc>
        <w:tc>
          <w:tcPr>
            <w:tcW w:w="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r>
      <w:tr>
        <w:trPr>
          <w:trHeight w:val="175"/>
        </w:trPr>
        <w:tc>
          <w:tcPr>
            <w:tcW w:w="3500" w:type="dxa"/>
            <w:vAlign w:val="bottom"/>
            <w:tcBorders>
              <w:left w:val="single" w:sz="8" w:color="auto"/>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8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r>
      <w:tr>
        <w:trPr>
          <w:trHeight w:val="191"/>
        </w:trPr>
        <w:tc>
          <w:tcPr>
            <w:tcW w:w="35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Highbridge Tactical Credit Institutional</w:t>
            </w:r>
          </w:p>
        </w:tc>
        <w:tc>
          <w:tcPr>
            <w:tcW w:w="60" w:type="dxa"/>
            <w:vAlign w:val="bottom"/>
          </w:tcPr>
          <w:p>
            <w:pPr>
              <w:spacing w:after="0"/>
              <w:rPr>
                <w:sz w:val="16"/>
                <w:szCs w:val="16"/>
                <w:color w:val="auto"/>
              </w:rPr>
            </w:pPr>
          </w:p>
        </w:tc>
        <w:tc>
          <w:tcPr>
            <w:tcW w:w="17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15,225</w:t>
            </w:r>
          </w:p>
        </w:tc>
        <w:tc>
          <w:tcPr>
            <w:tcW w:w="1160" w:type="dxa"/>
            <w:vAlign w:val="bottom"/>
            <w:tcBorders>
              <w:right w:val="single" w:sz="8" w:color="auto"/>
            </w:tcBorders>
          </w:tcPr>
          <w:p>
            <w:pPr>
              <w:spacing w:after="0"/>
              <w:rPr>
                <w:sz w:val="16"/>
                <w:szCs w:val="16"/>
                <w:color w:val="auto"/>
              </w:rPr>
            </w:pPr>
          </w:p>
        </w:tc>
        <w:tc>
          <w:tcPr>
            <w:tcW w:w="10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15,225</w:t>
            </w:r>
          </w:p>
        </w:tc>
        <w:tc>
          <w:tcPr>
            <w:tcW w:w="580" w:type="dxa"/>
            <w:vAlign w:val="bottom"/>
            <w:tcBorders>
              <w:right w:val="single" w:sz="8" w:color="auto"/>
            </w:tcBorders>
          </w:tcPr>
          <w:p>
            <w:pPr>
              <w:spacing w:after="0"/>
              <w:rPr>
                <w:sz w:val="16"/>
                <w:szCs w:val="16"/>
                <w:color w:val="auto"/>
              </w:rPr>
            </w:pPr>
          </w:p>
        </w:tc>
        <w:tc>
          <w:tcPr>
            <w:tcW w:w="1120" w:type="dxa"/>
            <w:vAlign w:val="bottom"/>
          </w:tcPr>
          <w:p>
            <w:pPr>
              <w:jc w:val="right"/>
              <w:ind w:right="8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3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3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Fund Ltd.(67)</w:t>
            </w:r>
          </w:p>
        </w:tc>
        <w:tc>
          <w:tcPr>
            <w:tcW w:w="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r>
      <w:tr>
        <w:trPr>
          <w:trHeight w:val="175"/>
        </w:trPr>
        <w:tc>
          <w:tcPr>
            <w:tcW w:w="3500" w:type="dxa"/>
            <w:vAlign w:val="bottom"/>
            <w:tcBorders>
              <w:left w:val="single" w:sz="8" w:color="auto"/>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8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r>
      <w:tr>
        <w:trPr>
          <w:trHeight w:val="228"/>
        </w:trPr>
        <w:tc>
          <w:tcPr>
            <w:tcW w:w="3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Jamie Beadle</w:t>
            </w:r>
          </w:p>
        </w:tc>
        <w:tc>
          <w:tcPr>
            <w:tcW w:w="60" w:type="dxa"/>
            <w:vAlign w:val="bottom"/>
          </w:tcPr>
          <w:p>
            <w:pPr>
              <w:spacing w:after="0"/>
              <w:rPr>
                <w:sz w:val="19"/>
                <w:szCs w:val="19"/>
                <w:color w:val="auto"/>
              </w:rPr>
            </w:pPr>
          </w:p>
        </w:tc>
        <w:tc>
          <w:tcPr>
            <w:tcW w:w="1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10,286(68)</w:t>
            </w:r>
          </w:p>
        </w:tc>
        <w:tc>
          <w:tcPr>
            <w:tcW w:w="1160" w:type="dxa"/>
            <w:vAlign w:val="bottom"/>
            <w:tcBorders>
              <w:right w:val="single" w:sz="8" w:color="auto"/>
            </w:tcBorders>
          </w:tcPr>
          <w:p>
            <w:pPr>
              <w:spacing w:after="0"/>
              <w:rPr>
                <w:sz w:val="19"/>
                <w:szCs w:val="19"/>
                <w:color w:val="auto"/>
              </w:rPr>
            </w:pP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10,286</w:t>
            </w:r>
          </w:p>
        </w:tc>
        <w:tc>
          <w:tcPr>
            <w:tcW w:w="580" w:type="dxa"/>
            <w:vAlign w:val="bottom"/>
            <w:tcBorders>
              <w:right w:val="single" w:sz="8" w:color="auto"/>
            </w:tcBorders>
          </w:tcPr>
          <w:p>
            <w:pPr>
              <w:spacing w:after="0"/>
              <w:rPr>
                <w:sz w:val="19"/>
                <w:szCs w:val="19"/>
                <w:color w:val="auto"/>
              </w:rPr>
            </w:pP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3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0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8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422"/>
        </w:trPr>
        <w:tc>
          <w:tcPr>
            <w:tcW w:w="3560" w:type="dxa"/>
            <w:vAlign w:val="bottom"/>
            <w:tcBorders>
              <w:bottom w:val="single" w:sz="8" w:color="auto"/>
            </w:tcBorders>
            <w:gridSpan w:val="2"/>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r>
        <w:trPr>
          <w:trHeight w:val="194"/>
        </w:trPr>
        <w:tc>
          <w:tcPr>
            <w:tcW w:w="3560" w:type="dxa"/>
            <w:vAlign w:val="bottom"/>
            <w:tcBorders>
              <w:left w:val="single" w:sz="8" w:color="auto"/>
            </w:tcBorders>
            <w:gridSpan w:val="2"/>
          </w:tcPr>
          <w:p>
            <w:pPr>
              <w:ind w:left="120"/>
              <w:spacing w:after="0" w:line="195" w:lineRule="exact"/>
              <w:rPr>
                <w:sz w:val="20"/>
                <w:szCs w:val="20"/>
                <w:color w:val="auto"/>
              </w:rPr>
            </w:pPr>
            <w:r>
              <w:rPr>
                <w:rFonts w:ascii="Times New Roman" w:cs="Times New Roman" w:eastAsia="Times New Roman" w:hAnsi="Times New Roman"/>
                <w:sz w:val="18"/>
                <w:szCs w:val="18"/>
                <w:color w:val="auto"/>
              </w:rPr>
              <w:t>J.V.B. Financial Group, LLC</w:t>
            </w:r>
          </w:p>
        </w:tc>
        <w:tc>
          <w:tcPr>
            <w:tcW w:w="1740" w:type="dxa"/>
            <w:vAlign w:val="bottom"/>
            <w:tcBorders>
              <w:right w:val="single" w:sz="8" w:color="auto"/>
            </w:tcBorders>
          </w:tcPr>
          <w:p>
            <w:pPr>
              <w:spacing w:after="0"/>
              <w:rPr>
                <w:sz w:val="16"/>
                <w:szCs w:val="16"/>
                <w:color w:val="auto"/>
              </w:rPr>
            </w:pPr>
          </w:p>
        </w:tc>
        <w:tc>
          <w:tcPr>
            <w:tcW w:w="1160" w:type="dxa"/>
            <w:vAlign w:val="bottom"/>
          </w:tcPr>
          <w:p>
            <w:pPr>
              <w:ind w:left="1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gridSpan w:val="2"/>
          </w:tcPr>
          <w:p>
            <w:pPr>
              <w:ind w:left="100"/>
              <w:spacing w:after="0" w:line="195" w:lineRule="exact"/>
              <w:rPr>
                <w:sz w:val="20"/>
                <w:szCs w:val="20"/>
                <w:color w:val="auto"/>
              </w:rPr>
            </w:pPr>
            <w:r>
              <w:rPr>
                <w:rFonts w:ascii="Times New Roman" w:cs="Times New Roman" w:eastAsia="Times New Roman" w:hAnsi="Times New Roman"/>
                <w:sz w:val="18"/>
                <w:szCs w:val="18"/>
                <w:color w:val="auto"/>
              </w:rPr>
              <w:t>1,110,723 (69)</w:t>
            </w:r>
          </w:p>
        </w:tc>
        <w:tc>
          <w:tcPr>
            <w:tcW w:w="160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360" w:type="dxa"/>
            <w:vAlign w:val="bottom"/>
            <w:tcBorders>
              <w:right w:val="single" w:sz="8" w:color="auto"/>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191"/>
        </w:trPr>
        <w:tc>
          <w:tcPr>
            <w:tcW w:w="3560" w:type="dxa"/>
            <w:vAlign w:val="bottom"/>
            <w:tcBorders>
              <w:left w:val="single" w:sz="8" w:color="auto"/>
              <w:bottom w:val="single" w:sz="8" w:color="auto"/>
            </w:tcBorders>
            <w:gridSpan w:val="2"/>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gridSpan w:val="2"/>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right w:val="single" w:sz="8" w:color="auto"/>
            </w:tcBorders>
          </w:tcPr>
          <w:p>
            <w:pPr>
              <w:spacing w:after="0"/>
              <w:rPr>
                <w:sz w:val="16"/>
                <w:szCs w:val="16"/>
                <w:color w:val="auto"/>
              </w:rPr>
            </w:pPr>
          </w:p>
        </w:tc>
      </w:tr>
      <w:tr>
        <w:trPr>
          <w:trHeight w:val="194"/>
        </w:trPr>
        <w:tc>
          <w:tcPr>
            <w:tcW w:w="3560" w:type="dxa"/>
            <w:vAlign w:val="bottom"/>
            <w:tcBorders>
              <w:left w:val="single" w:sz="8" w:color="auto"/>
            </w:tcBorders>
            <w:gridSpan w:val="2"/>
          </w:tcPr>
          <w:p>
            <w:pPr>
              <w:ind w:left="120"/>
              <w:spacing w:after="0" w:line="195" w:lineRule="exact"/>
              <w:rPr>
                <w:sz w:val="20"/>
                <w:szCs w:val="20"/>
                <w:color w:val="auto"/>
              </w:rPr>
            </w:pPr>
            <w:r>
              <w:rPr>
                <w:rFonts w:ascii="Times New Roman" w:cs="Times New Roman" w:eastAsia="Times New Roman" w:hAnsi="Times New Roman"/>
                <w:sz w:val="18"/>
                <w:szCs w:val="18"/>
                <w:color w:val="auto"/>
              </w:rPr>
              <w:t>Justin King</w:t>
            </w:r>
          </w:p>
        </w:tc>
        <w:tc>
          <w:tcPr>
            <w:tcW w:w="1740" w:type="dxa"/>
            <w:vAlign w:val="bottom"/>
            <w:tcBorders>
              <w:right w:val="single" w:sz="8" w:color="auto"/>
            </w:tcBorders>
          </w:tcPr>
          <w:p>
            <w:pPr>
              <w:spacing w:after="0"/>
              <w:rPr>
                <w:sz w:val="16"/>
                <w:szCs w:val="16"/>
                <w:color w:val="auto"/>
              </w:rPr>
            </w:pPr>
          </w:p>
        </w:tc>
        <w:tc>
          <w:tcPr>
            <w:tcW w:w="1160" w:type="dxa"/>
            <w:vAlign w:val="bottom"/>
          </w:tcPr>
          <w:p>
            <w:pPr>
              <w:ind w:left="100"/>
              <w:spacing w:after="0" w:line="195" w:lineRule="exact"/>
              <w:rPr>
                <w:sz w:val="20"/>
                <w:szCs w:val="20"/>
                <w:color w:val="auto"/>
              </w:rPr>
            </w:pPr>
            <w:r>
              <w:rPr>
                <w:rFonts w:ascii="Times New Roman" w:cs="Times New Roman" w:eastAsia="Times New Roman" w:hAnsi="Times New Roman"/>
                <w:sz w:val="18"/>
                <w:szCs w:val="18"/>
                <w:color w:val="auto"/>
              </w:rPr>
              <w:t>42,509 (70)</w:t>
            </w:r>
          </w:p>
        </w:tc>
        <w:tc>
          <w:tcPr>
            <w:tcW w:w="104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gridSpan w:val="2"/>
          </w:tcPr>
          <w:p>
            <w:pPr>
              <w:ind w:left="100"/>
              <w:spacing w:after="0" w:line="195" w:lineRule="exact"/>
              <w:rPr>
                <w:sz w:val="20"/>
                <w:szCs w:val="20"/>
                <w:color w:val="auto"/>
              </w:rPr>
            </w:pPr>
            <w:r>
              <w:rPr>
                <w:rFonts w:ascii="Times New Roman" w:cs="Times New Roman" w:eastAsia="Times New Roman" w:hAnsi="Times New Roman"/>
                <w:sz w:val="18"/>
                <w:szCs w:val="18"/>
                <w:color w:val="auto"/>
              </w:rPr>
              <w:t>16,329</w:t>
            </w:r>
          </w:p>
        </w:tc>
        <w:tc>
          <w:tcPr>
            <w:tcW w:w="160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color w:val="auto"/>
              </w:rPr>
              <w:t>26,180</w:t>
            </w:r>
          </w:p>
        </w:tc>
        <w:tc>
          <w:tcPr>
            <w:tcW w:w="80" w:type="dxa"/>
            <w:vAlign w:val="bottom"/>
          </w:tcPr>
          <w:p>
            <w:pPr>
              <w:spacing w:after="0"/>
              <w:rPr>
                <w:sz w:val="16"/>
                <w:szCs w:val="16"/>
                <w:color w:val="auto"/>
              </w:rPr>
            </w:pPr>
          </w:p>
        </w:tc>
        <w:tc>
          <w:tcPr>
            <w:tcW w:w="360" w:type="dxa"/>
            <w:vAlign w:val="bottom"/>
            <w:tcBorders>
              <w:right w:val="single" w:sz="8" w:color="auto"/>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154"/>
        </w:trPr>
        <w:tc>
          <w:tcPr>
            <w:tcW w:w="3560" w:type="dxa"/>
            <w:vAlign w:val="bottom"/>
            <w:tcBorders>
              <w:left w:val="single" w:sz="8" w:color="auto"/>
              <w:bottom w:val="single" w:sz="8" w:color="auto"/>
            </w:tcBorders>
            <w:gridSpan w:val="2"/>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gridSpan w:val="2"/>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228"/>
        </w:trPr>
        <w:tc>
          <w:tcPr>
            <w:tcW w:w="35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Julien Nurse</w:t>
            </w:r>
          </w:p>
        </w:tc>
        <w:tc>
          <w:tcPr>
            <w:tcW w:w="1740" w:type="dxa"/>
            <w:vAlign w:val="bottom"/>
            <w:tcBorders>
              <w:right w:val="single" w:sz="8" w:color="auto"/>
            </w:tcBorders>
          </w:tcPr>
          <w:p>
            <w:pPr>
              <w:spacing w:after="0"/>
              <w:rPr>
                <w:sz w:val="19"/>
                <w:szCs w:val="19"/>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59,102(71)</w:t>
            </w:r>
          </w:p>
        </w:tc>
        <w:tc>
          <w:tcPr>
            <w:tcW w:w="10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43,275</w:t>
            </w:r>
          </w:p>
        </w:tc>
        <w:tc>
          <w:tcPr>
            <w:tcW w:w="1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15,827</w:t>
            </w:r>
          </w:p>
        </w:tc>
        <w:tc>
          <w:tcPr>
            <w:tcW w:w="80" w:type="dxa"/>
            <w:vAlign w:val="bottom"/>
          </w:tcPr>
          <w:p>
            <w:pPr>
              <w:spacing w:after="0"/>
              <w:rPr>
                <w:sz w:val="19"/>
                <w:szCs w:val="19"/>
                <w:color w:val="auto"/>
              </w:rPr>
            </w:pPr>
          </w:p>
        </w:tc>
        <w:tc>
          <w:tcPr>
            <w:tcW w:w="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60" w:type="dxa"/>
            <w:vAlign w:val="bottom"/>
            <w:tcBorders>
              <w:left w:val="single" w:sz="8" w:color="auto"/>
              <w:bottom w:val="single" w:sz="8" w:color="auto"/>
            </w:tcBorders>
            <w:gridSpan w:val="2"/>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gridSpan w:val="2"/>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228"/>
        </w:trPr>
        <w:tc>
          <w:tcPr>
            <w:tcW w:w="35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Kantor Investment Company LLC</w:t>
            </w:r>
          </w:p>
        </w:tc>
        <w:tc>
          <w:tcPr>
            <w:tcW w:w="1740" w:type="dxa"/>
            <w:vAlign w:val="bottom"/>
            <w:tcBorders>
              <w:right w:val="single" w:sz="8" w:color="auto"/>
            </w:tcBorders>
          </w:tcPr>
          <w:p>
            <w:pPr>
              <w:spacing w:after="0"/>
              <w:rPr>
                <w:sz w:val="19"/>
                <w:szCs w:val="19"/>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79,785(72)</w:t>
            </w:r>
          </w:p>
        </w:tc>
        <w:tc>
          <w:tcPr>
            <w:tcW w:w="10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10,000</w:t>
            </w:r>
          </w:p>
        </w:tc>
        <w:tc>
          <w:tcPr>
            <w:tcW w:w="1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69,785</w:t>
            </w:r>
          </w:p>
        </w:tc>
        <w:tc>
          <w:tcPr>
            <w:tcW w:w="80" w:type="dxa"/>
            <w:vAlign w:val="bottom"/>
          </w:tcPr>
          <w:p>
            <w:pPr>
              <w:spacing w:after="0"/>
              <w:rPr>
                <w:sz w:val="19"/>
                <w:szCs w:val="19"/>
                <w:color w:val="auto"/>
              </w:rPr>
            </w:pPr>
          </w:p>
        </w:tc>
        <w:tc>
          <w:tcPr>
            <w:tcW w:w="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60" w:type="dxa"/>
            <w:vAlign w:val="bottom"/>
            <w:tcBorders>
              <w:left w:val="single" w:sz="8" w:color="auto"/>
              <w:bottom w:val="single" w:sz="8" w:color="auto"/>
            </w:tcBorders>
            <w:gridSpan w:val="2"/>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gridSpan w:val="2"/>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228"/>
        </w:trPr>
        <w:tc>
          <w:tcPr>
            <w:tcW w:w="35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Karen Kalaris</w:t>
            </w:r>
          </w:p>
        </w:tc>
        <w:tc>
          <w:tcPr>
            <w:tcW w:w="1740" w:type="dxa"/>
            <w:vAlign w:val="bottom"/>
            <w:tcBorders>
              <w:right w:val="single" w:sz="8" w:color="auto"/>
            </w:tcBorders>
          </w:tcPr>
          <w:p>
            <w:pPr>
              <w:spacing w:after="0"/>
              <w:rPr>
                <w:sz w:val="19"/>
                <w:szCs w:val="19"/>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111,632 (73)</w:t>
            </w:r>
          </w:p>
        </w:tc>
        <w:tc>
          <w:tcPr>
            <w:tcW w:w="10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21,429</w:t>
            </w:r>
          </w:p>
        </w:tc>
        <w:tc>
          <w:tcPr>
            <w:tcW w:w="1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24,924</w:t>
            </w:r>
          </w:p>
        </w:tc>
        <w:tc>
          <w:tcPr>
            <w:tcW w:w="80" w:type="dxa"/>
            <w:vAlign w:val="bottom"/>
          </w:tcPr>
          <w:p>
            <w:pPr>
              <w:spacing w:after="0"/>
              <w:rPr>
                <w:sz w:val="19"/>
                <w:szCs w:val="19"/>
                <w:color w:val="auto"/>
              </w:rPr>
            </w:pPr>
          </w:p>
        </w:tc>
        <w:tc>
          <w:tcPr>
            <w:tcW w:w="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60" w:type="dxa"/>
            <w:vAlign w:val="bottom"/>
            <w:tcBorders>
              <w:left w:val="single" w:sz="8" w:color="auto"/>
              <w:bottom w:val="single" w:sz="8" w:color="auto"/>
            </w:tcBorders>
            <w:gridSpan w:val="2"/>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gridSpan w:val="2"/>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228"/>
        </w:trPr>
        <w:tc>
          <w:tcPr>
            <w:tcW w:w="35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Kepos Alpha Master Fund L.P. (74)</w:t>
            </w:r>
          </w:p>
        </w:tc>
        <w:tc>
          <w:tcPr>
            <w:tcW w:w="1740" w:type="dxa"/>
            <w:vAlign w:val="bottom"/>
            <w:tcBorders>
              <w:right w:val="single" w:sz="8" w:color="auto"/>
            </w:tcBorders>
          </w:tcPr>
          <w:p>
            <w:pPr>
              <w:spacing w:after="0"/>
              <w:rPr>
                <w:sz w:val="19"/>
                <w:szCs w:val="19"/>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155,000</w:t>
            </w:r>
          </w:p>
        </w:tc>
        <w:tc>
          <w:tcPr>
            <w:tcW w:w="10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155,000</w:t>
            </w:r>
          </w:p>
        </w:tc>
        <w:tc>
          <w:tcPr>
            <w:tcW w:w="1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5300" w:type="dxa"/>
            <w:vAlign w:val="bottom"/>
            <w:tcBorders>
              <w:left w:val="single" w:sz="8" w:color="auto"/>
              <w:bottom w:val="single" w:sz="8" w:color="auto"/>
              <w:right w:val="single" w:sz="8" w:color="auto"/>
            </w:tcBorders>
            <w:gridSpan w:val="3"/>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gridSpan w:val="2"/>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228"/>
        </w:trPr>
        <w:tc>
          <w:tcPr>
            <w:tcW w:w="530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Kepos Special Opportunities Master Fund L.P. (75)</w:t>
            </w:r>
          </w:p>
        </w:tc>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51,250</w:t>
            </w:r>
          </w:p>
        </w:tc>
        <w:tc>
          <w:tcPr>
            <w:tcW w:w="10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51,250</w:t>
            </w:r>
          </w:p>
        </w:tc>
        <w:tc>
          <w:tcPr>
            <w:tcW w:w="1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60" w:type="dxa"/>
            <w:vAlign w:val="bottom"/>
            <w:tcBorders>
              <w:left w:val="single" w:sz="8" w:color="auto"/>
              <w:bottom w:val="single" w:sz="8" w:color="auto"/>
            </w:tcBorders>
            <w:gridSpan w:val="2"/>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228"/>
        </w:trPr>
        <w:tc>
          <w:tcPr>
            <w:tcW w:w="35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Northland Securities Inc.</w:t>
            </w:r>
          </w:p>
        </w:tc>
        <w:tc>
          <w:tcPr>
            <w:tcW w:w="1740" w:type="dxa"/>
            <w:vAlign w:val="bottom"/>
            <w:tcBorders>
              <w:right w:val="single" w:sz="8" w:color="auto"/>
            </w:tcBorders>
          </w:tcPr>
          <w:p>
            <w:pPr>
              <w:spacing w:after="0"/>
              <w:rPr>
                <w:sz w:val="19"/>
                <w:szCs w:val="19"/>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tcPr>
          <w:p>
            <w:pPr>
              <w:spacing w:after="0"/>
              <w:rPr>
                <w:sz w:val="19"/>
                <w:szCs w:val="19"/>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60" w:type="dxa"/>
            <w:vAlign w:val="bottom"/>
            <w:tcBorders>
              <w:left w:val="single" w:sz="8" w:color="auto"/>
              <w:bottom w:val="single" w:sz="8" w:color="auto"/>
            </w:tcBorders>
            <w:gridSpan w:val="2"/>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228"/>
        </w:trPr>
        <w:tc>
          <w:tcPr>
            <w:tcW w:w="35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Magnetar Capital Master Fund Ltd.(76)</w:t>
            </w:r>
          </w:p>
        </w:tc>
        <w:tc>
          <w:tcPr>
            <w:tcW w:w="1740" w:type="dxa"/>
            <w:vAlign w:val="bottom"/>
            <w:tcBorders>
              <w:right w:val="single" w:sz="8" w:color="auto"/>
            </w:tcBorders>
          </w:tcPr>
          <w:p>
            <w:pPr>
              <w:spacing w:after="0"/>
              <w:rPr>
                <w:sz w:val="19"/>
                <w:szCs w:val="19"/>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2,277</w:t>
            </w:r>
          </w:p>
        </w:tc>
        <w:tc>
          <w:tcPr>
            <w:tcW w:w="1040" w:type="dxa"/>
            <w:vAlign w:val="bottom"/>
            <w:tcBorders>
              <w:right w:val="single" w:sz="8" w:color="auto"/>
            </w:tcBorders>
          </w:tcPr>
          <w:p>
            <w:pPr>
              <w:spacing w:after="0"/>
              <w:rPr>
                <w:sz w:val="19"/>
                <w:szCs w:val="19"/>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2,277</w:t>
            </w:r>
          </w:p>
        </w:tc>
        <w:tc>
          <w:tcPr>
            <w:tcW w:w="112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60" w:type="dxa"/>
            <w:vAlign w:val="bottom"/>
            <w:tcBorders>
              <w:left w:val="single" w:sz="8" w:color="auto"/>
              <w:bottom w:val="single" w:sz="8" w:color="auto"/>
            </w:tcBorders>
            <w:gridSpan w:val="2"/>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gridSpan w:val="2"/>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228"/>
        </w:trPr>
        <w:tc>
          <w:tcPr>
            <w:tcW w:w="35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Magnetar Constellation Fund II, Ltd. (76)</w:t>
            </w:r>
          </w:p>
        </w:tc>
        <w:tc>
          <w:tcPr>
            <w:tcW w:w="1740" w:type="dxa"/>
            <w:vAlign w:val="bottom"/>
            <w:tcBorders>
              <w:right w:val="single" w:sz="8" w:color="auto"/>
            </w:tcBorders>
          </w:tcPr>
          <w:p>
            <w:pPr>
              <w:spacing w:after="0"/>
              <w:rPr>
                <w:sz w:val="19"/>
                <w:szCs w:val="19"/>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14,140</w:t>
            </w:r>
          </w:p>
        </w:tc>
        <w:tc>
          <w:tcPr>
            <w:tcW w:w="10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14,140</w:t>
            </w:r>
          </w:p>
        </w:tc>
        <w:tc>
          <w:tcPr>
            <w:tcW w:w="1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60" w:type="dxa"/>
            <w:vAlign w:val="bottom"/>
            <w:tcBorders>
              <w:left w:val="single" w:sz="8" w:color="auto"/>
              <w:bottom w:val="single" w:sz="8" w:color="auto"/>
            </w:tcBorders>
            <w:gridSpan w:val="2"/>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gridSpan w:val="2"/>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228"/>
        </w:trPr>
        <w:tc>
          <w:tcPr>
            <w:tcW w:w="35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Magnetar Constellation Master Fund, Ltd. (76)</w:t>
            </w:r>
          </w:p>
        </w:tc>
        <w:tc>
          <w:tcPr>
            <w:tcW w:w="1740" w:type="dxa"/>
            <w:vAlign w:val="bottom"/>
            <w:tcBorders>
              <w:right w:val="single" w:sz="8" w:color="auto"/>
            </w:tcBorders>
          </w:tcPr>
          <w:p>
            <w:pPr>
              <w:spacing w:after="0"/>
              <w:rPr>
                <w:sz w:val="19"/>
                <w:szCs w:val="19"/>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44,075</w:t>
            </w:r>
          </w:p>
        </w:tc>
        <w:tc>
          <w:tcPr>
            <w:tcW w:w="10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44,075</w:t>
            </w:r>
          </w:p>
        </w:tc>
        <w:tc>
          <w:tcPr>
            <w:tcW w:w="1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60" w:type="dxa"/>
            <w:vAlign w:val="bottom"/>
            <w:tcBorders>
              <w:left w:val="single" w:sz="8" w:color="auto"/>
              <w:bottom w:val="single" w:sz="8" w:color="auto"/>
            </w:tcBorders>
            <w:gridSpan w:val="2"/>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228"/>
        </w:trPr>
        <w:tc>
          <w:tcPr>
            <w:tcW w:w="35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Magnetar Discovery Master Fund Ltd. (76)</w:t>
            </w:r>
          </w:p>
        </w:tc>
        <w:tc>
          <w:tcPr>
            <w:tcW w:w="1740" w:type="dxa"/>
            <w:vAlign w:val="bottom"/>
            <w:tcBorders>
              <w:right w:val="single" w:sz="8" w:color="auto"/>
            </w:tcBorders>
          </w:tcPr>
          <w:p>
            <w:pPr>
              <w:spacing w:after="0"/>
              <w:rPr>
                <w:sz w:val="19"/>
                <w:szCs w:val="19"/>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1,587</w:t>
            </w:r>
          </w:p>
        </w:tc>
        <w:tc>
          <w:tcPr>
            <w:tcW w:w="1040" w:type="dxa"/>
            <w:vAlign w:val="bottom"/>
            <w:tcBorders>
              <w:right w:val="single" w:sz="8" w:color="auto"/>
            </w:tcBorders>
          </w:tcPr>
          <w:p>
            <w:pPr>
              <w:spacing w:after="0"/>
              <w:rPr>
                <w:sz w:val="19"/>
                <w:szCs w:val="19"/>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1,587</w:t>
            </w:r>
          </w:p>
        </w:tc>
        <w:tc>
          <w:tcPr>
            <w:tcW w:w="1120" w:type="dxa"/>
            <w:vAlign w:val="bottom"/>
            <w:tcBorders>
              <w:right w:val="single" w:sz="8" w:color="auto"/>
            </w:tcBorders>
          </w:tcPr>
          <w:p>
            <w:pPr>
              <w:spacing w:after="0"/>
              <w:rPr>
                <w:sz w:val="19"/>
                <w:szCs w:val="19"/>
                <w:color w:val="auto"/>
              </w:rPr>
            </w:pPr>
          </w:p>
        </w:tc>
        <w:tc>
          <w:tcPr>
            <w:tcW w:w="1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60" w:type="dxa"/>
            <w:vAlign w:val="bottom"/>
            <w:tcBorders>
              <w:left w:val="single" w:sz="8" w:color="auto"/>
              <w:bottom w:val="single" w:sz="8" w:color="auto"/>
            </w:tcBorders>
            <w:gridSpan w:val="2"/>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gridSpan w:val="2"/>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228"/>
        </w:trPr>
        <w:tc>
          <w:tcPr>
            <w:tcW w:w="35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Magnetar Lake Credit Fund LLC(76)</w:t>
            </w:r>
          </w:p>
        </w:tc>
        <w:tc>
          <w:tcPr>
            <w:tcW w:w="1740" w:type="dxa"/>
            <w:vAlign w:val="bottom"/>
            <w:tcBorders>
              <w:right w:val="single" w:sz="8" w:color="auto"/>
            </w:tcBorders>
          </w:tcPr>
          <w:p>
            <w:pPr>
              <w:spacing w:after="0"/>
              <w:rPr>
                <w:sz w:val="19"/>
                <w:szCs w:val="19"/>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13,503</w:t>
            </w:r>
          </w:p>
        </w:tc>
        <w:tc>
          <w:tcPr>
            <w:tcW w:w="10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13,503</w:t>
            </w:r>
          </w:p>
        </w:tc>
        <w:tc>
          <w:tcPr>
            <w:tcW w:w="1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60" w:type="dxa"/>
            <w:vAlign w:val="bottom"/>
            <w:tcBorders>
              <w:left w:val="single" w:sz="8" w:color="auto"/>
              <w:bottom w:val="single" w:sz="8" w:color="auto"/>
            </w:tcBorders>
            <w:gridSpan w:val="2"/>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gridSpan w:val="2"/>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228"/>
        </w:trPr>
        <w:tc>
          <w:tcPr>
            <w:tcW w:w="35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Magnetar SC Fund Ltd. (76)</w:t>
            </w:r>
          </w:p>
        </w:tc>
        <w:tc>
          <w:tcPr>
            <w:tcW w:w="1740" w:type="dxa"/>
            <w:vAlign w:val="bottom"/>
            <w:tcBorders>
              <w:right w:val="single" w:sz="8" w:color="auto"/>
            </w:tcBorders>
          </w:tcPr>
          <w:p>
            <w:pPr>
              <w:spacing w:after="0"/>
              <w:rPr>
                <w:sz w:val="19"/>
                <w:szCs w:val="19"/>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11,592</w:t>
            </w:r>
          </w:p>
        </w:tc>
        <w:tc>
          <w:tcPr>
            <w:tcW w:w="10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11,592</w:t>
            </w:r>
          </w:p>
        </w:tc>
        <w:tc>
          <w:tcPr>
            <w:tcW w:w="1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60" w:type="dxa"/>
            <w:vAlign w:val="bottom"/>
            <w:tcBorders>
              <w:left w:val="single" w:sz="8" w:color="auto"/>
              <w:bottom w:val="single" w:sz="8" w:color="auto"/>
            </w:tcBorders>
            <w:gridSpan w:val="2"/>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gridSpan w:val="2"/>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228"/>
        </w:trPr>
        <w:tc>
          <w:tcPr>
            <w:tcW w:w="35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Magnetar Structured Credit Fund, LP(76)</w:t>
            </w:r>
          </w:p>
        </w:tc>
        <w:tc>
          <w:tcPr>
            <w:tcW w:w="1740" w:type="dxa"/>
            <w:vAlign w:val="bottom"/>
            <w:tcBorders>
              <w:right w:val="single" w:sz="8" w:color="auto"/>
            </w:tcBorders>
          </w:tcPr>
          <w:p>
            <w:pPr>
              <w:spacing w:after="0"/>
              <w:rPr>
                <w:sz w:val="19"/>
                <w:szCs w:val="19"/>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16,052</w:t>
            </w:r>
          </w:p>
        </w:tc>
        <w:tc>
          <w:tcPr>
            <w:tcW w:w="10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16,052</w:t>
            </w:r>
          </w:p>
        </w:tc>
        <w:tc>
          <w:tcPr>
            <w:tcW w:w="1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60" w:type="dxa"/>
            <w:vAlign w:val="bottom"/>
            <w:tcBorders>
              <w:left w:val="single" w:sz="8" w:color="auto"/>
              <w:bottom w:val="single" w:sz="8" w:color="auto"/>
            </w:tcBorders>
            <w:gridSpan w:val="2"/>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gridSpan w:val="2"/>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228"/>
        </w:trPr>
        <w:tc>
          <w:tcPr>
            <w:tcW w:w="35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Magnetar Xing He Master Fund Ltd.(76)</w:t>
            </w:r>
          </w:p>
        </w:tc>
        <w:tc>
          <w:tcPr>
            <w:tcW w:w="1740" w:type="dxa"/>
            <w:vAlign w:val="bottom"/>
            <w:tcBorders>
              <w:right w:val="single" w:sz="8" w:color="auto"/>
            </w:tcBorders>
          </w:tcPr>
          <w:p>
            <w:pPr>
              <w:spacing w:after="0"/>
              <w:rPr>
                <w:sz w:val="19"/>
                <w:szCs w:val="19"/>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17,323</w:t>
            </w:r>
          </w:p>
        </w:tc>
        <w:tc>
          <w:tcPr>
            <w:tcW w:w="10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17,323</w:t>
            </w:r>
          </w:p>
        </w:tc>
        <w:tc>
          <w:tcPr>
            <w:tcW w:w="1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60" w:type="dxa"/>
            <w:vAlign w:val="bottom"/>
            <w:tcBorders>
              <w:left w:val="single" w:sz="8" w:color="auto"/>
              <w:bottom w:val="single" w:sz="8" w:color="auto"/>
            </w:tcBorders>
            <w:gridSpan w:val="2"/>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gridSpan w:val="2"/>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228"/>
        </w:trPr>
        <w:tc>
          <w:tcPr>
            <w:tcW w:w="356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Mark Israel</w:t>
            </w:r>
          </w:p>
        </w:tc>
        <w:tc>
          <w:tcPr>
            <w:tcW w:w="1740" w:type="dxa"/>
            <w:vAlign w:val="bottom"/>
            <w:tcBorders>
              <w:right w:val="single" w:sz="8" w:color="auto"/>
            </w:tcBorders>
          </w:tcPr>
          <w:p>
            <w:pPr>
              <w:spacing w:after="0"/>
              <w:rPr>
                <w:sz w:val="19"/>
                <w:szCs w:val="19"/>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71,785(77)</w:t>
            </w:r>
          </w:p>
        </w:tc>
        <w:tc>
          <w:tcPr>
            <w:tcW w:w="10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40,000</w:t>
            </w:r>
          </w:p>
        </w:tc>
        <w:tc>
          <w:tcPr>
            <w:tcW w:w="1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31,785</w:t>
            </w:r>
          </w:p>
        </w:tc>
        <w:tc>
          <w:tcPr>
            <w:tcW w:w="80" w:type="dxa"/>
            <w:vAlign w:val="bottom"/>
          </w:tcPr>
          <w:p>
            <w:pPr>
              <w:spacing w:after="0"/>
              <w:rPr>
                <w:sz w:val="19"/>
                <w:szCs w:val="19"/>
                <w:color w:val="auto"/>
              </w:rPr>
            </w:pPr>
          </w:p>
        </w:tc>
        <w:tc>
          <w:tcPr>
            <w:tcW w:w="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3500" w:type="dxa"/>
            <w:vAlign w:val="bottom"/>
            <w:tcBorders>
              <w:left w:val="single" w:sz="8" w:color="auto"/>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4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r>
      <w:tr>
        <w:trPr>
          <w:trHeight w:val="1216"/>
        </w:trPr>
        <w:tc>
          <w:tcPr>
            <w:tcW w:w="3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54"/>
        </w:trPr>
        <w:tc>
          <w:tcPr>
            <w:tcW w:w="20" w:type="dxa"/>
            <w:vAlign w:val="bottom"/>
            <w:shd w:val="clear" w:color="auto" w:fill="000000"/>
          </w:tcPr>
          <w:p>
            <w:pPr>
              <w:spacing w:after="0"/>
              <w:rPr>
                <w:sz w:val="22"/>
                <w:szCs w:val="22"/>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Maxim Group LLC</w:t>
            </w:r>
          </w:p>
        </w:tc>
        <w:tc>
          <w:tcPr>
            <w:tcW w:w="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2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50,000(78)</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50,000</w:t>
            </w:r>
          </w:p>
        </w:tc>
        <w:tc>
          <w:tcPr>
            <w:tcW w:w="20" w:type="dxa"/>
            <w:vAlign w:val="bottom"/>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1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auto"/>
            </w:tcBorders>
          </w:tcPr>
          <w:p>
            <w:pPr>
              <w:spacing w:after="0"/>
              <w:rPr>
                <w:sz w:val="22"/>
                <w:szCs w:val="22"/>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auto"/>
            </w:tcBorders>
            <w:shd w:val="clear" w:color="auto" w:fill="000000"/>
          </w:tcPr>
          <w:p>
            <w:pPr>
              <w:spacing w:after="0"/>
              <w:rPr>
                <w:sz w:val="11"/>
                <w:szCs w:val="11"/>
                <w:color w:val="auto"/>
              </w:rPr>
            </w:pPr>
          </w:p>
        </w:tc>
        <w:tc>
          <w:tcPr>
            <w:tcW w:w="5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2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000000"/>
          </w:tcPr>
          <w:p>
            <w:pPr>
              <w:spacing w:after="0"/>
              <w:rPr>
                <w:sz w:val="19"/>
                <w:szCs w:val="19"/>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Meteora Capital Partners, L.P. (79)</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131,250</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131,250</w:t>
            </w:r>
          </w:p>
        </w:tc>
        <w:tc>
          <w:tcPr>
            <w:tcW w:w="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auto"/>
            </w:tcBorders>
          </w:tcPr>
          <w:p>
            <w:pPr>
              <w:spacing w:after="0"/>
              <w:rPr>
                <w:sz w:val="19"/>
                <w:szCs w:val="19"/>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auto"/>
            </w:tcBorders>
            <w:shd w:val="clear" w:color="auto" w:fill="000000"/>
          </w:tcPr>
          <w:p>
            <w:pPr>
              <w:spacing w:after="0"/>
              <w:rPr>
                <w:sz w:val="13"/>
                <w:szCs w:val="13"/>
                <w:color w:val="auto"/>
              </w:rPr>
            </w:pPr>
          </w:p>
        </w:tc>
        <w:tc>
          <w:tcPr>
            <w:tcW w:w="5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220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8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000000"/>
          </w:tcPr>
          <w:p>
            <w:pPr>
              <w:spacing w:after="0"/>
              <w:rPr>
                <w:sz w:val="19"/>
                <w:szCs w:val="19"/>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Mohammad Anwar Khan(80)</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125,000</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125,000</w:t>
            </w:r>
          </w:p>
        </w:tc>
        <w:tc>
          <w:tcPr>
            <w:tcW w:w="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auto"/>
            </w:tcBorders>
          </w:tcPr>
          <w:p>
            <w:pPr>
              <w:spacing w:after="0"/>
              <w:rPr>
                <w:sz w:val="19"/>
                <w:szCs w:val="19"/>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auto"/>
            </w:tcBorders>
            <w:shd w:val="clear" w:color="auto" w:fill="000000"/>
          </w:tcPr>
          <w:p>
            <w:pPr>
              <w:spacing w:after="0"/>
              <w:rPr>
                <w:sz w:val="13"/>
                <w:szCs w:val="13"/>
                <w:color w:val="auto"/>
              </w:rPr>
            </w:pPr>
          </w:p>
        </w:tc>
        <w:tc>
          <w:tcPr>
            <w:tcW w:w="5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220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8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000000"/>
          </w:tcPr>
          <w:p>
            <w:pPr>
              <w:spacing w:after="0"/>
              <w:rPr>
                <w:sz w:val="19"/>
                <w:szCs w:val="19"/>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Patel Family Investment LLC</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206,398(81)</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166,667</w:t>
            </w:r>
          </w:p>
        </w:tc>
        <w:tc>
          <w:tcPr>
            <w:tcW w:w="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39,731</w:t>
            </w:r>
          </w:p>
        </w:tc>
        <w:tc>
          <w:tcPr>
            <w:tcW w:w="80" w:type="dxa"/>
            <w:vAlign w:val="bottom"/>
            <w:tcBorders>
              <w:right w:val="single" w:sz="8" w:color="auto"/>
            </w:tcBorders>
          </w:tcPr>
          <w:p>
            <w:pPr>
              <w:spacing w:after="0"/>
              <w:rPr>
                <w:sz w:val="19"/>
                <w:szCs w:val="19"/>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auto"/>
            </w:tcBorders>
            <w:shd w:val="clear" w:color="auto" w:fill="000000"/>
          </w:tcPr>
          <w:p>
            <w:pPr>
              <w:spacing w:after="0"/>
              <w:rPr>
                <w:sz w:val="13"/>
                <w:szCs w:val="13"/>
                <w:color w:val="auto"/>
              </w:rPr>
            </w:pPr>
          </w:p>
        </w:tc>
        <w:tc>
          <w:tcPr>
            <w:tcW w:w="5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220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8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000000"/>
          </w:tcPr>
          <w:p>
            <w:pPr>
              <w:spacing w:after="0"/>
              <w:rPr>
                <w:sz w:val="19"/>
                <w:szCs w:val="19"/>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Purpose Alternative Credit Fund Ltd(76)</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7,898</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7,898</w:t>
            </w:r>
          </w:p>
        </w:tc>
        <w:tc>
          <w:tcPr>
            <w:tcW w:w="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auto"/>
            </w:tcBorders>
          </w:tcPr>
          <w:p>
            <w:pPr>
              <w:spacing w:after="0"/>
              <w:rPr>
                <w:sz w:val="19"/>
                <w:szCs w:val="19"/>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auto"/>
            </w:tcBorders>
            <w:shd w:val="clear" w:color="auto" w:fill="000000"/>
          </w:tcPr>
          <w:p>
            <w:pPr>
              <w:spacing w:after="0"/>
              <w:rPr>
                <w:sz w:val="13"/>
                <w:szCs w:val="13"/>
                <w:color w:val="auto"/>
              </w:rPr>
            </w:pPr>
          </w:p>
        </w:tc>
        <w:tc>
          <w:tcPr>
            <w:tcW w:w="5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220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8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000000"/>
          </w:tcPr>
          <w:p>
            <w:pPr>
              <w:spacing w:after="0"/>
              <w:rPr>
                <w:sz w:val="19"/>
                <w:szCs w:val="19"/>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Purpose Alternative Credit Fund T LLC(76)</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2,803</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2,803</w:t>
            </w:r>
          </w:p>
        </w:tc>
        <w:tc>
          <w:tcPr>
            <w:tcW w:w="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auto"/>
            </w:tcBorders>
          </w:tcPr>
          <w:p>
            <w:pPr>
              <w:spacing w:after="0"/>
              <w:rPr>
                <w:sz w:val="19"/>
                <w:szCs w:val="19"/>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auto"/>
            </w:tcBorders>
            <w:shd w:val="clear" w:color="auto" w:fill="000000"/>
          </w:tcPr>
          <w:p>
            <w:pPr>
              <w:spacing w:after="0"/>
              <w:rPr>
                <w:sz w:val="13"/>
                <w:szCs w:val="13"/>
                <w:color w:val="auto"/>
              </w:rPr>
            </w:pPr>
          </w:p>
        </w:tc>
        <w:tc>
          <w:tcPr>
            <w:tcW w:w="5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220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8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000000"/>
          </w:tcPr>
          <w:p>
            <w:pPr>
              <w:spacing w:after="0"/>
              <w:rPr>
                <w:sz w:val="19"/>
                <w:szCs w:val="19"/>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Quality Kiosk</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35,402(82)</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35,402</w:t>
            </w:r>
          </w:p>
        </w:tc>
        <w:tc>
          <w:tcPr>
            <w:tcW w:w="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auto"/>
            </w:tcBorders>
          </w:tcPr>
          <w:p>
            <w:pPr>
              <w:spacing w:after="0"/>
              <w:rPr>
                <w:sz w:val="19"/>
                <w:szCs w:val="19"/>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auto"/>
            </w:tcBorders>
            <w:shd w:val="clear" w:color="auto" w:fill="000000"/>
          </w:tcPr>
          <w:p>
            <w:pPr>
              <w:spacing w:after="0"/>
              <w:rPr>
                <w:sz w:val="13"/>
                <w:szCs w:val="13"/>
                <w:color w:val="auto"/>
              </w:rPr>
            </w:pPr>
          </w:p>
        </w:tc>
        <w:tc>
          <w:tcPr>
            <w:tcW w:w="5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220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8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000000"/>
          </w:tcPr>
          <w:p>
            <w:pPr>
              <w:spacing w:after="0"/>
              <w:rPr>
                <w:sz w:val="19"/>
                <w:szCs w:val="19"/>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Radcliffe SPAC Master Fund, L.P. (83)</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175,566</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175,566</w:t>
            </w:r>
          </w:p>
        </w:tc>
        <w:tc>
          <w:tcPr>
            <w:tcW w:w="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auto"/>
            </w:tcBorders>
          </w:tcPr>
          <w:p>
            <w:pPr>
              <w:spacing w:after="0"/>
              <w:rPr>
                <w:sz w:val="19"/>
                <w:szCs w:val="19"/>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auto"/>
            </w:tcBorders>
            <w:shd w:val="clear" w:color="auto" w:fill="000000"/>
          </w:tcPr>
          <w:p>
            <w:pPr>
              <w:spacing w:after="0"/>
              <w:rPr>
                <w:sz w:val="13"/>
                <w:szCs w:val="13"/>
                <w:color w:val="auto"/>
              </w:rPr>
            </w:pPr>
          </w:p>
        </w:tc>
        <w:tc>
          <w:tcPr>
            <w:tcW w:w="5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220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8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000000"/>
          </w:tcPr>
          <w:p>
            <w:pPr>
              <w:spacing w:after="0"/>
              <w:rPr>
                <w:sz w:val="19"/>
                <w:szCs w:val="19"/>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JingQian Hou (84)</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2,321(85)</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2,321</w:t>
            </w:r>
          </w:p>
        </w:tc>
        <w:tc>
          <w:tcPr>
            <w:tcW w:w="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auto"/>
            </w:tcBorders>
          </w:tcPr>
          <w:p>
            <w:pPr>
              <w:spacing w:after="0"/>
              <w:rPr>
                <w:sz w:val="19"/>
                <w:szCs w:val="19"/>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auto"/>
            </w:tcBorders>
            <w:shd w:val="clear" w:color="auto" w:fill="000000"/>
          </w:tcPr>
          <w:p>
            <w:pPr>
              <w:spacing w:after="0"/>
              <w:rPr>
                <w:sz w:val="13"/>
                <w:szCs w:val="13"/>
                <w:color w:val="auto"/>
              </w:rPr>
            </w:pPr>
          </w:p>
        </w:tc>
        <w:tc>
          <w:tcPr>
            <w:tcW w:w="5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220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80" w:type="dxa"/>
            <w:vAlign w:val="bottom"/>
            <w:tcBorders>
              <w:bottom w:val="single" w:sz="8" w:color="auto"/>
              <w:right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1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Roth Capital Partners, LLC</w:t>
            </w:r>
          </w:p>
        </w:tc>
        <w:tc>
          <w:tcPr>
            <w:tcW w:w="20" w:type="dxa"/>
            <w:vAlign w:val="bottom"/>
          </w:tcPr>
          <w:p>
            <w:pPr>
              <w:spacing w:after="0"/>
              <w:rPr>
                <w:sz w:val="24"/>
                <w:szCs w:val="24"/>
                <w:color w:val="auto"/>
              </w:rPr>
            </w:pPr>
          </w:p>
        </w:tc>
        <w:tc>
          <w:tcPr>
            <w:tcW w:w="2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10,000(86)</w:t>
            </w:r>
          </w:p>
        </w:tc>
        <w:tc>
          <w:tcPr>
            <w:tcW w:w="2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Pr>
          <w:p>
            <w:pPr>
              <w:spacing w:after="0"/>
              <w:rPr>
                <w:sz w:val="24"/>
                <w:szCs w:val="24"/>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514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32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10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80" w:type="dxa"/>
            <w:vAlign w:val="bottom"/>
            <w:vMerge w:val="continue"/>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auto"/>
            </w:tcBorders>
            <w:shd w:val="clear" w:color="auto" w:fill="000000"/>
          </w:tcPr>
          <w:p>
            <w:pPr>
              <w:spacing w:after="0"/>
              <w:rPr>
                <w:sz w:val="15"/>
                <w:szCs w:val="15"/>
                <w:color w:val="auto"/>
              </w:rPr>
            </w:pPr>
          </w:p>
        </w:tc>
        <w:tc>
          <w:tcPr>
            <w:tcW w:w="5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2320" w:type="dxa"/>
            <w:vAlign w:val="bottom"/>
            <w:tcBorders>
              <w:bottom w:val="single" w:sz="8" w:color="auto"/>
            </w:tcBorders>
            <w:gridSpan w:val="2"/>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800" w:type="dxa"/>
            <w:vAlign w:val="bottom"/>
            <w:tcBorders>
              <w:bottom w:val="single" w:sz="8" w:color="auto"/>
              <w:right w:val="single" w:sz="8" w:color="auto"/>
            </w:tcBorders>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000000"/>
          </w:tcPr>
          <w:p>
            <w:pPr>
              <w:spacing w:after="0"/>
              <w:rPr>
                <w:sz w:val="19"/>
                <w:szCs w:val="19"/>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Rong Lin</w:t>
            </w:r>
          </w:p>
        </w:tc>
        <w:tc>
          <w:tcPr>
            <w:tcW w:w="20" w:type="dxa"/>
            <w:vAlign w:val="bottom"/>
            <w:shd w:val="clear" w:color="auto" w:fill="000000"/>
          </w:tcPr>
          <w:p>
            <w:pPr>
              <w:spacing w:after="0"/>
              <w:rPr>
                <w:sz w:val="19"/>
                <w:szCs w:val="19"/>
                <w:color w:val="auto"/>
              </w:rPr>
            </w:pPr>
          </w:p>
        </w:tc>
        <w:tc>
          <w:tcPr>
            <w:tcW w:w="2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25,603(87)</w:t>
            </w:r>
          </w:p>
        </w:tc>
        <w:tc>
          <w:tcPr>
            <w:tcW w:w="2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9,283</w:t>
            </w:r>
          </w:p>
        </w:tc>
        <w:tc>
          <w:tcPr>
            <w:tcW w:w="20" w:type="dxa"/>
            <w:vAlign w:val="bottom"/>
            <w:shd w:val="clear" w:color="auto" w:fill="000000"/>
          </w:tcPr>
          <w:p>
            <w:pPr>
              <w:spacing w:after="0"/>
              <w:rPr>
                <w:sz w:val="19"/>
                <w:szCs w:val="19"/>
                <w:color w:val="auto"/>
              </w:rPr>
            </w:pPr>
          </w:p>
        </w:tc>
        <w:tc>
          <w:tcPr>
            <w:tcW w:w="18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16,320</w:t>
            </w:r>
          </w:p>
        </w:tc>
        <w:tc>
          <w:tcPr>
            <w:tcW w:w="8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auto"/>
            </w:tcBorders>
            <w:shd w:val="clear" w:color="auto" w:fill="000000"/>
          </w:tcPr>
          <w:p>
            <w:pPr>
              <w:spacing w:after="0"/>
              <w:rPr>
                <w:sz w:val="13"/>
                <w:szCs w:val="13"/>
                <w:color w:val="auto"/>
              </w:rPr>
            </w:pPr>
          </w:p>
        </w:tc>
        <w:tc>
          <w:tcPr>
            <w:tcW w:w="5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320" w:type="dxa"/>
            <w:vAlign w:val="bottom"/>
            <w:tcBorders>
              <w:bottom w:val="single" w:sz="8" w:color="auto"/>
            </w:tcBorders>
            <w:gridSpan w:val="2"/>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800" w:type="dxa"/>
            <w:vAlign w:val="bottom"/>
            <w:tcBorders>
              <w:bottom w:val="single" w:sz="8" w:color="auto"/>
              <w:right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000000"/>
          </w:tcPr>
          <w:p>
            <w:pPr>
              <w:spacing w:after="0"/>
              <w:rPr>
                <w:sz w:val="19"/>
                <w:szCs w:val="19"/>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Sam Lewis</w:t>
            </w:r>
          </w:p>
        </w:tc>
        <w:tc>
          <w:tcPr>
            <w:tcW w:w="20" w:type="dxa"/>
            <w:vAlign w:val="bottom"/>
            <w:shd w:val="clear" w:color="auto" w:fill="000000"/>
          </w:tcPr>
          <w:p>
            <w:pPr>
              <w:spacing w:after="0"/>
              <w:rPr>
                <w:sz w:val="19"/>
                <w:szCs w:val="19"/>
                <w:color w:val="auto"/>
              </w:rPr>
            </w:pPr>
          </w:p>
        </w:tc>
        <w:tc>
          <w:tcPr>
            <w:tcW w:w="2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137,832(88)</w:t>
            </w:r>
          </w:p>
        </w:tc>
        <w:tc>
          <w:tcPr>
            <w:tcW w:w="2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20,000</w:t>
            </w:r>
          </w:p>
        </w:tc>
        <w:tc>
          <w:tcPr>
            <w:tcW w:w="20" w:type="dxa"/>
            <w:vAlign w:val="bottom"/>
            <w:shd w:val="clear" w:color="auto" w:fill="000000"/>
          </w:tcPr>
          <w:p>
            <w:pPr>
              <w:spacing w:after="0"/>
              <w:rPr>
                <w:sz w:val="19"/>
                <w:szCs w:val="19"/>
                <w:color w:val="auto"/>
              </w:rPr>
            </w:pPr>
          </w:p>
        </w:tc>
        <w:tc>
          <w:tcPr>
            <w:tcW w:w="18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117,832</w:t>
            </w:r>
          </w:p>
        </w:tc>
        <w:tc>
          <w:tcPr>
            <w:tcW w:w="8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auto"/>
            </w:tcBorders>
            <w:shd w:val="clear" w:color="auto" w:fill="000000"/>
          </w:tcPr>
          <w:p>
            <w:pPr>
              <w:spacing w:after="0"/>
              <w:rPr>
                <w:sz w:val="13"/>
                <w:szCs w:val="13"/>
                <w:color w:val="auto"/>
              </w:rPr>
            </w:pPr>
          </w:p>
        </w:tc>
        <w:tc>
          <w:tcPr>
            <w:tcW w:w="5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320" w:type="dxa"/>
            <w:vAlign w:val="bottom"/>
            <w:tcBorders>
              <w:bottom w:val="single" w:sz="8" w:color="auto"/>
            </w:tcBorders>
            <w:gridSpan w:val="2"/>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2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000000"/>
          </w:tcPr>
          <w:p>
            <w:pPr>
              <w:spacing w:after="0"/>
              <w:rPr>
                <w:sz w:val="19"/>
                <w:szCs w:val="19"/>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Sandia Investment Management LP(89)</w:t>
            </w:r>
          </w:p>
        </w:tc>
        <w:tc>
          <w:tcPr>
            <w:tcW w:w="20" w:type="dxa"/>
            <w:vAlign w:val="bottom"/>
            <w:shd w:val="clear" w:color="auto" w:fill="000000"/>
          </w:tcPr>
          <w:p>
            <w:pPr>
              <w:spacing w:after="0"/>
              <w:rPr>
                <w:sz w:val="19"/>
                <w:szCs w:val="19"/>
                <w:color w:val="auto"/>
              </w:rPr>
            </w:pPr>
          </w:p>
        </w:tc>
        <w:tc>
          <w:tcPr>
            <w:tcW w:w="2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53,503</w:t>
            </w:r>
          </w:p>
        </w:tc>
        <w:tc>
          <w:tcPr>
            <w:tcW w:w="2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53,503</w:t>
            </w:r>
          </w:p>
        </w:tc>
        <w:tc>
          <w:tcPr>
            <w:tcW w:w="20" w:type="dxa"/>
            <w:vAlign w:val="bottom"/>
            <w:shd w:val="clear" w:color="auto" w:fill="000000"/>
          </w:tcPr>
          <w:p>
            <w:pPr>
              <w:spacing w:after="0"/>
              <w:rPr>
                <w:sz w:val="19"/>
                <w:szCs w:val="19"/>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auto"/>
            </w:tcBorders>
            <w:shd w:val="clear" w:color="auto" w:fill="000000"/>
          </w:tcPr>
          <w:p>
            <w:pPr>
              <w:spacing w:after="0"/>
              <w:rPr>
                <w:sz w:val="13"/>
                <w:szCs w:val="13"/>
                <w:color w:val="auto"/>
              </w:rPr>
            </w:pPr>
          </w:p>
        </w:tc>
        <w:tc>
          <w:tcPr>
            <w:tcW w:w="5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320" w:type="dxa"/>
            <w:vAlign w:val="bottom"/>
            <w:tcBorders>
              <w:bottom w:val="single" w:sz="8" w:color="auto"/>
            </w:tcBorders>
            <w:gridSpan w:val="2"/>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2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000000"/>
          </w:tcPr>
          <w:p>
            <w:pPr>
              <w:spacing w:after="0"/>
              <w:rPr>
                <w:sz w:val="19"/>
                <w:szCs w:val="19"/>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Sharat Williams</w:t>
            </w:r>
          </w:p>
        </w:tc>
        <w:tc>
          <w:tcPr>
            <w:tcW w:w="20" w:type="dxa"/>
            <w:vAlign w:val="bottom"/>
            <w:shd w:val="clear" w:color="auto" w:fill="000000"/>
          </w:tcPr>
          <w:p>
            <w:pPr>
              <w:spacing w:after="0"/>
              <w:rPr>
                <w:sz w:val="19"/>
                <w:szCs w:val="19"/>
                <w:color w:val="auto"/>
              </w:rPr>
            </w:pPr>
          </w:p>
        </w:tc>
        <w:tc>
          <w:tcPr>
            <w:tcW w:w="2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3,372(90)</w:t>
            </w:r>
          </w:p>
        </w:tc>
        <w:tc>
          <w:tcPr>
            <w:tcW w:w="2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3,372</w:t>
            </w:r>
          </w:p>
        </w:tc>
        <w:tc>
          <w:tcPr>
            <w:tcW w:w="20" w:type="dxa"/>
            <w:vAlign w:val="bottom"/>
            <w:shd w:val="clear" w:color="auto" w:fill="000000"/>
          </w:tcPr>
          <w:p>
            <w:pPr>
              <w:spacing w:after="0"/>
              <w:rPr>
                <w:sz w:val="19"/>
                <w:szCs w:val="19"/>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auto"/>
            </w:tcBorders>
            <w:shd w:val="clear" w:color="auto" w:fill="000000"/>
          </w:tcPr>
          <w:p>
            <w:pPr>
              <w:spacing w:after="0"/>
              <w:rPr>
                <w:sz w:val="13"/>
                <w:szCs w:val="13"/>
                <w:color w:val="auto"/>
              </w:rPr>
            </w:pPr>
          </w:p>
        </w:tc>
        <w:tc>
          <w:tcPr>
            <w:tcW w:w="5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320" w:type="dxa"/>
            <w:vAlign w:val="bottom"/>
            <w:tcBorders>
              <w:bottom w:val="single" w:sz="8" w:color="auto"/>
            </w:tcBorders>
            <w:gridSpan w:val="2"/>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800" w:type="dxa"/>
            <w:vAlign w:val="bottom"/>
            <w:tcBorders>
              <w:bottom w:val="single" w:sz="8" w:color="auto"/>
              <w:right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000000"/>
          </w:tcPr>
          <w:p>
            <w:pPr>
              <w:spacing w:after="0"/>
              <w:rPr>
                <w:sz w:val="19"/>
                <w:szCs w:val="19"/>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Susan Briggs</w:t>
            </w:r>
          </w:p>
        </w:tc>
        <w:tc>
          <w:tcPr>
            <w:tcW w:w="20" w:type="dxa"/>
            <w:vAlign w:val="bottom"/>
            <w:shd w:val="clear" w:color="auto" w:fill="000000"/>
          </w:tcPr>
          <w:p>
            <w:pPr>
              <w:spacing w:after="0"/>
              <w:rPr>
                <w:sz w:val="19"/>
                <w:szCs w:val="19"/>
                <w:color w:val="auto"/>
              </w:rPr>
            </w:pPr>
          </w:p>
        </w:tc>
        <w:tc>
          <w:tcPr>
            <w:tcW w:w="2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128,530 (91)</w:t>
            </w:r>
          </w:p>
        </w:tc>
        <w:tc>
          <w:tcPr>
            <w:tcW w:w="2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35,155</w:t>
            </w:r>
          </w:p>
        </w:tc>
        <w:tc>
          <w:tcPr>
            <w:tcW w:w="20" w:type="dxa"/>
            <w:vAlign w:val="bottom"/>
            <w:shd w:val="clear" w:color="auto" w:fill="000000"/>
          </w:tcPr>
          <w:p>
            <w:pPr>
              <w:spacing w:after="0"/>
              <w:rPr>
                <w:sz w:val="19"/>
                <w:szCs w:val="19"/>
                <w:color w:val="auto"/>
              </w:rPr>
            </w:pPr>
          </w:p>
        </w:tc>
        <w:tc>
          <w:tcPr>
            <w:tcW w:w="18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93,375</w:t>
            </w:r>
          </w:p>
        </w:tc>
        <w:tc>
          <w:tcPr>
            <w:tcW w:w="8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auto"/>
            </w:tcBorders>
            <w:shd w:val="clear" w:color="auto" w:fill="000000"/>
          </w:tcPr>
          <w:p>
            <w:pPr>
              <w:spacing w:after="0"/>
              <w:rPr>
                <w:sz w:val="13"/>
                <w:szCs w:val="13"/>
                <w:color w:val="auto"/>
              </w:rPr>
            </w:pPr>
          </w:p>
        </w:tc>
        <w:tc>
          <w:tcPr>
            <w:tcW w:w="5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320" w:type="dxa"/>
            <w:vAlign w:val="bottom"/>
            <w:tcBorders>
              <w:bottom w:val="single" w:sz="8" w:color="auto"/>
            </w:tcBorders>
            <w:gridSpan w:val="2"/>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2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000000"/>
          </w:tcPr>
          <w:p>
            <w:pPr>
              <w:spacing w:after="0"/>
              <w:rPr>
                <w:sz w:val="19"/>
                <w:szCs w:val="19"/>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Techouts Solutions India Pvt ltd</w:t>
            </w:r>
          </w:p>
        </w:tc>
        <w:tc>
          <w:tcPr>
            <w:tcW w:w="20" w:type="dxa"/>
            <w:vAlign w:val="bottom"/>
            <w:shd w:val="clear" w:color="auto" w:fill="000000"/>
          </w:tcPr>
          <w:p>
            <w:pPr>
              <w:spacing w:after="0"/>
              <w:rPr>
                <w:sz w:val="19"/>
                <w:szCs w:val="19"/>
                <w:color w:val="auto"/>
              </w:rPr>
            </w:pPr>
          </w:p>
        </w:tc>
        <w:tc>
          <w:tcPr>
            <w:tcW w:w="2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17,078(92)</w:t>
            </w:r>
          </w:p>
        </w:tc>
        <w:tc>
          <w:tcPr>
            <w:tcW w:w="2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17,078</w:t>
            </w:r>
          </w:p>
        </w:tc>
        <w:tc>
          <w:tcPr>
            <w:tcW w:w="20" w:type="dxa"/>
            <w:vAlign w:val="bottom"/>
            <w:shd w:val="clear" w:color="auto" w:fill="000000"/>
          </w:tcPr>
          <w:p>
            <w:pPr>
              <w:spacing w:after="0"/>
              <w:rPr>
                <w:sz w:val="19"/>
                <w:szCs w:val="19"/>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2"/>
              </w:rPr>
              <w:t>--</w:t>
            </w:r>
          </w:p>
        </w:tc>
        <w:tc>
          <w:tcPr>
            <w:tcW w:w="15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auto"/>
            </w:tcBorders>
            <w:shd w:val="clear" w:color="auto" w:fill="000000"/>
          </w:tcPr>
          <w:p>
            <w:pPr>
              <w:spacing w:after="0"/>
              <w:rPr>
                <w:sz w:val="13"/>
                <w:szCs w:val="13"/>
                <w:color w:val="auto"/>
              </w:rPr>
            </w:pPr>
          </w:p>
        </w:tc>
        <w:tc>
          <w:tcPr>
            <w:tcW w:w="5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320" w:type="dxa"/>
            <w:vAlign w:val="bottom"/>
            <w:tcBorders>
              <w:bottom w:val="single" w:sz="8" w:color="auto"/>
            </w:tcBorders>
            <w:gridSpan w:val="2"/>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2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000000"/>
          </w:tcPr>
          <w:p>
            <w:pPr>
              <w:spacing w:after="0"/>
              <w:rPr>
                <w:sz w:val="19"/>
                <w:szCs w:val="19"/>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Thomas Decker(93)</w:t>
            </w:r>
          </w:p>
        </w:tc>
        <w:tc>
          <w:tcPr>
            <w:tcW w:w="20" w:type="dxa"/>
            <w:vAlign w:val="bottom"/>
            <w:shd w:val="clear" w:color="auto" w:fill="000000"/>
          </w:tcPr>
          <w:p>
            <w:pPr>
              <w:spacing w:after="0"/>
              <w:rPr>
                <w:sz w:val="19"/>
                <w:szCs w:val="19"/>
                <w:color w:val="auto"/>
              </w:rPr>
            </w:pPr>
          </w:p>
        </w:tc>
        <w:tc>
          <w:tcPr>
            <w:tcW w:w="2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125,000</w:t>
            </w:r>
          </w:p>
        </w:tc>
        <w:tc>
          <w:tcPr>
            <w:tcW w:w="2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125,000</w:t>
            </w:r>
          </w:p>
        </w:tc>
        <w:tc>
          <w:tcPr>
            <w:tcW w:w="20" w:type="dxa"/>
            <w:vAlign w:val="bottom"/>
            <w:shd w:val="clear" w:color="auto" w:fill="000000"/>
          </w:tcPr>
          <w:p>
            <w:pPr>
              <w:spacing w:after="0"/>
              <w:rPr>
                <w:sz w:val="19"/>
                <w:szCs w:val="19"/>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auto"/>
            </w:tcBorders>
            <w:shd w:val="clear" w:color="auto" w:fill="000000"/>
          </w:tcPr>
          <w:p>
            <w:pPr>
              <w:spacing w:after="0"/>
              <w:rPr>
                <w:sz w:val="13"/>
                <w:szCs w:val="13"/>
                <w:color w:val="auto"/>
              </w:rPr>
            </w:pPr>
          </w:p>
        </w:tc>
        <w:tc>
          <w:tcPr>
            <w:tcW w:w="5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320" w:type="dxa"/>
            <w:vAlign w:val="bottom"/>
            <w:tcBorders>
              <w:bottom w:val="single" w:sz="8" w:color="auto"/>
            </w:tcBorders>
            <w:gridSpan w:val="2"/>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800" w:type="dxa"/>
            <w:vAlign w:val="bottom"/>
            <w:tcBorders>
              <w:bottom w:val="single" w:sz="8" w:color="auto"/>
              <w:right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000000"/>
          </w:tcPr>
          <w:p>
            <w:pPr>
              <w:spacing w:after="0"/>
              <w:rPr>
                <w:sz w:val="19"/>
                <w:szCs w:val="19"/>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Trustees of Risol Limited Pension</w:t>
            </w:r>
          </w:p>
        </w:tc>
        <w:tc>
          <w:tcPr>
            <w:tcW w:w="20" w:type="dxa"/>
            <w:vAlign w:val="bottom"/>
            <w:shd w:val="clear" w:color="auto" w:fill="000000"/>
          </w:tcPr>
          <w:p>
            <w:pPr>
              <w:spacing w:after="0"/>
              <w:rPr>
                <w:sz w:val="19"/>
                <w:szCs w:val="19"/>
                <w:color w:val="auto"/>
              </w:rPr>
            </w:pPr>
          </w:p>
        </w:tc>
        <w:tc>
          <w:tcPr>
            <w:tcW w:w="2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486,987(94)</w:t>
            </w:r>
          </w:p>
        </w:tc>
        <w:tc>
          <w:tcPr>
            <w:tcW w:w="2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21,429</w:t>
            </w:r>
          </w:p>
        </w:tc>
        <w:tc>
          <w:tcPr>
            <w:tcW w:w="20" w:type="dxa"/>
            <w:vAlign w:val="bottom"/>
            <w:shd w:val="clear" w:color="auto" w:fill="000000"/>
          </w:tcPr>
          <w:p>
            <w:pPr>
              <w:spacing w:after="0"/>
              <w:rPr>
                <w:sz w:val="19"/>
                <w:szCs w:val="19"/>
                <w:color w:val="auto"/>
              </w:rPr>
            </w:pPr>
          </w:p>
        </w:tc>
        <w:tc>
          <w:tcPr>
            <w:tcW w:w="18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465,558</w:t>
            </w:r>
          </w:p>
        </w:tc>
        <w:tc>
          <w:tcPr>
            <w:tcW w:w="8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auto"/>
            </w:tcBorders>
            <w:shd w:val="clear" w:color="auto" w:fill="000000"/>
          </w:tcPr>
          <w:p>
            <w:pPr>
              <w:spacing w:after="0"/>
              <w:rPr>
                <w:sz w:val="13"/>
                <w:szCs w:val="13"/>
                <w:color w:val="auto"/>
              </w:rPr>
            </w:pPr>
          </w:p>
        </w:tc>
        <w:tc>
          <w:tcPr>
            <w:tcW w:w="5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320" w:type="dxa"/>
            <w:vAlign w:val="bottom"/>
            <w:tcBorders>
              <w:bottom w:val="single" w:sz="8" w:color="auto"/>
            </w:tcBorders>
            <w:gridSpan w:val="2"/>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2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000000"/>
          </w:tcPr>
          <w:p>
            <w:pPr>
              <w:spacing w:after="0"/>
              <w:rPr>
                <w:sz w:val="19"/>
                <w:szCs w:val="19"/>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UBIRY GmbH</w:t>
            </w:r>
          </w:p>
        </w:tc>
        <w:tc>
          <w:tcPr>
            <w:tcW w:w="20" w:type="dxa"/>
            <w:vAlign w:val="bottom"/>
            <w:shd w:val="clear" w:color="auto" w:fill="000000"/>
          </w:tcPr>
          <w:p>
            <w:pPr>
              <w:spacing w:after="0"/>
              <w:rPr>
                <w:sz w:val="19"/>
                <w:szCs w:val="19"/>
                <w:color w:val="auto"/>
              </w:rPr>
            </w:pPr>
          </w:p>
        </w:tc>
        <w:tc>
          <w:tcPr>
            <w:tcW w:w="2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21,429(95)</w:t>
            </w:r>
          </w:p>
        </w:tc>
        <w:tc>
          <w:tcPr>
            <w:tcW w:w="2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21,429</w:t>
            </w:r>
          </w:p>
        </w:tc>
        <w:tc>
          <w:tcPr>
            <w:tcW w:w="20" w:type="dxa"/>
            <w:vAlign w:val="bottom"/>
            <w:shd w:val="clear" w:color="auto" w:fill="000000"/>
          </w:tcPr>
          <w:p>
            <w:pPr>
              <w:spacing w:after="0"/>
              <w:rPr>
                <w:sz w:val="19"/>
                <w:szCs w:val="19"/>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auto"/>
            </w:tcBorders>
            <w:shd w:val="clear" w:color="auto" w:fill="000000"/>
          </w:tcPr>
          <w:p>
            <w:pPr>
              <w:spacing w:after="0"/>
              <w:rPr>
                <w:sz w:val="13"/>
                <w:szCs w:val="13"/>
                <w:color w:val="auto"/>
              </w:rPr>
            </w:pPr>
          </w:p>
        </w:tc>
        <w:tc>
          <w:tcPr>
            <w:tcW w:w="5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320" w:type="dxa"/>
            <w:vAlign w:val="bottom"/>
            <w:tcBorders>
              <w:bottom w:val="single" w:sz="8" w:color="auto"/>
            </w:tcBorders>
            <w:gridSpan w:val="2"/>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2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000000"/>
          </w:tcPr>
          <w:p>
            <w:pPr>
              <w:spacing w:after="0"/>
              <w:rPr>
                <w:sz w:val="19"/>
                <w:szCs w:val="19"/>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Walleye Investments Fund LLC (96)</w:t>
            </w:r>
          </w:p>
        </w:tc>
        <w:tc>
          <w:tcPr>
            <w:tcW w:w="20" w:type="dxa"/>
            <w:vAlign w:val="bottom"/>
            <w:shd w:val="clear" w:color="auto" w:fill="000000"/>
          </w:tcPr>
          <w:p>
            <w:pPr>
              <w:spacing w:after="0"/>
              <w:rPr>
                <w:sz w:val="19"/>
                <w:szCs w:val="19"/>
                <w:color w:val="auto"/>
              </w:rPr>
            </w:pPr>
          </w:p>
        </w:tc>
        <w:tc>
          <w:tcPr>
            <w:tcW w:w="2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7,166</w:t>
            </w:r>
          </w:p>
        </w:tc>
        <w:tc>
          <w:tcPr>
            <w:tcW w:w="2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7,166</w:t>
            </w:r>
          </w:p>
        </w:tc>
        <w:tc>
          <w:tcPr>
            <w:tcW w:w="20" w:type="dxa"/>
            <w:vAlign w:val="bottom"/>
            <w:shd w:val="clear" w:color="auto" w:fill="000000"/>
          </w:tcPr>
          <w:p>
            <w:pPr>
              <w:spacing w:after="0"/>
              <w:rPr>
                <w:sz w:val="19"/>
                <w:szCs w:val="19"/>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auto"/>
            </w:tcBorders>
            <w:shd w:val="clear" w:color="auto" w:fill="000000"/>
          </w:tcPr>
          <w:p>
            <w:pPr>
              <w:spacing w:after="0"/>
              <w:rPr>
                <w:sz w:val="13"/>
                <w:szCs w:val="13"/>
                <w:color w:val="auto"/>
              </w:rPr>
            </w:pPr>
          </w:p>
        </w:tc>
        <w:tc>
          <w:tcPr>
            <w:tcW w:w="5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320" w:type="dxa"/>
            <w:vAlign w:val="bottom"/>
            <w:tcBorders>
              <w:bottom w:val="single" w:sz="8" w:color="auto"/>
            </w:tcBorders>
            <w:gridSpan w:val="2"/>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2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000000"/>
          </w:tcPr>
          <w:p>
            <w:pPr>
              <w:spacing w:after="0"/>
              <w:rPr>
                <w:sz w:val="19"/>
                <w:szCs w:val="19"/>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Walleye Opportunities Master Fund Ltd(96)</w:t>
            </w:r>
          </w:p>
        </w:tc>
        <w:tc>
          <w:tcPr>
            <w:tcW w:w="20" w:type="dxa"/>
            <w:vAlign w:val="bottom"/>
            <w:shd w:val="clear" w:color="auto" w:fill="000000"/>
          </w:tcPr>
          <w:p>
            <w:pPr>
              <w:spacing w:after="0"/>
              <w:rPr>
                <w:sz w:val="19"/>
                <w:szCs w:val="19"/>
                <w:color w:val="auto"/>
              </w:rPr>
            </w:pPr>
          </w:p>
        </w:tc>
        <w:tc>
          <w:tcPr>
            <w:tcW w:w="2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14,331 (97)</w:t>
            </w:r>
          </w:p>
        </w:tc>
        <w:tc>
          <w:tcPr>
            <w:tcW w:w="2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14,331</w:t>
            </w:r>
          </w:p>
        </w:tc>
        <w:tc>
          <w:tcPr>
            <w:tcW w:w="20" w:type="dxa"/>
            <w:vAlign w:val="bottom"/>
            <w:shd w:val="clear" w:color="auto" w:fill="000000"/>
          </w:tcPr>
          <w:p>
            <w:pPr>
              <w:spacing w:after="0"/>
              <w:rPr>
                <w:sz w:val="19"/>
                <w:szCs w:val="19"/>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auto"/>
            </w:tcBorders>
            <w:shd w:val="clear" w:color="auto" w:fill="000000"/>
          </w:tcPr>
          <w:p>
            <w:pPr>
              <w:spacing w:after="0"/>
              <w:rPr>
                <w:sz w:val="13"/>
                <w:szCs w:val="13"/>
                <w:color w:val="auto"/>
              </w:rPr>
            </w:pPr>
          </w:p>
        </w:tc>
        <w:tc>
          <w:tcPr>
            <w:tcW w:w="5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320" w:type="dxa"/>
            <w:vAlign w:val="bottom"/>
            <w:tcBorders>
              <w:bottom w:val="single" w:sz="8" w:color="auto"/>
            </w:tcBorders>
            <w:gridSpan w:val="2"/>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2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000000"/>
          </w:tcPr>
          <w:p>
            <w:pPr>
              <w:spacing w:after="0"/>
              <w:rPr>
                <w:sz w:val="19"/>
                <w:szCs w:val="19"/>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Vellar Opportunities Fund Master, Ltd.(98)</w:t>
            </w:r>
          </w:p>
        </w:tc>
        <w:tc>
          <w:tcPr>
            <w:tcW w:w="20" w:type="dxa"/>
            <w:vAlign w:val="bottom"/>
            <w:shd w:val="clear" w:color="auto" w:fill="000000"/>
          </w:tcPr>
          <w:p>
            <w:pPr>
              <w:spacing w:after="0"/>
              <w:rPr>
                <w:sz w:val="19"/>
                <w:szCs w:val="19"/>
                <w:color w:val="auto"/>
              </w:rPr>
            </w:pPr>
          </w:p>
        </w:tc>
        <w:tc>
          <w:tcPr>
            <w:tcW w:w="2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33,000</w:t>
            </w:r>
          </w:p>
        </w:tc>
        <w:tc>
          <w:tcPr>
            <w:tcW w:w="2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33,000</w:t>
            </w:r>
          </w:p>
        </w:tc>
        <w:tc>
          <w:tcPr>
            <w:tcW w:w="20" w:type="dxa"/>
            <w:vAlign w:val="bottom"/>
            <w:shd w:val="clear" w:color="auto" w:fill="000000"/>
          </w:tcPr>
          <w:p>
            <w:pPr>
              <w:spacing w:after="0"/>
              <w:rPr>
                <w:sz w:val="19"/>
                <w:szCs w:val="19"/>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auto"/>
            </w:tcBorders>
            <w:shd w:val="clear" w:color="auto" w:fill="000000"/>
          </w:tcPr>
          <w:p>
            <w:pPr>
              <w:spacing w:after="0"/>
              <w:rPr>
                <w:sz w:val="13"/>
                <w:szCs w:val="13"/>
                <w:color w:val="auto"/>
              </w:rPr>
            </w:pPr>
          </w:p>
        </w:tc>
        <w:tc>
          <w:tcPr>
            <w:tcW w:w="5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320" w:type="dxa"/>
            <w:vAlign w:val="bottom"/>
            <w:tcBorders>
              <w:bottom w:val="single" w:sz="8" w:color="auto"/>
            </w:tcBorders>
            <w:gridSpan w:val="2"/>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2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000000"/>
          </w:tcPr>
          <w:p>
            <w:pPr>
              <w:spacing w:after="0"/>
              <w:rPr>
                <w:sz w:val="19"/>
                <w:szCs w:val="19"/>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Yi-Han Pao(99)</w:t>
            </w:r>
          </w:p>
        </w:tc>
        <w:tc>
          <w:tcPr>
            <w:tcW w:w="20" w:type="dxa"/>
            <w:vAlign w:val="bottom"/>
            <w:shd w:val="clear" w:color="auto" w:fill="000000"/>
          </w:tcPr>
          <w:p>
            <w:pPr>
              <w:spacing w:after="0"/>
              <w:rPr>
                <w:sz w:val="19"/>
                <w:szCs w:val="19"/>
                <w:color w:val="auto"/>
              </w:rPr>
            </w:pPr>
          </w:p>
        </w:tc>
        <w:tc>
          <w:tcPr>
            <w:tcW w:w="2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1,000(100)</w:t>
            </w:r>
          </w:p>
        </w:tc>
        <w:tc>
          <w:tcPr>
            <w:tcW w:w="2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shd w:val="clear" w:color="auto" w:fill="000000"/>
          </w:tcPr>
          <w:p>
            <w:pPr>
              <w:spacing w:after="0"/>
              <w:rPr>
                <w:sz w:val="19"/>
                <w:szCs w:val="19"/>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auto"/>
            </w:tcBorders>
            <w:shd w:val="clear" w:color="auto" w:fill="000000"/>
          </w:tcPr>
          <w:p>
            <w:pPr>
              <w:spacing w:after="0"/>
              <w:rPr>
                <w:sz w:val="13"/>
                <w:szCs w:val="13"/>
                <w:color w:val="auto"/>
              </w:rPr>
            </w:pPr>
          </w:p>
        </w:tc>
        <w:tc>
          <w:tcPr>
            <w:tcW w:w="5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320" w:type="dxa"/>
            <w:vAlign w:val="bottom"/>
            <w:tcBorders>
              <w:bottom w:val="single" w:sz="8" w:color="auto"/>
            </w:tcBorders>
            <w:gridSpan w:val="2"/>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2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000000"/>
          </w:tcPr>
          <w:p>
            <w:pPr>
              <w:spacing w:after="0"/>
              <w:rPr>
                <w:sz w:val="19"/>
                <w:szCs w:val="19"/>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Zedfesto Holding Ltd.</w:t>
            </w:r>
          </w:p>
        </w:tc>
        <w:tc>
          <w:tcPr>
            <w:tcW w:w="20" w:type="dxa"/>
            <w:vAlign w:val="bottom"/>
            <w:shd w:val="clear" w:color="auto" w:fill="000000"/>
          </w:tcPr>
          <w:p>
            <w:pPr>
              <w:spacing w:after="0"/>
              <w:rPr>
                <w:sz w:val="19"/>
                <w:szCs w:val="19"/>
                <w:color w:val="auto"/>
              </w:rPr>
            </w:pPr>
          </w:p>
        </w:tc>
        <w:tc>
          <w:tcPr>
            <w:tcW w:w="2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100,000(101)</w:t>
            </w:r>
          </w:p>
        </w:tc>
        <w:tc>
          <w:tcPr>
            <w:tcW w:w="2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shd w:val="clear" w:color="auto" w:fill="000000"/>
          </w:tcPr>
          <w:p>
            <w:pPr>
              <w:spacing w:after="0"/>
              <w:rPr>
                <w:sz w:val="19"/>
                <w:szCs w:val="19"/>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auto"/>
            </w:tcBorders>
            <w:shd w:val="clear" w:color="auto" w:fill="000000"/>
          </w:tcPr>
          <w:p>
            <w:pPr>
              <w:spacing w:after="0"/>
              <w:rPr>
                <w:sz w:val="13"/>
                <w:szCs w:val="13"/>
                <w:color w:val="auto"/>
              </w:rPr>
            </w:pPr>
          </w:p>
        </w:tc>
        <w:tc>
          <w:tcPr>
            <w:tcW w:w="5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320" w:type="dxa"/>
            <w:vAlign w:val="bottom"/>
            <w:tcBorders>
              <w:bottom w:val="single" w:sz="8" w:color="auto"/>
            </w:tcBorders>
            <w:gridSpan w:val="2"/>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2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000000"/>
          </w:tcPr>
          <w:p>
            <w:pPr>
              <w:spacing w:after="0"/>
              <w:rPr>
                <w:sz w:val="19"/>
                <w:szCs w:val="19"/>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Zheng Jie</w:t>
            </w:r>
          </w:p>
        </w:tc>
        <w:tc>
          <w:tcPr>
            <w:tcW w:w="20" w:type="dxa"/>
            <w:vAlign w:val="bottom"/>
            <w:shd w:val="clear" w:color="auto" w:fill="000000"/>
          </w:tcPr>
          <w:p>
            <w:pPr>
              <w:spacing w:after="0"/>
              <w:rPr>
                <w:sz w:val="19"/>
                <w:szCs w:val="19"/>
                <w:color w:val="auto"/>
              </w:rPr>
            </w:pPr>
          </w:p>
        </w:tc>
        <w:tc>
          <w:tcPr>
            <w:tcW w:w="2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1,857(102)</w:t>
            </w:r>
          </w:p>
        </w:tc>
        <w:tc>
          <w:tcPr>
            <w:tcW w:w="2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1,857</w:t>
            </w:r>
          </w:p>
        </w:tc>
        <w:tc>
          <w:tcPr>
            <w:tcW w:w="20" w:type="dxa"/>
            <w:vAlign w:val="bottom"/>
            <w:shd w:val="clear" w:color="auto" w:fill="000000"/>
          </w:tcPr>
          <w:p>
            <w:pPr>
              <w:spacing w:after="0"/>
              <w:rPr>
                <w:sz w:val="19"/>
                <w:szCs w:val="19"/>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auto"/>
            </w:tcBorders>
            <w:shd w:val="clear" w:color="auto" w:fill="000000"/>
          </w:tcPr>
          <w:p>
            <w:pPr>
              <w:spacing w:after="0"/>
              <w:rPr>
                <w:sz w:val="13"/>
                <w:szCs w:val="13"/>
                <w:color w:val="auto"/>
              </w:rPr>
            </w:pPr>
          </w:p>
        </w:tc>
        <w:tc>
          <w:tcPr>
            <w:tcW w:w="5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2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(1)Includes Ordinary Shares underlying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(2)Assumes the sale of all Ordinary Shares being offered pursuant to this prospectus.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(3)Mr. Daniel Wagner is the CEO and a director of Rezolve.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(4)Mr. John Wagner is a director of Rezolve.</w:t>
      </w:r>
    </w:p>
    <w:p>
      <w:pPr>
        <w:spacing w:after="0" w:line="1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(5)Consists of (i) 815,989 Ordinary Shares; (ii) 2,835 Ordinary Shares issued upon conversion of the Promissory Note held by Mr. Wagner; and (iii) 3,969 Ordinary Shares underlying the Private Warrants held by Mr. Wagner.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(6)Mr. Sharp is a director of Rezolve.</w:t>
      </w:r>
    </w:p>
    <w:p>
      <w:pPr>
        <w:spacing w:after="0" w:line="18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(7)Consists of (i) 1,879,352 Ordinary Shares; (ii) 11,321 Ordinary Shares issued upon conversion of the Promissory Note held by Mr. Sharp; (iii) 42,441 Ordinary Shares issued upon the conversion of the Advance Subscription made by Mr. Sharp; and (iv) 15,850 Ordinary Shares underlying the Private Warrants held by Mr. Sharp.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(8)Sir David Wright is a director of Rezolve.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(9)Mr. Perry is a director of Rezolve.</w:t>
      </w:r>
    </w:p>
    <w:p>
      <w:pPr>
        <w:spacing w:after="0" w:line="212" w:lineRule="exact"/>
        <w:rPr>
          <w:sz w:val="20"/>
          <w:szCs w:val="20"/>
          <w:color w:val="auto"/>
        </w:rPr>
      </w:pPr>
    </w:p>
    <w:p>
      <w:pPr>
        <w:ind w:firstLine="8"/>
        <w:spacing w:after="0" w:line="254" w:lineRule="auto"/>
        <w:tabs>
          <w:tab w:leader="none" w:pos="35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564,935 Ordinary Shares; (ii) 34,395 Ordinary Shares issued upon conversion of the Promissory Note held by Mr. Perry; (iii) 110,000 Ordinary Shares issued upon the conversion of the Advance Subscription made by Mr. Perry; (iv) 12,700 Ordinary Shares underlying the Private Warrants held by Mr. Perry; and (v) 69,526 Ordinary Shares issued upon conversion of the Convertible Note held by Mr. Perry. For the avoidance of doubt, (A)(i) the 564,935 Ordinary Shares, (ii) 9,071 of the 34,395 Ordinary Shares underlying the Promissory Note held by Mr. Perry, (iii) the 110,000 Ordinary Shares issued upon the conversion of the Advance Subscription made by Mr. Perry, (iv) the 12,700 Ordinary Shares underlying the Private Warrants held by Mr. Perry, and (v) 19,017 of the 69,526 Ordinary Shares issued upon conversion of the Convertible Note held by Mr. Perry are registered for resale hereby, and (B)(i) 25,324 of the 34,395 Ordinary Shares underlying the Promissory Note held by Mr. Perry and 50,509 of the 69,526 Ordinary Shares issued upon conversion of the Convertible Note held by Mr. Perry were registered on the Registration Statement on Form F-1, originally filed on January 13, 2025, and declared effective on January 31, 2025 (the “January Form F-1”) .</w:t>
      </w:r>
    </w:p>
    <w:p>
      <w:pPr>
        <w:spacing w:after="0" w:line="14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(11)Mr. Lurio served as President and a director of Armada, which became a wholly owned subsidiary of the Company in connection with the Business Combination, since Armada’s inception in November 2020. Mr. Lurio became a director of Rezolve following the Business Combination and served in such capacity until his resignation on August 20, 2024. Mr. Lurio’s business address is 1007 Canterbury Lane, Villanova, PA 19805.</w:t>
      </w:r>
    </w:p>
    <w:p>
      <w:pPr>
        <w:spacing w:after="0" w:line="14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(12)Mr. Herbert is a director of Rezolve. Mr. Herbert served as Chief Executive Officer and Chairman of Armada, which became a wholly owned subsidiary of the Company in connection with the Business Combination, since Armada’s inception in November 2020. Mr. Herbert’s business address is PO Box 2339, Breckenridge, CO 80424.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(13)Mr. Vesco is the Chief Commercial Officer and General Manager (EMEA) of Rezolve.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(14)Consists of (i) 1,142,384 Ordinary Shares and (ii) 11,249 Ordinary Shares issued upon conversion of the Advance Subscription made by Mr. Vesco.</w:t>
      </w:r>
    </w:p>
    <w:p>
      <w:pPr>
        <w:spacing w:after="0" w:line="19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(15)DBLP Sea Cow Limited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is wholly legally owned by Daniel Wagner and is wholly beneficially owned by John Wagner. Messrs. Daniel and John Wagner are each directors of DBLP and may be deemed to share voting and investment power over the shares held by DBLP. Messrs. Daniel and John Wagner are each directors of Rezolve.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(16)Consists of (i) 32,473,683 Ordinary Shares; and (ii) 11,679,174 shares issuable to DBLP upon conversion of certain options granted under the LTIPs;</w:t>
      </w:r>
    </w:p>
    <w:p>
      <w:pPr>
        <w:spacing w:after="0" w:line="27" w:lineRule="exact"/>
        <w:rPr>
          <w:sz w:val="20"/>
          <w:szCs w:val="20"/>
          <w:color w:val="auto"/>
        </w:rPr>
      </w:pPr>
    </w:p>
    <w:p>
      <w:pPr>
        <w:ind w:right="40" w:firstLine="8"/>
        <w:spacing w:after="0" w:line="250" w:lineRule="auto"/>
        <w:tabs>
          <w:tab w:leader="none" w:pos="26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178,571 Ordinary Shares issued upon conversion of the Promissory Note held by DBLP; (iii) 4,150,000 Ordinary Shares issued upon the conversion of the Advance Subscription made by DBLP; and (iv) 250,000 Ordinary Shares underlying the Private Warrants held by DBLP. For the avoidance of doubt,</w:t>
      </w:r>
    </w:p>
    <w:p>
      <w:pPr>
        <w:ind w:right="280" w:firstLine="8"/>
        <w:spacing w:after="0" w:line="255" w:lineRule="auto"/>
        <w:tabs>
          <w:tab w:leader="none" w:pos="2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32,473,683 Ordinary Shares, (ii) 178,571 Ordinary Shares issued upon conversion of the Promissory Note held by DBLP; (iii) 4,150,000 Ordinary Shares issued upon the conversion of the Advanced Subscription made by DBLP and (iii) the 250,000 Ordinary Shares underlying the Private Warrants held by DBLP are registered for resale hereby.</w:t>
      </w:r>
    </w:p>
    <w:p>
      <w:pPr>
        <w:spacing w:after="0" w:line="14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(17)Mr. Lychagov has sole voting and investment power over these securities. These securities are held directly by Mr. Lychagov, with no agreements or understandings with any other parties regarding the distribution of the securities. Mr. Lychagov resigned as a director of Rezolve on May 19, 2023, having served in such position since August 2019. Mr. Lychagov’s business address is c/o LakeShore International Management AG, Obergrundstrasse 44, 6003 Luzern, Switzerland.</w:t>
      </w:r>
    </w:p>
    <w:p>
      <w:pPr>
        <w:spacing w:after="0" w:line="15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(18)Consists of (i) 34,649,207 Ordinary Shares and (ii) 1,194,051 Ordinary Shares of the issued upon conversion of the Convertible Note held by Mr. Lychagov. For the avoidance of doubt, A(i) the 34,649,207 Ordinary Shares; and (ii) 1,142,857 of the 1,194,051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97" w:name="page98"/>
    <w:bookmarkEnd w:id="97"/>
    <w:p>
      <w:pPr>
        <w:ind w:right="300"/>
        <w:spacing w:after="0" w:line="282" w:lineRule="auto"/>
        <w:rPr>
          <w:sz w:val="20"/>
          <w:szCs w:val="20"/>
          <w:color w:val="auto"/>
        </w:rPr>
      </w:pPr>
      <w:r>
        <w:rPr>
          <w:rFonts w:ascii="Times New Roman" w:cs="Times New Roman" w:eastAsia="Times New Roman" w:hAnsi="Times New Roman"/>
          <w:sz w:val="18"/>
          <w:szCs w:val="18"/>
          <w:color w:val="auto"/>
        </w:rPr>
        <w:t>Ordinary Shares issued upon conversion of the Convertible Note held by Mr.Lychagov are registered for resale hereby, and (B) 51,594 of the 1,194,051 Ordinary Shares issued upon conversion of such Convertible Note were registered on the January Form F-1.</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(19)Christian Angermayer is the majority shareholder of Apeiron Investment Group Limited (“</w:t>
      </w:r>
      <w:r>
        <w:rPr>
          <w:rFonts w:ascii="Times New Roman" w:cs="Times New Roman" w:eastAsia="Times New Roman" w:hAnsi="Times New Roman"/>
          <w:sz w:val="18"/>
          <w:szCs w:val="18"/>
          <w:b w:val="1"/>
          <w:bCs w:val="1"/>
          <w:i w:val="1"/>
          <w:iCs w:val="1"/>
          <w:color w:val="auto"/>
        </w:rPr>
        <w:t>Apeiron</w:t>
      </w:r>
      <w:r>
        <w:rPr>
          <w:rFonts w:ascii="Times New Roman" w:cs="Times New Roman" w:eastAsia="Times New Roman" w:hAnsi="Times New Roman"/>
          <w:sz w:val="18"/>
          <w:szCs w:val="18"/>
          <w:color w:val="auto"/>
        </w:rPr>
        <w:t>”) and may be deemed to share beneficial ownership of the securities beneficially owned by Apeiron. The principal business address of Apeiron and Mr. Angermayer is 66 &amp; 67, Beatrice, Amery Street, Sliema SLM1707, Malta.</w:t>
      </w:r>
    </w:p>
    <w:p>
      <w:pPr>
        <w:spacing w:after="0" w:line="14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(20)In its Schedule 13G filing on September 24, 2024, Apeiron reported beneficial ownership of 18,281,638 Ordinary Shares representing 10.4% of the class of Ordinary Shares, comprised of (i) 14,712,645 Ordinary Shares held beneficially and of record by Apeiron, (ii) 62,500 Ordinary Shares underlying currently exercisable warrants which Apeiron may be deemed to beneficially own, (iii) 3,173,160 Ordinary Shares that Apeiron has the right to acquire upon conversion of various convertible debt instruments which Apeiron may be deemed to beneficially own and (iv) 333,333 Ordinary Shares that Apeiron has the right to acquire pursuant to a contractual obligation with the Issuer which Apeiron may be deemed to beneficially own. The number of Ordinary Shares registered for resale by Apeiron pursuant to this Registration Statement has been calculated based on the aggregate of: (i) 10,712,645 Ordinary Shares, (ii) 182,886 Ordinary Shares with respect to Ordinary Shares issuable upon potential conversion of the Promissory Note held by Apeiron, (iii) 333,333 Ordinary Shares with respect to the potential conversion of the Advance Subscription made by Apeiron, (iv) 62,500 Ordinary Shares underlying the Private Warrants held by Apeiron; and (v) 13,806,181 Ordinary Shares with respect to Ordinary Shares issued upon conversion of the Convertible Note held by Apeiron. Excludes 1,240,865 Ordinary Shares held by Apeiron on Brad Wickens' behalf.</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(21)The principal business address of ACM Almeda Special Purpose Investment Fund II LP is One Rockefeller Center, 32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Floor, New York, NY 10020.</w:t>
      </w:r>
    </w:p>
    <w:p>
      <w:pPr>
        <w:spacing w:after="0" w:line="118" w:lineRule="exact"/>
        <w:rPr>
          <w:sz w:val="20"/>
          <w:szCs w:val="20"/>
          <w:color w:val="auto"/>
        </w:rPr>
      </w:pPr>
    </w:p>
    <w:p>
      <w:pPr>
        <w:ind w:right="440"/>
        <w:spacing w:after="0" w:line="292" w:lineRule="auto"/>
        <w:rPr>
          <w:sz w:val="20"/>
          <w:szCs w:val="20"/>
          <w:color w:val="auto"/>
        </w:rPr>
      </w:pPr>
      <w:r>
        <w:rPr>
          <w:rFonts w:ascii="Times New Roman" w:cs="Times New Roman" w:eastAsia="Times New Roman" w:hAnsi="Times New Roman"/>
          <w:sz w:val="18"/>
          <w:szCs w:val="18"/>
          <w:color w:val="auto"/>
        </w:rPr>
        <w:t>(22)Mr. Ivan Zinn may be deemed to share beneficial ownership of the securities beneficially owned by ACM Alamosa (Cayman) Holdco LP (“</w:t>
      </w:r>
      <w:r>
        <w:rPr>
          <w:rFonts w:ascii="Times New Roman" w:cs="Times New Roman" w:eastAsia="Times New Roman" w:hAnsi="Times New Roman"/>
          <w:sz w:val="18"/>
          <w:szCs w:val="18"/>
          <w:b w:val="1"/>
          <w:bCs w:val="1"/>
          <w:i w:val="1"/>
          <w:iCs w:val="1"/>
          <w:color w:val="auto"/>
        </w:rPr>
        <w:t>ACM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Alamosa</w:t>
      </w:r>
      <w:r>
        <w:rPr>
          <w:rFonts w:ascii="Times New Roman" w:cs="Times New Roman" w:eastAsia="Times New Roman" w:hAnsi="Times New Roman"/>
          <w:sz w:val="18"/>
          <w:szCs w:val="18"/>
          <w:color w:val="auto"/>
        </w:rPr>
        <w:t>”). The principal business address of ACM Alamosa is One Rockefeller Center, 32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Floor, New York, NY 10020.</w:t>
      </w:r>
    </w:p>
    <w:p>
      <w:pPr>
        <w:spacing w:after="0" w:line="47" w:lineRule="exact"/>
        <w:rPr>
          <w:sz w:val="20"/>
          <w:szCs w:val="20"/>
          <w:color w:val="auto"/>
        </w:rPr>
      </w:pPr>
    </w:p>
    <w:p>
      <w:pPr>
        <w:ind w:right="320"/>
        <w:spacing w:after="0" w:line="292" w:lineRule="auto"/>
        <w:rPr>
          <w:sz w:val="20"/>
          <w:szCs w:val="20"/>
          <w:color w:val="auto"/>
        </w:rPr>
      </w:pPr>
      <w:r>
        <w:rPr>
          <w:rFonts w:ascii="Times New Roman" w:cs="Times New Roman" w:eastAsia="Times New Roman" w:hAnsi="Times New Roman"/>
          <w:sz w:val="18"/>
          <w:szCs w:val="18"/>
          <w:color w:val="auto"/>
        </w:rPr>
        <w:t>(23)Mr. Ivan Zinn may be deemed to share beneficial ownership of the securities beneficially owned by ACM ASOF VII (Cayman) Holdco LP (“</w:t>
      </w:r>
      <w:r>
        <w:rPr>
          <w:rFonts w:ascii="Times New Roman" w:cs="Times New Roman" w:eastAsia="Times New Roman" w:hAnsi="Times New Roman"/>
          <w:sz w:val="18"/>
          <w:szCs w:val="18"/>
          <w:b w:val="1"/>
          <w:bCs w:val="1"/>
          <w:i w:val="1"/>
          <w:iCs w:val="1"/>
          <w:color w:val="auto"/>
        </w:rPr>
        <w:t>ACM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ASOF</w:t>
      </w:r>
      <w:r>
        <w:rPr>
          <w:rFonts w:ascii="Times New Roman" w:cs="Times New Roman" w:eastAsia="Times New Roman" w:hAnsi="Times New Roman"/>
          <w:sz w:val="18"/>
          <w:szCs w:val="18"/>
          <w:color w:val="auto"/>
        </w:rPr>
        <w:t>”). The principal business address of ACM ASOF is One Rockefeller Center, 32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Floor, New York, NY 10020.</w:t>
      </w:r>
    </w:p>
    <w:p>
      <w:pPr>
        <w:spacing w:after="0" w:line="3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(24)Mr. Krupczynski is a long-term employee of Rezolve and currently holds an active employment contract with the Company. The principal business address for Mr. Krupczynski is Przy Agorze 26/191, 01-930 Warsaw, Poland.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(25)Consists of (i) 24,480 Ordinary Shares; (ii) 67,113 Ordinary Shares issued upon the conversion of the Advance Subscription made by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Krupczynski; and (iii) 16,230 Rezolve Options pursuant to an option grant agreement between Mr. Krupczynski and the Company.</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(26)Consists of (i) 929,286 Ordinary Shares, (ii) 4,464 Ordinary Shares issued upon conversion of the Promissory Note held by Mr. Adam Wagner, and (iii) 6,250 Ordinary Shares underlying the Private Warrants held by Mr. Adam Wagner.</w:t>
      </w:r>
    </w:p>
    <w:p>
      <w:pPr>
        <w:spacing w:after="0" w:line="11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(27)Mr. Himanshu Gulati is the Managing Member of the general partner of Antara Capital Total Return SPAC Master Fund L.P. ("</w:t>
      </w:r>
      <w:r>
        <w:rPr>
          <w:rFonts w:ascii="Times New Roman" w:cs="Times New Roman" w:eastAsia="Times New Roman" w:hAnsi="Times New Roman"/>
          <w:sz w:val="18"/>
          <w:szCs w:val="18"/>
          <w:b w:val="1"/>
          <w:bCs w:val="1"/>
          <w:i w:val="1"/>
          <w:iCs w:val="1"/>
          <w:color w:val="auto"/>
        </w:rPr>
        <w:t>Antara Capital Total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Return</w:t>
      </w:r>
      <w:r>
        <w:rPr>
          <w:rFonts w:ascii="Times New Roman" w:cs="Times New Roman" w:eastAsia="Times New Roman" w:hAnsi="Times New Roman"/>
          <w:sz w:val="18"/>
          <w:szCs w:val="18"/>
          <w:color w:val="auto"/>
        </w:rPr>
        <w:t>") and may be deemed to beneficially own the securities owned by Antara Capital Total Return. The principal business address of Antara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Return is 2005 Market Street, Suite 3120, Philadelphia, PA 19103.</w:t>
      </w:r>
    </w:p>
    <w:p>
      <w:pPr>
        <w:spacing w:after="0" w:line="13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(28)Consists of (i) 1,631,977 Ordinary Shares and (ii) 33,333 Ordinary Shares issued upon the conversion of the Advance Subscription made by Aperitus Limited.</w:t>
      </w:r>
    </w:p>
    <w:p>
      <w:pPr>
        <w:spacing w:after="0" w:line="13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(29)AQR Absolute Return Master Account, L.P. (“</w:t>
      </w:r>
      <w:r>
        <w:rPr>
          <w:rFonts w:ascii="Times New Roman" w:cs="Times New Roman" w:eastAsia="Times New Roman" w:hAnsi="Times New Roman"/>
          <w:sz w:val="18"/>
          <w:szCs w:val="18"/>
          <w:b w:val="1"/>
          <w:bCs w:val="1"/>
          <w:i w:val="1"/>
          <w:iCs w:val="1"/>
          <w:color w:val="auto"/>
        </w:rPr>
        <w:t>AQR Absolute Return</w:t>
      </w:r>
      <w:r>
        <w:rPr>
          <w:rFonts w:ascii="Times New Roman" w:cs="Times New Roman" w:eastAsia="Times New Roman" w:hAnsi="Times New Roman"/>
          <w:sz w:val="18"/>
          <w:szCs w:val="18"/>
          <w:color w:val="auto"/>
        </w:rPr>
        <w:t>”) is a Cayman Islands exempted limited partnership. AQR Principal Global Asset Allocation LLC, a Delaware limited liability company, is its general partner. AQR Capital Management, LLC (“</w:t>
      </w:r>
      <w:r>
        <w:rPr>
          <w:rFonts w:ascii="Times New Roman" w:cs="Times New Roman" w:eastAsia="Times New Roman" w:hAnsi="Times New Roman"/>
          <w:sz w:val="18"/>
          <w:szCs w:val="18"/>
          <w:b w:val="1"/>
          <w:bCs w:val="1"/>
          <w:i w:val="1"/>
          <w:iCs w:val="1"/>
          <w:color w:val="auto"/>
        </w:rPr>
        <w:t>AQR Capital Management</w:t>
      </w:r>
      <w:r>
        <w:rPr>
          <w:rFonts w:ascii="Times New Roman" w:cs="Times New Roman" w:eastAsia="Times New Roman" w:hAnsi="Times New Roman"/>
          <w:sz w:val="18"/>
          <w:szCs w:val="18"/>
          <w:color w:val="auto"/>
        </w:rPr>
        <w:t>”) and AQR Arbitrage, LLC (“</w:t>
      </w:r>
      <w:r>
        <w:rPr>
          <w:rFonts w:ascii="Times New Roman" w:cs="Times New Roman" w:eastAsia="Times New Roman" w:hAnsi="Times New Roman"/>
          <w:sz w:val="18"/>
          <w:szCs w:val="18"/>
          <w:b w:val="1"/>
          <w:bCs w:val="1"/>
          <w:i w:val="1"/>
          <w:iCs w:val="1"/>
          <w:color w:val="auto"/>
        </w:rPr>
        <w:t>AQR Arbitrage</w:t>
      </w:r>
      <w:r>
        <w:rPr>
          <w:rFonts w:ascii="Times New Roman" w:cs="Times New Roman" w:eastAsia="Times New Roman" w:hAnsi="Times New Roman"/>
          <w:sz w:val="18"/>
          <w:szCs w:val="18"/>
          <w:color w:val="auto"/>
        </w:rPr>
        <w:t>”), each a Delaware limited liability company, act as investment adviser to AQR Absolute Return. AQR Arbitrage is deemed to be controlled by AQR Capital Management. AQR Capital Management is a wholly-owned subsidiary of AQR Capital Management Holdings, LLC, a Delaware limited liability company (“</w:t>
      </w:r>
      <w:r>
        <w:rPr>
          <w:rFonts w:ascii="Times New Roman" w:cs="Times New Roman" w:eastAsia="Times New Roman" w:hAnsi="Times New Roman"/>
          <w:sz w:val="18"/>
          <w:szCs w:val="18"/>
          <w:b w:val="1"/>
          <w:bCs w:val="1"/>
          <w:i w:val="1"/>
          <w:iCs w:val="1"/>
          <w:color w:val="auto"/>
        </w:rPr>
        <w:t>AQR Capital Management Holdings</w:t>
      </w:r>
      <w:r>
        <w:rPr>
          <w:rFonts w:ascii="Times New Roman" w:cs="Times New Roman" w:eastAsia="Times New Roman" w:hAnsi="Times New Roman"/>
          <w:sz w:val="18"/>
          <w:szCs w:val="18"/>
          <w:color w:val="auto"/>
        </w:rPr>
        <w:t>”). Each of the parties in this footnote disclaims any beneficial ownership of the reported shares other than to the extent of any pecuniary interest the party may have therein. AQR Absolute Return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AQR Absolute Return did not acquire their Ordinary Shares in the ordinary course of business, or did have such an agreement or understanding, we will file a post-effective amendment to the registration statement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8" w:name="page99"/>
    <w:bookmarkEnd w:id="98"/>
    <w:p>
      <w:pPr>
        <w:ind w:right="100"/>
        <w:spacing w:after="0" w:line="282" w:lineRule="auto"/>
        <w:rPr>
          <w:sz w:val="20"/>
          <w:szCs w:val="20"/>
          <w:color w:val="auto"/>
        </w:rPr>
      </w:pPr>
      <w:r>
        <w:rPr>
          <w:rFonts w:ascii="Times New Roman" w:cs="Times New Roman" w:eastAsia="Times New Roman" w:hAnsi="Times New Roman"/>
          <w:sz w:val="18"/>
          <w:szCs w:val="18"/>
          <w:color w:val="auto"/>
        </w:rPr>
        <w:t>which this prospectus forms part to designate such affiliate as an “underwriter” within the meaning of the Securities Act. The principal business address of AQR Absolute Return is One Greenwich Plaza, Suite 130, Greenwich, CT 06830.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(30)Consists of 4,125 Ordinary Shares directly held.</w:t>
      </w:r>
    </w:p>
    <w:p>
      <w:pPr>
        <w:spacing w:after="0" w:line="1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(31)AQR Diversified Arbitrage Fund (“</w:t>
      </w:r>
      <w:r>
        <w:rPr>
          <w:rFonts w:ascii="Times New Roman" w:cs="Times New Roman" w:eastAsia="Times New Roman" w:hAnsi="Times New Roman"/>
          <w:sz w:val="18"/>
          <w:szCs w:val="18"/>
          <w:b w:val="1"/>
          <w:bCs w:val="1"/>
          <w:i w:val="1"/>
          <w:iCs w:val="1"/>
          <w:color w:val="auto"/>
        </w:rPr>
        <w:t>AQR Diversified Arbitrage</w:t>
      </w:r>
      <w:r>
        <w:rPr>
          <w:rFonts w:ascii="Times New Roman" w:cs="Times New Roman" w:eastAsia="Times New Roman" w:hAnsi="Times New Roman"/>
          <w:sz w:val="18"/>
          <w:szCs w:val="18"/>
          <w:color w:val="auto"/>
        </w:rPr>
        <w:t>”) is a series of AQR Funds, a Delaware statutory trust registered as an open-end management investment company with the U.S. Securities and Exchange Commission. AQR Capital Management and AQR Arbitrage act as investment adviser and sub-adviser, respectively, to AQR Diversified Arbitrage. AQR Arbitrage is deemed to be controlled by AQR Capital Management. AQR Capital Management is a wholly-owned subsidiary of AQR Capital Management Holdings. Each of the parties in this footnote disclaims any beneficial ownership of the reported shares other than to the extent of any pecuniary interest the party may have therein. AQR Diversified Arbitrage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AQR Diversified Arbitrage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AQR Diversified Arbitrage is One Greenwich Plaza, Suite 130, Greenwich, CT 06830.</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 Consists of 19,875 Ordinary Shares directly held.</w:t>
      </w:r>
    </w:p>
    <w:p>
      <w:pPr>
        <w:spacing w:after="0" w:line="1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(33)AQR Global Alternative Investment Offshore Fund, L.P. (“</w:t>
      </w:r>
      <w:r>
        <w:rPr>
          <w:rFonts w:ascii="Times New Roman" w:cs="Times New Roman" w:eastAsia="Times New Roman" w:hAnsi="Times New Roman"/>
          <w:sz w:val="18"/>
          <w:szCs w:val="18"/>
          <w:b w:val="1"/>
          <w:bCs w:val="1"/>
          <w:i w:val="1"/>
          <w:iCs w:val="1"/>
          <w:color w:val="auto"/>
        </w:rPr>
        <w:t>AQR Global</w:t>
      </w:r>
      <w:r>
        <w:rPr>
          <w:rFonts w:ascii="Times New Roman" w:cs="Times New Roman" w:eastAsia="Times New Roman" w:hAnsi="Times New Roman"/>
          <w:sz w:val="18"/>
          <w:szCs w:val="18"/>
          <w:color w:val="auto"/>
        </w:rPr>
        <w:t>”) is a Cayman Islands exempted limited partnership AQR Capital Management GP Ltd., a Cayman Islands company, is its general partner. AQR Capital Management and AQR Arbitrage act as investment adviser to AQR Global. AQR Arbitrage is deemed to be controlled by AQR Capital Management. AQR Capital Management is a wholly owned subsidiary of AQR Capital Management Holdings. Each of the parties in this footnote disclaims any beneficial ownership of the reported shares other than to the extent of any pecuniary interest the party may have therein. AQR Global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AQR Global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AQR Global is One Greenwich Plaza, Suite 130, Greenwich, CT 06830.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(34)Consists of 18,857 Ordinary Shares directly held.</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(35)Mr. Yao is the Chief Executive Officer of Rezolve’s China office. The principal business address for Mr. Yao is No. 2 Zhuang, 268 Hao, Qinggong Lu, Fengxianqu, Shanghai, China.</w:t>
      </w:r>
    </w:p>
    <w:p>
      <w:pPr>
        <w:spacing w:after="0" w:line="121" w:lineRule="exact"/>
        <w:rPr>
          <w:sz w:val="20"/>
          <w:szCs w:val="20"/>
          <w:color w:val="auto"/>
        </w:rPr>
      </w:pPr>
    </w:p>
    <w:p>
      <w:pPr>
        <w:ind w:right="140" w:firstLine="8"/>
        <w:spacing w:after="0" w:line="256" w:lineRule="auto"/>
        <w:tabs>
          <w:tab w:leader="none" w:pos="34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1,192,335 Ordinary Shares; (ii) 50,780 Ordinary Shares issued upon conversion of the Promissory Note held by Mr. Yao; (iii) 49,951 Ordinary Shares issued upon conversion of the Advance Subscription made by Mr. Yao; and (iv) 18,750 Ordinary Shares underlying the Private Warrants held by Mr. Yao. For the avoidance of doubt, A(i) 13,393 of the 50,780 Ordinary Shares issued upon conversion of the Promissory Note; (ii) the 49,951 Ordinary Shares issued upon the conversion of the Advance Subscription made by Mr. Yao; and (iii) the 18,750 Ordinary Shares underlying the Private Warrants held by Mr. Yao are registered for resale hereby, and (B)(i) 37,387 the 50,780 Ordinary Shares issued upon conversion of such Promissory Note were registered on the January Form F-1.</w:t>
      </w:r>
    </w:p>
    <w:p>
      <w:pPr>
        <w:spacing w:after="0" w:line="16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(37)Mr. Andrew Davilman, in his capacity as the Chief Operating Officer, may be deemed to control the securities owned by ASJC Global LLC - Series 14 ("</w:t>
      </w:r>
      <w:r>
        <w:rPr>
          <w:rFonts w:ascii="Times New Roman" w:cs="Times New Roman" w:eastAsia="Times New Roman" w:hAnsi="Times New Roman"/>
          <w:sz w:val="18"/>
          <w:szCs w:val="18"/>
          <w:b w:val="1"/>
          <w:bCs w:val="1"/>
          <w:i w:val="1"/>
          <w:iCs w:val="1"/>
          <w:color w:val="auto"/>
        </w:rPr>
        <w:t>ASJC Global</w:t>
      </w:r>
      <w:r>
        <w:rPr>
          <w:rFonts w:ascii="Times New Roman" w:cs="Times New Roman" w:eastAsia="Times New Roman" w:hAnsi="Times New Roman"/>
          <w:sz w:val="18"/>
          <w:szCs w:val="18"/>
          <w:color w:val="auto"/>
        </w:rPr>
        <w:t>"). ASJC Global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ASJC Global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office of ASJC Global is 3 Columbus Circle, 24th Floor, New York, NY 10019.</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(38)The principal business address of Atalaya Special Purpose Investment Fund II LP is One Rockefeller Center, 32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Floor, New York, NY 10020.</w:t>
      </w:r>
    </w:p>
    <w:p>
      <w:pPr>
        <w:spacing w:after="0" w:line="12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(39)Offered securities consist of the maximum number of Ordinary Shares that may be issued in relation to those Ordinary Shares the Company issued to Berenberg Capital Markets LLC (“</w:t>
      </w:r>
      <w:r>
        <w:rPr>
          <w:rFonts w:ascii="Times New Roman" w:cs="Times New Roman" w:eastAsia="Times New Roman" w:hAnsi="Times New Roman"/>
          <w:sz w:val="18"/>
          <w:szCs w:val="18"/>
          <w:b w:val="1"/>
          <w:bCs w:val="1"/>
          <w:i w:val="1"/>
          <w:iCs w:val="1"/>
          <w:color w:val="auto"/>
        </w:rPr>
        <w:t>Berenberg</w:t>
      </w:r>
      <w:r>
        <w:rPr>
          <w:rFonts w:ascii="Times New Roman" w:cs="Times New Roman" w:eastAsia="Times New Roman" w:hAnsi="Times New Roman"/>
          <w:sz w:val="18"/>
          <w:szCs w:val="18"/>
          <w:color w:val="auto"/>
        </w:rPr>
        <w:t>”), a registered broker-dealer, as transaction-based compensation for the performance of investment banking services rendered to the Company in connection with the recently completed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9" w:name="page100"/>
    <w:bookmarkEnd w:id="99"/>
    <w:p>
      <w:pPr>
        <w:ind w:right="20"/>
        <w:spacing w:after="0" w:line="256" w:lineRule="auto"/>
        <w:rPr>
          <w:sz w:val="20"/>
          <w:szCs w:val="20"/>
          <w:color w:val="auto"/>
        </w:rPr>
      </w:pPr>
      <w:r>
        <w:rPr>
          <w:rFonts w:ascii="Times New Roman" w:cs="Times New Roman" w:eastAsia="Times New Roman" w:hAnsi="Times New Roman"/>
          <w:sz w:val="18"/>
          <w:szCs w:val="18"/>
          <w:color w:val="auto"/>
        </w:rPr>
        <w:t>Combination. The business address of Berenberg is 1251 Avenue of the Americas, 53rd Floor, New York, NY 10020. Berenberg's sole member is Berenberg Asset Management LLC ("</w:t>
      </w:r>
      <w:r>
        <w:rPr>
          <w:rFonts w:ascii="Times New Roman" w:cs="Times New Roman" w:eastAsia="Times New Roman" w:hAnsi="Times New Roman"/>
          <w:sz w:val="18"/>
          <w:szCs w:val="18"/>
          <w:b w:val="1"/>
          <w:bCs w:val="1"/>
          <w:i w:val="1"/>
          <w:iCs w:val="1"/>
          <w:color w:val="auto"/>
        </w:rPr>
        <w:t>BAM</w:t>
      </w:r>
      <w:r>
        <w:rPr>
          <w:rFonts w:ascii="Times New Roman" w:cs="Times New Roman" w:eastAsia="Times New Roman" w:hAnsi="Times New Roman"/>
          <w:sz w:val="18"/>
          <w:szCs w:val="18"/>
          <w:color w:val="auto"/>
        </w:rPr>
        <w:t>"). BAM's sole member is Berenberg Americas LLC, which in turn is a wholly owned subsidiary of Berenberg Beteiligungsholding GmbH ("</w:t>
      </w:r>
      <w:r>
        <w:rPr>
          <w:rFonts w:ascii="Times New Roman" w:cs="Times New Roman" w:eastAsia="Times New Roman" w:hAnsi="Times New Roman"/>
          <w:sz w:val="18"/>
          <w:szCs w:val="18"/>
          <w:b w:val="1"/>
          <w:bCs w:val="1"/>
          <w:i w:val="1"/>
          <w:iCs w:val="1"/>
          <w:color w:val="auto"/>
        </w:rPr>
        <w:t>BBH</w:t>
      </w:r>
      <w:r>
        <w:rPr>
          <w:rFonts w:ascii="Times New Roman" w:cs="Times New Roman" w:eastAsia="Times New Roman" w:hAnsi="Times New Roman"/>
          <w:sz w:val="18"/>
          <w:szCs w:val="18"/>
          <w:color w:val="auto"/>
        </w:rPr>
        <w:t>"). BBH is the holding company for Joh. Berenberg, Gossler &amp; Co. KG, a German regulated bank. The business address of Joh. Berenberg, Gossler &amp; Co. KG is Neuer Jungfernstieg 20, 20354 Hamburg, Germany. No natural person holds more than 25% of the ownership interests in Joh. Berenberg, Gossler &amp; Co. KG or controls more than 25% of the voting rights thereof and can therefore be regarded as the beneficial owner of the Ordinary Shares held by the Selling Holder.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(40)The principal business address of Boston Patriot Merrimack ST. LLC is c/o PRIM Board, 84 State St. Suite 250, Boston, MA 02109.</w:t>
      </w:r>
    </w:p>
    <w:p>
      <w:pPr>
        <w:spacing w:after="0" w:line="198" w:lineRule="exact"/>
        <w:rPr>
          <w:sz w:val="20"/>
          <w:szCs w:val="20"/>
          <w:color w:val="auto"/>
        </w:rPr>
      </w:pPr>
    </w:p>
    <w:p>
      <w:pPr>
        <w:jc w:val="both"/>
        <w:ind w:right="120" w:firstLine="8"/>
        <w:spacing w:after="0" w:line="272" w:lineRule="auto"/>
        <w:tabs>
          <w:tab w:leader="none" w:pos="345"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9,712,804 Ordinary Shares; (ii) 1,240,865 Ordinary Shares currently held by Apeiron on Mr. Wickens' behalf; (iii) 3,592,194 Ordinary Shares currently held by DBLP but subject to a call option currently exercisable by Mr. Wickens; (iv) 156,250 Ordinary Shares issued upon conversion of the Promissory Note held by Mr. Wickens; (iv) 333,333 Ordinary Shares issued upon the conversion of the Advance Subscription made by Mr. Wickens,</w:t>
      </w:r>
    </w:p>
    <w:p>
      <w:pPr>
        <w:spacing w:after="0" w:line="1" w:lineRule="exact"/>
        <w:rPr>
          <w:rFonts w:ascii="Times New Roman" w:cs="Times New Roman" w:eastAsia="Times New Roman" w:hAnsi="Times New Roman"/>
          <w:sz w:val="17"/>
          <w:szCs w:val="17"/>
          <w:color w:val="auto"/>
        </w:rPr>
      </w:pPr>
    </w:p>
    <w:p>
      <w:pPr>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62,500 Ordinary Shares underlying the Private Warrants held by Mr. Wickens; and (vi) 10,840,973 Ordinary Shares issued upon conversion of the Convertible Note held by Mr. Wickens. For the avoidance of doubt, (A)(i) 7,897,913 of the 9,712,804 Ordinary Shares, (ii) the 1,240,865 Ordinary Shares currently held by Apeiron on Mr. Wickens' behalf, (iii) 44,643 of the 156,250 Ordinary Shares issued upon conversion of the Promissory Note held by Mr. Wickens, (iv) 333,333 Ordinary Shares issued upon the conversion of the Advance Subscription made by Mr. Wickens, (v) the 62,500 Ordinary Shares underlying the Private Warrants held by Mr. Wickens, and (vi) 2,965,206 of the 10,840,973 Ordinary Shares issued upon conversion of the Convertible Note held by Mr. Wickens are registered for resale hereby, and (B)(i) 111,607 of the 156,250 Ordinary Shares issued upon conversion of the Promissory Note held by Mr. Wickens and (ii) 7,875,767 of the 10,840,973 Ordinary Shares issued upon conversion of the Convertible Note held by Mr. Wickens were registered for resale on the January Form F-1.</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(42)Consists of (i) 7,870,000 Ordinary Shares and (ii) 9,200,000 Ordinary Shares issued upon the conversion of the Advance Subscription made by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Newmark.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(43)Consists of (i) 20,553 Ordinary Shares and (ii) 10,000 Ordinary Shares issued upon the conversion of the Advance Subscription made by Cecil Levy.</w:t>
      </w:r>
    </w:p>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(44)Mr. White served as a director of Armada, which became a wholly owned subsidiary of the Company in connection with the Business Combination, since August 2021. Mr. White’s principal business address is 34 N. Calibogue Cay Road, Hilton Head Island, SC 29928.</w:t>
      </w:r>
    </w:p>
    <w:p>
      <w:pPr>
        <w:spacing w:after="0" w:line="117" w:lineRule="exact"/>
        <w:rPr>
          <w:sz w:val="20"/>
          <w:szCs w:val="20"/>
          <w:color w:val="auto"/>
        </w:rPr>
      </w:pPr>
    </w:p>
    <w:p>
      <w:pPr>
        <w:ind w:right="420"/>
        <w:spacing w:after="0" w:line="257" w:lineRule="auto"/>
        <w:rPr>
          <w:sz w:val="20"/>
          <w:szCs w:val="20"/>
          <w:color w:val="auto"/>
        </w:rPr>
      </w:pPr>
      <w:r>
        <w:rPr>
          <w:rFonts w:ascii="Times New Roman" w:cs="Times New Roman" w:eastAsia="Times New Roman" w:hAnsi="Times New Roman"/>
          <w:sz w:val="18"/>
          <w:szCs w:val="18"/>
          <w:color w:val="auto"/>
        </w:rPr>
        <w:t>(45)Cohen &amp; Company Financial Management LLC ("</w:t>
      </w:r>
      <w:r>
        <w:rPr>
          <w:rFonts w:ascii="Times New Roman" w:cs="Times New Roman" w:eastAsia="Times New Roman" w:hAnsi="Times New Roman"/>
          <w:sz w:val="18"/>
          <w:szCs w:val="18"/>
          <w:b w:val="1"/>
          <w:bCs w:val="1"/>
          <w:i w:val="1"/>
          <w:iCs w:val="1"/>
          <w:color w:val="auto"/>
        </w:rPr>
        <w:t>Cohen</w:t>
      </w:r>
      <w:r>
        <w:rPr>
          <w:rFonts w:ascii="Times New Roman" w:cs="Times New Roman" w:eastAsia="Times New Roman" w:hAnsi="Times New Roman"/>
          <w:sz w:val="18"/>
          <w:szCs w:val="18"/>
          <w:color w:val="auto"/>
        </w:rPr>
        <w:t>")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office of Cohen is 2929 Arch Street, Suite 1703, Philadelphia, PA.</w:t>
      </w:r>
    </w:p>
    <w:p>
      <w:pPr>
        <w:spacing w:after="0" w:line="14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(46)Consists of 12,579,532 Ordinary Shares, which is the maximum number of Ordinary Shares issuable upon the conversion of the unsecured convertible loan (the "</w:t>
      </w:r>
      <w:r>
        <w:rPr>
          <w:rFonts w:ascii="Times New Roman" w:cs="Times New Roman" w:eastAsia="Times New Roman" w:hAnsi="Times New Roman"/>
          <w:sz w:val="18"/>
          <w:szCs w:val="18"/>
          <w:b w:val="1"/>
          <w:bCs w:val="1"/>
          <w:i w:val="1"/>
          <w:iCs w:val="1"/>
          <w:color w:val="auto"/>
        </w:rPr>
        <w:t>Cohen Note</w:t>
      </w:r>
      <w:r>
        <w:rPr>
          <w:rFonts w:ascii="Times New Roman" w:cs="Times New Roman" w:eastAsia="Times New Roman" w:hAnsi="Times New Roman"/>
          <w:sz w:val="18"/>
          <w:szCs w:val="18"/>
          <w:color w:val="auto"/>
        </w:rPr>
        <w:t>") issued to Cohen on August 14, 2024. In accordance with Rule 13d-3(d) under the Exchange Act, we have excluded from the number of Ordinary Shares beneficially owned prior to the offering all of the Ordinary Shares that Cohen may receive under the Cohen Note, because the issuance of such Ordinary Shares is at our discretion and is subject to conditions contained in the Cohen Note, the satisfaction of which are entirely outside of Cohen's control, including the registration statement that includes this prospectus becoming and remaining effective. Furthermore, pursuant to the terms of the Cohen Note, we cannot issue Ordinary Shares to Cohen, and we cannot convert the Cohen Note, to the extent that Cohen would beneficially own, after any such issuance or conversion, more than 9.9% of the then issued and outstanding Ordinary Shares.</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(47)Cohen Sponsor LLC - A14 RS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office of Cohen Sponsor LLC - A14 RS is 2929 Arch Street, Suite 1703, Philadelphia, 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(48)The principal business address of Context Partners Master Fund, LP is 27 Hospital Road, George Town, Grand Cayman KY1-9008 C.</w:t>
      </w:r>
    </w:p>
    <w:p>
      <w:pPr>
        <w:spacing w:after="0" w:line="181"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(49)Corbin Capital Partners, L.P. (“</w:t>
      </w:r>
      <w:r>
        <w:rPr>
          <w:rFonts w:ascii="Times New Roman" w:cs="Times New Roman" w:eastAsia="Times New Roman" w:hAnsi="Times New Roman"/>
          <w:sz w:val="18"/>
          <w:szCs w:val="18"/>
          <w:b w:val="1"/>
          <w:bCs w:val="1"/>
          <w:i w:val="1"/>
          <w:iCs w:val="1"/>
          <w:color w:val="auto"/>
        </w:rPr>
        <w:t>Corbin</w:t>
      </w:r>
      <w:r>
        <w:rPr>
          <w:rFonts w:ascii="Times New Roman" w:cs="Times New Roman" w:eastAsia="Times New Roman" w:hAnsi="Times New Roman"/>
          <w:sz w:val="18"/>
          <w:szCs w:val="18"/>
          <w:color w:val="auto"/>
        </w:rPr>
        <w:t>”) is the investment manager of Corbin ERISA Opportunity Fund, Ltd (“</w:t>
      </w:r>
      <w:r>
        <w:rPr>
          <w:rFonts w:ascii="Times New Roman" w:cs="Times New Roman" w:eastAsia="Times New Roman" w:hAnsi="Times New Roman"/>
          <w:sz w:val="18"/>
          <w:szCs w:val="18"/>
          <w:b w:val="1"/>
          <w:bCs w:val="1"/>
          <w:i w:val="1"/>
          <w:iCs w:val="1"/>
          <w:color w:val="auto"/>
        </w:rPr>
        <w:t>Corbin ERISA</w:t>
      </w:r>
      <w:r>
        <w:rPr>
          <w:rFonts w:ascii="Times New Roman" w:cs="Times New Roman" w:eastAsia="Times New Roman" w:hAnsi="Times New Roman"/>
          <w:sz w:val="18"/>
          <w:szCs w:val="18"/>
          <w:color w:val="auto"/>
        </w:rPr>
        <w:t>”). Craig Bergstrom, as the chief investment officer of Corbin, directs the voting and investment decisions with respect to the Ordinary Shares as listed herein. The foregoing statement and table shall not be construed as an admission that Mr. Bergstrom is, for purposes of Sections 13(d) or 13(g) of the Exchange Act, the beneficial owner of such securities and Mr. Bergstrom disclaims any such beneficial ownership. The principal business address of Corbin ERISA is 474 Madison Avenue, 21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Floor, New York, NY 10022.</w:t>
      </w:r>
    </w:p>
    <w:p>
      <w:pPr>
        <w:spacing w:after="0" w:line="77" w:lineRule="exact"/>
        <w:rPr>
          <w:sz w:val="20"/>
          <w:szCs w:val="20"/>
          <w:color w:val="auto"/>
        </w:rPr>
      </w:pPr>
    </w:p>
    <w:p>
      <w:pPr>
        <w:ind w:firstLine="8"/>
        <w:spacing w:after="0" w:line="261" w:lineRule="auto"/>
        <w:tabs>
          <w:tab w:leader="none" w:pos="34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20,312 Ordinary Shares issued upon conversion of the Promissory Note held by Mr. Meller; and (ii) 7,500 Ordinary Shares underlying the Private Warrants held by Mr. Meller. For the avoidance of doubt, A(i) 5,357 of the 20,312 Ordinary Shares underlying the Promissory Note held by Mr. Meller; and (ii) the 7,500 Shares underlying the Private Warrants held by Mr. Meller are registered for resale hereby, and (B)(ii) 14,955 of the 20,312 Ordinary Shares underlying such Promissory Note were registered on the Prior F-1.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(51)Consists of (i) 300 Ordinary Shares and (ii) 201,000 Ordinary Shares issued upon conversion of the Advance Subscription made by Mr. Weinberger.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(52)Consists of 33,334 Ordinary Shares issued upon the conversion of the Advance Subscription made by Mr. Smith.</w:t>
      </w:r>
    </w:p>
    <w:p>
      <w:pPr>
        <w:spacing w:after="0" w:line="19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(53)Mr. Kolyris has provided services to Rezolve as a contractor since November 2018. The principal business address for Mr. Kolyris is Noyaroy 12, Maroysi, 15126, Athens, Greece.</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(54)Consists of 65,209 Ordinary Shares, of which 11,951 Ordinary Shares are beneficially owned by Mr. Kolyris and is the number of Ordinary Shares issued upon the conversion of the Advance Subscription made by Nadenco P.C., a company Mr. Kolyris may be deemed to control.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(55)Consists of 7,333 Ordinary Shares issued upon the conversion of the Advance Subscription made by DXG Deutsche Digital GmbH.</w:t>
      </w:r>
    </w:p>
    <w:p>
      <w:pPr>
        <w:spacing w:after="0" w:line="194"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(56)Mr. David Boral, CEO and Manager of EF Hutton LLC (“</w:t>
      </w:r>
      <w:r>
        <w:rPr>
          <w:rFonts w:ascii="Times New Roman" w:cs="Times New Roman" w:eastAsia="Times New Roman" w:hAnsi="Times New Roman"/>
          <w:sz w:val="18"/>
          <w:szCs w:val="18"/>
          <w:b w:val="1"/>
          <w:bCs w:val="1"/>
          <w:i w:val="1"/>
          <w:iCs w:val="1"/>
          <w:color w:val="auto"/>
        </w:rPr>
        <w:t>EF Hutton</w:t>
      </w:r>
      <w:r>
        <w:rPr>
          <w:rFonts w:ascii="Times New Roman" w:cs="Times New Roman" w:eastAsia="Times New Roman" w:hAnsi="Times New Roman"/>
          <w:sz w:val="18"/>
          <w:szCs w:val="18"/>
          <w:color w:val="auto"/>
        </w:rPr>
        <w:t>”), may be deemed to beneficially own the securities owned by EF Hutton. Mr. Ben Reed, in his capacity as the Head of Wealth Management and Power of Attorney, may also be deemed to control the securities owned by EF Hutton and thereby may be deemed to beneficially own the securities owned by EF Hutton. Mr. Reed has sole investment power over these securities. The principal address of EF Hutton LLC is 590 Madison Avenue, 39th Floor New York, NY 10022.</w:t>
      </w:r>
    </w:p>
    <w:p>
      <w:pPr>
        <w:spacing w:after="0" w:line="14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(57)Offered securities consist of the maximum number of Ordinary Shares that may be issued in relation to those Ordinary Shares the Company issued to EF Hutton, a registered broker-dealer, as transaction-based compensation for the performance of advisory services rendered to the Company in connection with the recently completed Business Combination.</w:t>
      </w:r>
    </w:p>
    <w:p>
      <w:pPr>
        <w:spacing w:after="0" w:line="135"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(58)Mr. Kilic is employed as Vice President Global Head of Payments and Director DACH &amp; TR at Rezolve. The principal business address for Mr. Kilic is Manstedtener Berg 19, 50259, Pulheim, Germany.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(59)Consists of 18,175 Ordinary Shares issued upon the conversion of the Advance Subscription made by Mr. Kilic.</w:t>
      </w:r>
    </w:p>
    <w:p>
      <w:pPr>
        <w:spacing w:after="0" w:line="18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(60)Messrs. Clinton Biondo and David Sultan are Managing Partners of Fir Capital Management LP (“</w:t>
      </w:r>
      <w:r>
        <w:rPr>
          <w:rFonts w:ascii="Times New Roman" w:cs="Times New Roman" w:eastAsia="Times New Roman" w:hAnsi="Times New Roman"/>
          <w:sz w:val="18"/>
          <w:szCs w:val="18"/>
          <w:b w:val="1"/>
          <w:bCs w:val="1"/>
          <w:i w:val="1"/>
          <w:iCs w:val="1"/>
          <w:color w:val="auto"/>
        </w:rPr>
        <w:t>Fir Capital Management</w:t>
      </w:r>
      <w:r>
        <w:rPr>
          <w:rFonts w:ascii="Times New Roman" w:cs="Times New Roman" w:eastAsia="Times New Roman" w:hAnsi="Times New Roman"/>
          <w:sz w:val="18"/>
          <w:szCs w:val="18"/>
          <w:color w:val="auto"/>
        </w:rPr>
        <w:t>”), the Investment Manager of Fir Tree Capital Opportunity Master Fund LP (“</w:t>
      </w:r>
      <w:r>
        <w:rPr>
          <w:rFonts w:ascii="Times New Roman" w:cs="Times New Roman" w:eastAsia="Times New Roman" w:hAnsi="Times New Roman"/>
          <w:sz w:val="18"/>
          <w:szCs w:val="18"/>
          <w:b w:val="1"/>
          <w:bCs w:val="1"/>
          <w:i w:val="1"/>
          <w:iCs w:val="1"/>
          <w:color w:val="auto"/>
        </w:rPr>
        <w:t>Fir Tree Opportunity Master Fund</w:t>
      </w:r>
      <w:r>
        <w:rPr>
          <w:rFonts w:ascii="Times New Roman" w:cs="Times New Roman" w:eastAsia="Times New Roman" w:hAnsi="Times New Roman"/>
          <w:sz w:val="18"/>
          <w:szCs w:val="18"/>
          <w:color w:val="auto"/>
        </w:rPr>
        <w:t>”) and may be deemed to share beneficial ownership of the securities beneficially owned by Fir Tree Opportunity Master Fund. The principal business address of Fir Tree Master Fund is 89 Nexus Way, Camana Bay, Grand Cayman, KY1-1205.</w:t>
      </w:r>
    </w:p>
    <w:p>
      <w:pPr>
        <w:spacing w:after="0" w:line="14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(61)Messrs. Clinton Biondo and David Sultan are Managing Partners of Fir Capital Management, the Investment Manager of Fir Tree Capital Opportunity Master Fund III, LP (“</w:t>
      </w:r>
      <w:r>
        <w:rPr>
          <w:rFonts w:ascii="Times New Roman" w:cs="Times New Roman" w:eastAsia="Times New Roman" w:hAnsi="Times New Roman"/>
          <w:sz w:val="18"/>
          <w:szCs w:val="18"/>
          <w:b w:val="1"/>
          <w:bCs w:val="1"/>
          <w:i w:val="1"/>
          <w:iCs w:val="1"/>
          <w:color w:val="auto"/>
        </w:rPr>
        <w:t>Fir Tree Capital Opportunity Master Fund III</w:t>
      </w:r>
      <w:r>
        <w:rPr>
          <w:rFonts w:ascii="Times New Roman" w:cs="Times New Roman" w:eastAsia="Times New Roman" w:hAnsi="Times New Roman"/>
          <w:sz w:val="18"/>
          <w:szCs w:val="18"/>
          <w:color w:val="auto"/>
        </w:rPr>
        <w:t>”) and may be deemed to share beneficial ownership of the securities beneficially owned by Fir Tree Capital Opportunity Master Fund III. The principal business address of Fir Tree Capital Opportunity Master Fund III is 89 Nexus Way, Camana Bay, Grand Cayman, KY1-1205.</w:t>
      </w:r>
    </w:p>
    <w:p>
      <w:pPr>
        <w:spacing w:after="0" w:line="15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(62)Messrs. Clinton Biondo and David Sultan are Managing Partners of Fir Capital Management, the Investment Manager of Fir Tree Value Master Fund, LP (“</w:t>
      </w:r>
      <w:r>
        <w:rPr>
          <w:rFonts w:ascii="Times New Roman" w:cs="Times New Roman" w:eastAsia="Times New Roman" w:hAnsi="Times New Roman"/>
          <w:sz w:val="18"/>
          <w:szCs w:val="18"/>
          <w:b w:val="1"/>
          <w:bCs w:val="1"/>
          <w:i w:val="1"/>
          <w:iCs w:val="1"/>
          <w:color w:val="auto"/>
        </w:rPr>
        <w:t>Fir Tree Value Master Fund</w:t>
      </w:r>
      <w:r>
        <w:rPr>
          <w:rFonts w:ascii="Times New Roman" w:cs="Times New Roman" w:eastAsia="Times New Roman" w:hAnsi="Times New Roman"/>
          <w:sz w:val="18"/>
          <w:szCs w:val="18"/>
          <w:color w:val="auto"/>
        </w:rPr>
        <w:t>”) and may be deemed to share beneficial ownership of the securities beneficially owned by Fir Tree Value Master Fund. The principal business address of Fir Tree Fir Tree Value Master Fund is 89 Nexus Way, Camana Bay, Grand Cayman, KY1-1205.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(63)The principal business address of FT SOF XIII (SPAC) Holdings, LLC is 500 Fifth Ave, 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Floor, New York, NY 10110.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847725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101" w:name="page102"/>
    <w:bookmarkEnd w:id="101"/>
    <w:p>
      <w:pPr>
        <w:ind w:firstLine="8"/>
        <w:spacing w:after="0" w:line="255" w:lineRule="auto"/>
        <w:tabs>
          <w:tab w:leader="none" w:pos="34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135,411 Ordinary Shares issued upon conversion of the Promissory Note held by FMS China; (ii) 50,000 Ordinary Shares underlying the Private Warrants held by FMS China; and (iii) 140,000 Ordinary Shares issued upon the conversion of the Advance Subscription made by Fujian Global Services Co., Ltd. (collectively, with FMS China “</w:t>
      </w:r>
      <w:r>
        <w:rPr>
          <w:rFonts w:ascii="Times New Roman" w:cs="Times New Roman" w:eastAsia="Times New Roman" w:hAnsi="Times New Roman"/>
          <w:sz w:val="18"/>
          <w:szCs w:val="18"/>
          <w:b w:val="1"/>
          <w:bCs w:val="1"/>
          <w:i w:val="1"/>
          <w:iCs w:val="1"/>
          <w:color w:val="auto"/>
        </w:rPr>
        <w:t>Fujian Limatong XinXi Keji Youxian Gongsi</w:t>
      </w:r>
      <w:r>
        <w:rPr>
          <w:rFonts w:ascii="Times New Roman" w:cs="Times New Roman" w:eastAsia="Times New Roman" w:hAnsi="Times New Roman"/>
          <w:sz w:val="18"/>
          <w:szCs w:val="18"/>
          <w:color w:val="auto"/>
        </w:rPr>
        <w:t>”). For the avoidance of doubt, (A)(i) 35,714 of the 135,411 Ordinary Shares issued upon conversion of the Promissory Note held by FMS China; (ii) the 50,000 Ordinary Shares underlying the Private Warrants held by FMS China; and (iii) the 140,000 Ordinary Shares issued upon the conversion of the Advance Subscriptions made by Fujian Global Services Co., Ltd. are registered for resale hereby, and (B) 99,697 of the 135,411 Ordinary Shares underlying such Promissory Note were registered on the January Form F-1.</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(65)Consists of 8,000 Ordinary Shares issued upon the conversion of the Advance Subscription made by Mr. Bellow.</w:t>
      </w:r>
    </w:p>
    <w:p>
      <w:pPr>
        <w:spacing w:after="0" w:line="194"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(66)Highbridge Capital Management, LLC (“</w:t>
      </w:r>
      <w:r>
        <w:rPr>
          <w:rFonts w:ascii="Times New Roman" w:cs="Times New Roman" w:eastAsia="Times New Roman" w:hAnsi="Times New Roman"/>
          <w:sz w:val="18"/>
          <w:szCs w:val="18"/>
          <w:b w:val="1"/>
          <w:bCs w:val="1"/>
          <w:i w:val="1"/>
          <w:iCs w:val="1"/>
          <w:color w:val="auto"/>
        </w:rPr>
        <w:t>Highbridge Capital Management</w:t>
      </w:r>
      <w:r>
        <w:rPr>
          <w:rFonts w:ascii="Times New Roman" w:cs="Times New Roman" w:eastAsia="Times New Roman" w:hAnsi="Times New Roman"/>
          <w:sz w:val="18"/>
          <w:szCs w:val="18"/>
          <w:color w:val="auto"/>
        </w:rPr>
        <w:t>”) is the trading manager of Highbridge Tactical Credit Master Fund, L.P. (“</w:t>
      </w:r>
      <w:r>
        <w:rPr>
          <w:rFonts w:ascii="Times New Roman" w:cs="Times New Roman" w:eastAsia="Times New Roman" w:hAnsi="Times New Roman"/>
          <w:sz w:val="18"/>
          <w:szCs w:val="18"/>
          <w:b w:val="1"/>
          <w:bCs w:val="1"/>
          <w:i w:val="1"/>
          <w:iCs w:val="1"/>
          <w:color w:val="auto"/>
        </w:rPr>
        <w:t>Highbridge Tactical Credit Master Fund</w:t>
      </w:r>
      <w:r>
        <w:rPr>
          <w:rFonts w:ascii="Times New Roman" w:cs="Times New Roman" w:eastAsia="Times New Roman" w:hAnsi="Times New Roman"/>
          <w:sz w:val="18"/>
          <w:szCs w:val="18"/>
          <w:color w:val="auto"/>
        </w:rPr>
        <w:t>”). Highbridge Tactical Credit Master Fund disclaims beneficial ownership over these shares. The address of Highbridge Capital Management is 277 Park Avenue, 23rd Floor, New York, NY 10172, and the address of Highbridge tactical Credit Master Fund is c/o Maples Corporate Services Limited #309 Ugland House, South Church Street, George Town, Grand Cayman KY1-1104, Cayman Islands.</w:t>
      </w:r>
    </w:p>
    <w:p>
      <w:pPr>
        <w:spacing w:after="0" w:line="136"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(67)Highbridge Capital Management is the trading manager of Highbridge Tactical Credit Institutional Fund, Ltd. (“</w:t>
      </w:r>
      <w:r>
        <w:rPr>
          <w:rFonts w:ascii="Times New Roman" w:cs="Times New Roman" w:eastAsia="Times New Roman" w:hAnsi="Times New Roman"/>
          <w:sz w:val="18"/>
          <w:szCs w:val="18"/>
          <w:b w:val="1"/>
          <w:bCs w:val="1"/>
          <w:i w:val="1"/>
          <w:iCs w:val="1"/>
          <w:color w:val="auto"/>
        </w:rPr>
        <w:t>Highbridge Tactical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Institutional Fund</w:t>
      </w:r>
      <w:r>
        <w:rPr>
          <w:rFonts w:ascii="Times New Roman" w:cs="Times New Roman" w:eastAsia="Times New Roman" w:hAnsi="Times New Roman"/>
          <w:sz w:val="18"/>
          <w:szCs w:val="18"/>
          <w:color w:val="auto"/>
        </w:rPr>
        <w:t>”) Highbridge Tactical Credit Institutional Fund disclaims beneficial ownership over these shares. The address of Highbridge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is 277 Park Avenue, 23rd Floor, New York, NY 10172, and the address of Highbridge tactical Credit Master Fund is c/o Maples Corporate Services Limited #309 Ugland House, South Church Street, George Town, Grand Cayman KY1-1104, Cayman Islands.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(68)Consists of 10,286 Ordinary Shares issued upon the conversion of the Advance Subscription made by Jamie Beadle.</w:t>
      </w:r>
    </w:p>
    <w:p>
      <w:pPr>
        <w:spacing w:after="0" w:line="19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(69)Consists of up to 1,110,723 of Ordinary Shares that may be issued upon conversion of the convertible note issued to J.V.B. Financial Group, LLC ("</w:t>
      </w:r>
      <w:r>
        <w:rPr>
          <w:rFonts w:ascii="Times New Roman" w:cs="Times New Roman" w:eastAsia="Times New Roman" w:hAnsi="Times New Roman"/>
          <w:sz w:val="18"/>
          <w:szCs w:val="18"/>
          <w:b w:val="1"/>
          <w:bCs w:val="1"/>
          <w:i w:val="1"/>
          <w:iCs w:val="1"/>
          <w:color w:val="auto"/>
        </w:rPr>
        <w:t>JVB</w:t>
      </w:r>
      <w:r>
        <w:rPr>
          <w:rFonts w:ascii="Times New Roman" w:cs="Times New Roman" w:eastAsia="Times New Roman" w:hAnsi="Times New Roman"/>
          <w:sz w:val="18"/>
          <w:szCs w:val="18"/>
          <w:color w:val="auto"/>
        </w:rPr>
        <w:t>"), a registered broker-dealer, on August 14, 2024 (the “</w:t>
      </w:r>
      <w:r>
        <w:rPr>
          <w:rFonts w:ascii="Times New Roman" w:cs="Times New Roman" w:eastAsia="Times New Roman" w:hAnsi="Times New Roman"/>
          <w:sz w:val="18"/>
          <w:szCs w:val="18"/>
          <w:b w:val="1"/>
          <w:bCs w:val="1"/>
          <w:i w:val="1"/>
          <w:iCs w:val="1"/>
          <w:color w:val="auto"/>
        </w:rPr>
        <w:t>JVB Note</w:t>
      </w:r>
      <w:r>
        <w:rPr>
          <w:rFonts w:ascii="Times New Roman" w:cs="Times New Roman" w:eastAsia="Times New Roman" w:hAnsi="Times New Roman"/>
          <w:sz w:val="18"/>
          <w:szCs w:val="18"/>
          <w:color w:val="auto"/>
        </w:rPr>
        <w:t>”). In accordance with Rule 13d-3(d) under the Exchange Act, we have excluded from the number of Ordinary Shares beneficially owned prior to the offering all of the Ordinary Shares that JVB may receive under the JVB Note, because the issuance of such Ordinary Shares is at our discretion and is subject to conditions contained in the JVB Note, the satisfaction of which are entirely outside of JVB's control, including the registration statement that includes this prospectus becoming and remaining effective. Furthermore, pursuant to the terms of the JVB Note, we cannot issue Ordinary Shares to JVB, and we cannot convert the JVB Note, to the extent that JVB would beneficially own, after any such issuance or conversion, more than 9.9% of the then issued and outstanding Ordinary Shares. The Company issued the JVB Note and the shares of Ordinary Shares underlying the JVB Note as transaction-based compensation for the performance of investment banking services rendered to the Company in connection with the recently completed Business Combination. The business address of JVB is 2929 Arch Street Ste. 1703, Philadelphia, PA 19104.</w:t>
      </w:r>
    </w:p>
    <w:p>
      <w:pPr>
        <w:spacing w:after="0" w:line="148" w:lineRule="exact"/>
        <w:rPr>
          <w:sz w:val="20"/>
          <w:szCs w:val="20"/>
          <w:color w:val="auto"/>
        </w:rPr>
      </w:pPr>
    </w:p>
    <w:p>
      <w:pPr>
        <w:ind w:right="100" w:firstLine="8"/>
        <w:spacing w:after="0" w:line="257" w:lineRule="auto"/>
        <w:tabs>
          <w:tab w:leader="none" w:pos="34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7,188 Ordinary Shares; (ii) 25,796 Ordinary Shares issued upon conversion of the Promissory Note held by Mr. King; and (iii) 9,525 Ordinary Shares underlying the Private Warrants held by Mr. King. For the avoidance of doubt, (A)(i) 6,804 of the 25,796 Ordinary Shares underlying the Promissory Note held by Mr. King; and (ii) 9,525 Ordinary Share underlying the Private Warrants held by Mr. King are registered for resale hereby, and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18,992 of the 25,796 Ordinary Shares underlying such Promissory Note were registered on the January Form F-1.</w:t>
      </w:r>
    </w:p>
    <w:p>
      <w:pPr>
        <w:spacing w:after="0" w:line="193" w:lineRule="exact"/>
        <w:rPr>
          <w:rFonts w:ascii="Times New Roman" w:cs="Times New Roman" w:eastAsia="Times New Roman" w:hAnsi="Times New Roman"/>
          <w:sz w:val="18"/>
          <w:szCs w:val="18"/>
          <w:color w:val="auto"/>
        </w:rPr>
      </w:pPr>
    </w:p>
    <w:p>
      <w:pPr>
        <w:ind w:right="20" w:firstLine="8"/>
        <w:spacing w:after="0" w:line="256" w:lineRule="auto"/>
        <w:tabs>
          <w:tab w:leader="none" w:pos="35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21,497 Ordinary Shares issued upon conversion of the Promissory Note held by Mr. Nurse; (ii) 29,667 Ordinary Shares issued upon the conversion of the Advance Subscription made by Mr. Nurse; and (iii) 7,938 Ordinary Shares underlying the Private Warrants held by Julian Nurse. For the avoidance of doubt, (A)(i) 5,670 of the 21,497 Ordinary Shares underlying the Promissory Note; (ii) 29,667 Ordinary Shares, which is the maximum number of Ordinary Shares issuable upon the conversion of the Advance Subscription made by Mr. Nurse; and (iii) 7,938 Ordinary Shares underlying the Private Warrants are registered for resale hereby, and (B)(ii) 15,827 of the 21,497 Ordinary Shares underlying such Promissory Note were registered on the January Form F-1.</w:t>
      </w:r>
    </w:p>
    <w:p>
      <w:pPr>
        <w:spacing w:after="0" w:line="16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(72)Consists of (i) 69,785 Ordinary Shares and (ii) 10,000 Ordinary Shares issued upon the conversion of the Advance Subscription made by Kantor Investment Company LLC.</w:t>
      </w:r>
    </w:p>
    <w:p>
      <w:pPr>
        <w:spacing w:after="0" w:line="148" w:lineRule="exact"/>
        <w:rPr>
          <w:sz w:val="20"/>
          <w:szCs w:val="20"/>
          <w:color w:val="auto"/>
        </w:rPr>
      </w:pPr>
    </w:p>
    <w:p>
      <w:pPr>
        <w:ind w:right="100" w:firstLine="8"/>
        <w:spacing w:after="0" w:line="258" w:lineRule="auto"/>
        <w:tabs>
          <w:tab w:leader="none" w:pos="35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65,279 Ordinary Shares; (ii) 33,853 Ordinary Shares issued upon the conversion of the Promissory Note held by Ms. Kalaris, and (iii) 12,500 Ordinary Shares underlying the Private Warrants held by Ms. Kalaris. For the avoidance of doubt, (A)(i) 8,929 of the 33,853 Ordinary Shares underlying the Promissory Note held by Ms. Kalaris; and (ii) the 12,500 Ordinary Shares underlying the Private Warrants held by Ms. Kalaris are registered for resale hereby; and (B) 24,924 of the 33,853 Ordinary Shares underlying the Promissory Note were registered for resale on the January Form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861060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102" w:name="page103"/>
    <w:bookmarkEnd w:id="102"/>
    <w:p>
      <w:pPr>
        <w:spacing w:after="0" w:line="260" w:lineRule="auto"/>
        <w:rPr>
          <w:sz w:val="20"/>
          <w:szCs w:val="20"/>
          <w:color w:val="auto"/>
        </w:rPr>
      </w:pPr>
      <w:r>
        <w:rPr>
          <w:rFonts w:ascii="Times New Roman" w:cs="Times New Roman" w:eastAsia="Times New Roman" w:hAnsi="Times New Roman"/>
          <w:sz w:val="18"/>
          <w:szCs w:val="18"/>
          <w:color w:val="auto"/>
        </w:rPr>
        <w:t>(74)Kepos Capital LP (“</w:t>
      </w:r>
      <w:r>
        <w:rPr>
          <w:rFonts w:ascii="Times New Roman" w:cs="Times New Roman" w:eastAsia="Times New Roman" w:hAnsi="Times New Roman"/>
          <w:sz w:val="18"/>
          <w:szCs w:val="18"/>
          <w:b w:val="1"/>
          <w:bCs w:val="1"/>
          <w:i w:val="1"/>
          <w:iCs w:val="1"/>
          <w:color w:val="auto"/>
        </w:rPr>
        <w:t>Kepos Capital</w:t>
      </w:r>
      <w:r>
        <w:rPr>
          <w:rFonts w:ascii="Times New Roman" w:cs="Times New Roman" w:eastAsia="Times New Roman" w:hAnsi="Times New Roman"/>
          <w:sz w:val="18"/>
          <w:szCs w:val="18"/>
          <w:color w:val="auto"/>
        </w:rPr>
        <w:t>”) is the investment manager of Kepos Alpha Master Fund L.P. (“</w:t>
      </w:r>
      <w:r>
        <w:rPr>
          <w:rFonts w:ascii="Times New Roman" w:cs="Times New Roman" w:eastAsia="Times New Roman" w:hAnsi="Times New Roman"/>
          <w:sz w:val="18"/>
          <w:szCs w:val="18"/>
          <w:b w:val="1"/>
          <w:bCs w:val="1"/>
          <w:i w:val="1"/>
          <w:iCs w:val="1"/>
          <w:color w:val="auto"/>
        </w:rPr>
        <w:t>Kepos Alpha Master Fund</w:t>
      </w:r>
      <w:r>
        <w:rPr>
          <w:rFonts w:ascii="Times New Roman" w:cs="Times New Roman" w:eastAsia="Times New Roman" w:hAnsi="Times New Roman"/>
          <w:sz w:val="18"/>
          <w:szCs w:val="18"/>
          <w:color w:val="auto"/>
        </w:rPr>
        <w:t>”) and Kepos Partners LLC (“</w:t>
      </w:r>
      <w:r>
        <w:rPr>
          <w:rFonts w:ascii="Times New Roman" w:cs="Times New Roman" w:eastAsia="Times New Roman" w:hAnsi="Times New Roman"/>
          <w:sz w:val="18"/>
          <w:szCs w:val="18"/>
          <w:b w:val="1"/>
          <w:bCs w:val="1"/>
          <w:i w:val="1"/>
          <w:iCs w:val="1"/>
          <w:color w:val="auto"/>
        </w:rPr>
        <w:t>Kepos Partners</w:t>
      </w:r>
      <w:r>
        <w:rPr>
          <w:rFonts w:ascii="Times New Roman" w:cs="Times New Roman" w:eastAsia="Times New Roman" w:hAnsi="Times New Roman"/>
          <w:sz w:val="18"/>
          <w:szCs w:val="18"/>
          <w:color w:val="auto"/>
        </w:rPr>
        <w:t>”) is the General Partner of Kepos Alpha Master Fund and each may be deemed to have voting and dispositive power with respect to the shares. The general partner of Kepos Capital is Kepos Capital GP LLC (the “</w:t>
      </w:r>
      <w:r>
        <w:rPr>
          <w:rFonts w:ascii="Times New Roman" w:cs="Times New Roman" w:eastAsia="Times New Roman" w:hAnsi="Times New Roman"/>
          <w:sz w:val="18"/>
          <w:szCs w:val="18"/>
          <w:b w:val="1"/>
          <w:bCs w:val="1"/>
          <w:i w:val="1"/>
          <w:iCs w:val="1"/>
          <w:color w:val="auto"/>
        </w:rPr>
        <w:t>Kepos GP</w:t>
      </w:r>
      <w:r>
        <w:rPr>
          <w:rFonts w:ascii="Times New Roman" w:cs="Times New Roman" w:eastAsia="Times New Roman" w:hAnsi="Times New Roman"/>
          <w:sz w:val="18"/>
          <w:szCs w:val="18"/>
          <w:color w:val="auto"/>
        </w:rPr>
        <w:t>”) and the Managing Member of Kepos Partners is Kepos Partners MM (“</w:t>
      </w:r>
      <w:r>
        <w:rPr>
          <w:rFonts w:ascii="Times New Roman" w:cs="Times New Roman" w:eastAsia="Times New Roman" w:hAnsi="Times New Roman"/>
          <w:sz w:val="18"/>
          <w:szCs w:val="18"/>
          <w:b w:val="1"/>
          <w:bCs w:val="1"/>
          <w:i w:val="1"/>
          <w:iCs w:val="1"/>
          <w:color w:val="auto"/>
        </w:rPr>
        <w:t>Kepos MM</w:t>
      </w:r>
      <w:r>
        <w:rPr>
          <w:rFonts w:ascii="Times New Roman" w:cs="Times New Roman" w:eastAsia="Times New Roman" w:hAnsi="Times New Roman"/>
          <w:sz w:val="18"/>
          <w:szCs w:val="18"/>
          <w:color w:val="auto"/>
        </w:rPr>
        <w:t>”). Mark Carhart controls Kepos GP and Kepos MM and, accordingly, may be deemed to have voting and dispositive power with respect to the shares held by Kepos Alpha Master Fund. Mr. Carhart disclaims beneficial ownership of the shares held by Kepos Alpha Master Fund. The address of Kepos Capital and Mr. Carhart is c/o Kepos Capital LP 11 Times Square, 35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NY 10036.</w:t>
      </w:r>
    </w:p>
    <w:p>
      <w:pPr>
        <w:spacing w:after="0" w:line="6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(75)Kepos Capital is the investment manager of Kepos Special Opportunities Master Fund L.P. (“</w:t>
      </w:r>
      <w:r>
        <w:rPr>
          <w:rFonts w:ascii="Times New Roman" w:cs="Times New Roman" w:eastAsia="Times New Roman" w:hAnsi="Times New Roman"/>
          <w:sz w:val="18"/>
          <w:szCs w:val="18"/>
          <w:b w:val="1"/>
          <w:bCs w:val="1"/>
          <w:i w:val="1"/>
          <w:iCs w:val="1"/>
          <w:color w:val="auto"/>
        </w:rPr>
        <w:t>Kepos Special Opportunities Master Fund</w:t>
      </w:r>
      <w:r>
        <w:rPr>
          <w:rFonts w:ascii="Times New Roman" w:cs="Times New Roman" w:eastAsia="Times New Roman" w:hAnsi="Times New Roman"/>
          <w:sz w:val="18"/>
          <w:szCs w:val="18"/>
          <w:color w:val="auto"/>
        </w:rPr>
        <w:t>”) and Kepos Partners is the General Partner of Kepos Special Opportunities Master Fund and each may be deemed to have voting and dispositive power with respect to the shares. The general partner of Kepos Capital is the Kepos GP and the Managing Member of Kepos Partners is Kepos M. Mark Carhart controls Kepos GP and Kepos MM and, accordingly, may be deemed to have voting and dispositive power with respect to the shares held by Kepos Special Opportunities Master Fund. Mr. Carhart disclaims beneficial ownership of the shares held by Kepos Special Opportunities Master Fund. The address of Kepos Capital and Mr. Carhart is c/o Kepos Capital LP 11 Times Square, 35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NY 10036.</w:t>
      </w:r>
    </w:p>
    <w:p>
      <w:pPr>
        <w:spacing w:after="0" w:line="8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(76)The registered holders of the referenced shares to be registered are the following funds and accounts that are managed by Magnetar Financial LLC(“</w:t>
      </w:r>
      <w:r>
        <w:rPr>
          <w:rFonts w:ascii="Times New Roman" w:cs="Times New Roman" w:eastAsia="Times New Roman" w:hAnsi="Times New Roman"/>
          <w:sz w:val="18"/>
          <w:szCs w:val="18"/>
          <w:b w:val="1"/>
          <w:bCs w:val="1"/>
          <w:i w:val="1"/>
          <w:iCs w:val="1"/>
          <w:color w:val="auto"/>
        </w:rPr>
        <w:t>MFL</w:t>
      </w:r>
      <w:r>
        <w:rPr>
          <w:rFonts w:ascii="Times New Roman" w:cs="Times New Roman" w:eastAsia="Times New Roman" w:hAnsi="Times New Roman"/>
          <w:sz w:val="18"/>
          <w:szCs w:val="18"/>
          <w:color w:val="auto"/>
        </w:rPr>
        <w:t>”), which serves as investment manager of Magnetar Capital Master Fund Ltd, Magnetar Constellation Master Fund, Ltd, Magnetar Constellation Fund II, Ltd, Magnetar Discovery Master Fund Ltd, Magnetar Xing He Master Fund Ltd, Purpose Alternative Credit Fund Ltd, Purpose Alternative Credit Fund – T LLC, and Magnetar SC Fund Ltd. MFL is the manager of Magnetar Lake Credit Fund LLC, and general partner of Magnetar Structured Credit Fund, LP (together with all of the foregoing funds, the “</w:t>
      </w:r>
      <w:r>
        <w:rPr>
          <w:rFonts w:ascii="Times New Roman" w:cs="Times New Roman" w:eastAsia="Times New Roman" w:hAnsi="Times New Roman"/>
          <w:sz w:val="18"/>
          <w:szCs w:val="18"/>
          <w:b w:val="1"/>
          <w:bCs w:val="1"/>
          <w:i w:val="1"/>
          <w:iCs w:val="1"/>
          <w:color w:val="auto"/>
        </w:rPr>
        <w:t>Magnetar Funds</w:t>
      </w:r>
      <w:r>
        <w:rPr>
          <w:rFonts w:ascii="Times New Roman" w:cs="Times New Roman" w:eastAsia="Times New Roman" w:hAnsi="Times New Roman"/>
          <w:sz w:val="18"/>
          <w:szCs w:val="18"/>
          <w:color w:val="auto"/>
        </w:rPr>
        <w:t>”). In such capacities, MFL exercises voting and investment power over the securities listed above held for the accounts of the Magnetar Funds. MFL is a registered investment adviser under Section 203 of the Investment Advisers Act of 1940, as amended. Magnetar Capital Partners LP (“</w:t>
      </w:r>
      <w:r>
        <w:rPr>
          <w:rFonts w:ascii="Times New Roman" w:cs="Times New Roman" w:eastAsia="Times New Roman" w:hAnsi="Times New Roman"/>
          <w:sz w:val="18"/>
          <w:szCs w:val="18"/>
          <w:b w:val="1"/>
          <w:bCs w:val="1"/>
          <w:i w:val="1"/>
          <w:iCs w:val="1"/>
          <w:color w:val="auto"/>
        </w:rPr>
        <w:t>MCP</w:t>
      </w:r>
      <w:r>
        <w:rPr>
          <w:rFonts w:ascii="Times New Roman" w:cs="Times New Roman" w:eastAsia="Times New Roman" w:hAnsi="Times New Roman"/>
          <w:sz w:val="18"/>
          <w:szCs w:val="18"/>
          <w:color w:val="auto"/>
        </w:rPr>
        <w:t>”), is the sole member and parent holding company of MFL. Supernova Management LLC (“</w:t>
      </w:r>
      <w:r>
        <w:rPr>
          <w:rFonts w:ascii="Times New Roman" w:cs="Times New Roman" w:eastAsia="Times New Roman" w:hAnsi="Times New Roman"/>
          <w:sz w:val="18"/>
          <w:szCs w:val="18"/>
          <w:b w:val="1"/>
          <w:bCs w:val="1"/>
          <w:i w:val="1"/>
          <w:iCs w:val="1"/>
          <w:color w:val="auto"/>
        </w:rPr>
        <w:t>Supernova</w:t>
      </w:r>
      <w:r>
        <w:rPr>
          <w:rFonts w:ascii="Times New Roman" w:cs="Times New Roman" w:eastAsia="Times New Roman" w:hAnsi="Times New Roman"/>
          <w:sz w:val="18"/>
          <w:szCs w:val="18"/>
          <w:color w:val="auto"/>
        </w:rPr>
        <w:t>”), is the sole general partner of MCP. The manager of Supernova is David Snyderman, a citizen of the United States of America. Each of the Magnetar Funds, MFL, MCP, Supernova and David J. Snyderman disclaim beneficial ownership of these securities except to the extent of their pecuniary interest in the securities. Shares shown include only the securities being registered for resale and may not incorporate all interests deemed to be beneficially held by the registered holders described above or by other investment funds managed or advised by MFL. The principal business address of MFL and each of the Magnetar Funds is 1603 Orrington Ave., 13</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Evanston, IL 60201.</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(77)Consists of (i) 31,785 Ordinary Shares and (ii) 40,000 Ordinary Shares issued upon the conversion of the Advance Subscription made by Mr. Israel.</w:t>
      </w:r>
    </w:p>
    <w:p>
      <w:pPr>
        <w:spacing w:after="0" w:line="18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(78)Offered securities consist of the maximum number of Ordinary Shares that may be issued in relation to those Ordinary Shares the Company issued to Maxim Group LLC (“</w:t>
      </w:r>
      <w:r>
        <w:rPr>
          <w:rFonts w:ascii="Times New Roman" w:cs="Times New Roman" w:eastAsia="Times New Roman" w:hAnsi="Times New Roman"/>
          <w:sz w:val="18"/>
          <w:szCs w:val="18"/>
          <w:b w:val="1"/>
          <w:bCs w:val="1"/>
          <w:i w:val="1"/>
          <w:iCs w:val="1"/>
          <w:color w:val="auto"/>
        </w:rPr>
        <w:t>Maxim</w:t>
      </w:r>
      <w:r>
        <w:rPr>
          <w:rFonts w:ascii="Times New Roman" w:cs="Times New Roman" w:eastAsia="Times New Roman" w:hAnsi="Times New Roman"/>
          <w:sz w:val="18"/>
          <w:szCs w:val="18"/>
          <w:color w:val="auto"/>
        </w:rPr>
        <w:t>”), a registered broker-dealer, as transaction-based compensation for the performance of advisory services rendered to the Company in connection with the recently completed Business Combination. The business address of Maxim is 300 Park Ave., 16th Floor, New York, NY 10022.</w:t>
      </w:r>
    </w:p>
    <w:p>
      <w:pPr>
        <w:spacing w:after="0" w:line="14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(79)Vikas Mittal is the Managing Member of Meteora Capital Partners, L.P. (“</w:t>
      </w:r>
      <w:r>
        <w:rPr>
          <w:rFonts w:ascii="Times New Roman" w:cs="Times New Roman" w:eastAsia="Times New Roman" w:hAnsi="Times New Roman"/>
          <w:sz w:val="18"/>
          <w:szCs w:val="18"/>
          <w:b w:val="1"/>
          <w:bCs w:val="1"/>
          <w:i w:val="1"/>
          <w:iCs w:val="1"/>
          <w:color w:val="auto"/>
        </w:rPr>
        <w:t>Meteora</w:t>
      </w:r>
      <w:r>
        <w:rPr>
          <w:rFonts w:ascii="Times New Roman" w:cs="Times New Roman" w:eastAsia="Times New Roman" w:hAnsi="Times New Roman"/>
          <w:sz w:val="18"/>
          <w:szCs w:val="18"/>
          <w:color w:val="auto"/>
        </w:rPr>
        <w:t>”) and in such capacity may be deemed to be the beneficial owner having shared voting power and shared investment power over the securities described in this footnote. Mr. Mittal expressly declares that he is not the beneficial owner for the purposes of sections 13(d) or 13(g) of the Act. The business address of Meteora is 1200 N. Federal Hwy #200 Boca Raton, Florida 33432.</w:t>
      </w:r>
    </w:p>
    <w:p>
      <w:pPr>
        <w:spacing w:after="0" w:line="14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(80)Mr. Khan served as a director of Armada, which became a wholly owned subsidiary of the Company in connection with the Business Combination, since August 2021. Mr. Khan’s principal business address is 2238 Bentley Ridge Drive, San Jose, CA 95138.</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(81)Consists of (i) 39,731 Ordinary Shares and (ii) 166,667 Ordinary Shares issued upon the conversion of the Advance Subscription made by Patel Family Investment LLC.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(82)Consists of 35,402 Ordinary Shares issued upon the conversion of the Advance Subscription made by Quality Kiosk.</w:t>
      </w:r>
    </w:p>
    <w:p>
      <w:pPr>
        <w:spacing w:after="0" w:line="181"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(83)Pursuant to an investment management agreement, Radcliffe Capital Management, L.P. (“</w:t>
      </w:r>
      <w:r>
        <w:rPr>
          <w:rFonts w:ascii="Times New Roman" w:cs="Times New Roman" w:eastAsia="Times New Roman" w:hAnsi="Times New Roman"/>
          <w:sz w:val="18"/>
          <w:szCs w:val="18"/>
          <w:b w:val="1"/>
          <w:bCs w:val="1"/>
          <w:i w:val="1"/>
          <w:iCs w:val="1"/>
          <w:color w:val="auto"/>
        </w:rPr>
        <w:t>RCM</w:t>
      </w:r>
      <w:r>
        <w:rPr>
          <w:rFonts w:ascii="Times New Roman" w:cs="Times New Roman" w:eastAsia="Times New Roman" w:hAnsi="Times New Roman"/>
          <w:sz w:val="18"/>
          <w:szCs w:val="18"/>
          <w:color w:val="auto"/>
        </w:rPr>
        <w:t>”) serves as the investment manager of the Radcliffe SPAC Master Fund, L.P. (“</w:t>
      </w:r>
      <w:r>
        <w:rPr>
          <w:rFonts w:ascii="Times New Roman" w:cs="Times New Roman" w:eastAsia="Times New Roman" w:hAnsi="Times New Roman"/>
          <w:sz w:val="18"/>
          <w:szCs w:val="18"/>
          <w:b w:val="1"/>
          <w:bCs w:val="1"/>
          <w:i w:val="1"/>
          <w:iCs w:val="1"/>
          <w:color w:val="auto"/>
        </w:rPr>
        <w:t>Radcliffe Fund</w:t>
      </w:r>
      <w:r>
        <w:rPr>
          <w:rFonts w:ascii="Times New Roman" w:cs="Times New Roman" w:eastAsia="Times New Roman" w:hAnsi="Times New Roman"/>
          <w:sz w:val="18"/>
          <w:szCs w:val="18"/>
          <w:color w:val="auto"/>
        </w:rPr>
        <w:t>”). RGC Management Company, LLC (“</w:t>
      </w: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color w:val="auto"/>
        </w:rPr>
        <w:t>”) is the general partner of RCM. Steve Katznelson and Christopher Hinkel serve as managing members of Management. Each of the parties in this footnote disclaims any beneficial ownership of the reported shares other than to the extent of any pecuniary interest the party may have therein. The principal business address of Radcliffe Fund is c/o Radcliffe Capital Management, L.P., 50 Monument Road, Suite 300, Bala Cynwyd, PA 19004.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861060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t>(84)The principal business address of JingQian Hou is 610, Haitian Ge, Haiwaihuayuan, Ligang Lu, Haizhuqu, Guangzhou, Zhongguo.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(85)Consists of 2,321 Ordinary Shares issued upon the conversion of the Advance Subscription made by JingQian Hou.</w:t>
      </w:r>
    </w:p>
    <w:p>
      <w:pPr>
        <w:spacing w:after="0" w:line="19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(86)Offered securities consist of the maximum number of Ordinary Shares that may be issued in relation to those Ordinary Shares the Company issued to Roth Capital Partners, LLC (“</w:t>
      </w:r>
      <w:r>
        <w:rPr>
          <w:rFonts w:ascii="Times New Roman" w:cs="Times New Roman" w:eastAsia="Times New Roman" w:hAnsi="Times New Roman"/>
          <w:sz w:val="18"/>
          <w:szCs w:val="18"/>
          <w:b w:val="1"/>
          <w:bCs w:val="1"/>
          <w:i w:val="1"/>
          <w:iCs w:val="1"/>
          <w:color w:val="auto"/>
        </w:rPr>
        <w:t>Roth Capital</w:t>
      </w:r>
      <w:r>
        <w:rPr>
          <w:rFonts w:ascii="Times New Roman" w:cs="Times New Roman" w:eastAsia="Times New Roman" w:hAnsi="Times New Roman"/>
          <w:sz w:val="18"/>
          <w:szCs w:val="18"/>
          <w:color w:val="auto"/>
        </w:rPr>
        <w:t>”), a registered broker-dealer, as transaction-based compensation for the performance of advisory services rendered to the Company in connection with the recently completed Business Combination. The business address of Roth Capital is 888 San Clemente Drive, Suite 400, Newport Beach, CA 92660.</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(87)Consists of (i) 16,320 Ordinary Shares and (ii) 9,283 Ordinary Shares issued upon the conversion of the Advance Subscription made by Mr. Lin.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(88)Consists of (i) 117,832 Ordinary Shares and (ii) 20,000 Ordinary Shares issued upon the conversion of the Advance Subscription made by Sam Lewis.</w:t>
      </w:r>
    </w:p>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(89)Consists of Ordinary Shares held by Boothbay Absolute Return Strategies, LP, BoothBay Diversified Alpha Master Fund, LP, Sandia Crest LP, WWJr. Enterprises, Inc., Crestline Summit Master, SPC – Peak SPC and Crestline Summit Master, SPC – Crestline Summit APEX SP, each of which is managed by Sandia Investment Management LP (“</w:t>
      </w:r>
      <w:r>
        <w:rPr>
          <w:rFonts w:ascii="Times New Roman" w:cs="Times New Roman" w:eastAsia="Times New Roman" w:hAnsi="Times New Roman"/>
          <w:sz w:val="18"/>
          <w:szCs w:val="18"/>
          <w:b w:val="1"/>
          <w:bCs w:val="1"/>
          <w:i w:val="1"/>
          <w:iCs w:val="1"/>
          <w:color w:val="auto"/>
        </w:rPr>
        <w:t>Sandia Investment Management</w:t>
      </w:r>
      <w:r>
        <w:rPr>
          <w:rFonts w:ascii="Times New Roman" w:cs="Times New Roman" w:eastAsia="Times New Roman" w:hAnsi="Times New Roman"/>
          <w:sz w:val="18"/>
          <w:szCs w:val="18"/>
          <w:color w:val="auto"/>
        </w:rPr>
        <w:t>”). Tim Sichler is the majority owner of Sandia Investment Management. The principal business address of Sandia Investment Management is 201 Washington Street, Suite 2600, Boston, MA 02108.</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(90)Consists of 3,372 Ordinary Shares issued upon the conversion of the Advance Subscription made by Sharat Williams.</w:t>
      </w:r>
    </w:p>
    <w:p>
      <w:pPr>
        <w:spacing w:after="0" w:line="185" w:lineRule="exact"/>
        <w:rPr>
          <w:sz w:val="20"/>
          <w:szCs w:val="20"/>
          <w:color w:val="auto"/>
        </w:rPr>
      </w:pPr>
    </w:p>
    <w:p>
      <w:pPr>
        <w:ind w:right="200" w:firstLine="8"/>
        <w:spacing w:after="0" w:line="266" w:lineRule="auto"/>
        <w:tabs>
          <w:tab w:leader="none" w:pos="34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128,530 Ordinary Shares issued upon conversion of the Convertible Note held by Ms. Briggs. For the avoidance of doubt, (A) 35,155 of the 128,530 Ordinary Shares issued upon conversion of the Convertible Note held by Ms. Briggs are registered for resale hereby and (B) 93,375 of the Ordinary Shares issued upon conversion of the Convertible Note were registered on the January Form F-1.</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(92)Consists of 17,078 Ordinary Shares issued upon the conversion of the Advance Subscription made by Techouts Solutions India Pvt ltd.</w:t>
      </w:r>
    </w:p>
    <w:p>
      <w:pPr>
        <w:spacing w:after="0" w:line="18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(93)Mr. Decker served as a director of Armada, which became a wholly owned subsidiary of the Company in connection with the Business Combination, since August 2021. The principal business office of Mr. Decker is 517 Old Gulph Road, Bryn Mawr, PA 19010.</w:t>
      </w:r>
    </w:p>
    <w:p>
      <w:pPr>
        <w:spacing w:after="0" w:line="148" w:lineRule="exact"/>
        <w:rPr>
          <w:sz w:val="20"/>
          <w:szCs w:val="20"/>
          <w:color w:val="auto"/>
        </w:rPr>
      </w:pPr>
    </w:p>
    <w:p>
      <w:pPr>
        <w:ind w:right="40" w:firstLine="8"/>
        <w:spacing w:after="0" w:line="258" w:lineRule="auto"/>
        <w:tabs>
          <w:tab w:leader="none" w:pos="35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440,634 Ordinary Shares, (ii) 33,853 Ordinary Shares issued upon the conversion of the Promissory Note held by Trustees of Risol Limited Pension; and (iii) 12,500 Ordinary Shares underlying the Private Warrants held by Trustees of Risol Limited Pension. For the avoidance of doubt, (A)(i) 8,929 of the 33,853 Ordinary Shares underlying the Promissory Note held by Trustees of Risol Limited Pension; and (ii) the 12,500 Ordinary Shares underlying the Private Warrants held by Trustees of Risol Limited Pension are registered for resale hereby; and (B) 24,924 of the 33,853 Ordinary Shares underlying the Promissory Note held by Trustees of Risol Limited Pension were registered for resale on the January Form F-1.</w:t>
      </w:r>
    </w:p>
    <w:p>
      <w:pPr>
        <w:spacing w:after="0" w:line="15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(95)Consists of (i) 8,929 Ordinary Shares issued upon the conversion of the Promissory Note held by UBIRY GmbH and (ii) 12,500 Ordinary Shares underlying the Private Warrants held by UBIRY GmbH.</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(96)Walleye Investments Fund LLC (“</w:t>
      </w:r>
      <w:r>
        <w:rPr>
          <w:rFonts w:ascii="Times New Roman" w:cs="Times New Roman" w:eastAsia="Times New Roman" w:hAnsi="Times New Roman"/>
          <w:sz w:val="18"/>
          <w:szCs w:val="18"/>
          <w:b w:val="1"/>
          <w:bCs w:val="1"/>
          <w:i w:val="1"/>
          <w:iCs w:val="1"/>
          <w:color w:val="auto"/>
        </w:rPr>
        <w:t>Walleye Investments Fund</w:t>
      </w:r>
      <w:r>
        <w:rPr>
          <w:rFonts w:ascii="Times New Roman" w:cs="Times New Roman" w:eastAsia="Times New Roman" w:hAnsi="Times New Roman"/>
          <w:sz w:val="18"/>
          <w:szCs w:val="18"/>
          <w:color w:val="auto"/>
        </w:rPr>
        <w:t>”) is a private investment fund managed by Walleye Capital LLC (“</w:t>
      </w:r>
      <w:r>
        <w:rPr>
          <w:rFonts w:ascii="Times New Roman" w:cs="Times New Roman" w:eastAsia="Times New Roman" w:hAnsi="Times New Roman"/>
          <w:sz w:val="18"/>
          <w:szCs w:val="18"/>
          <w:b w:val="1"/>
          <w:bCs w:val="1"/>
          <w:i w:val="1"/>
          <w:iCs w:val="1"/>
          <w:color w:val="auto"/>
        </w:rPr>
        <w:t>Walleye Capital</w:t>
      </w:r>
      <w:r>
        <w:rPr>
          <w:rFonts w:ascii="Times New Roman" w:cs="Times New Roman" w:eastAsia="Times New Roman" w:hAnsi="Times New Roman"/>
          <w:sz w:val="18"/>
          <w:szCs w:val="18"/>
          <w:color w:val="auto"/>
        </w:rPr>
        <w:t>”). William England serves as the Chief Executive Officer of Walleye Capital. As a result, Walleye Capital and Mr. England may be deemed to have shared voting and dispositive power with respect to the shares held by Walleye Investments Fund. Walleye Capital and Mr. England disclaim beneficial ownership of such shares except to the extent of each of their pecuniary interest therein. Walleye Investments Fund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Walleye InvestmentS Fund is 2800 Niagara Lane, Plymouth, MN 55447.</w:t>
      </w:r>
    </w:p>
    <w:p>
      <w:pPr>
        <w:spacing w:after="0" w:line="14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(97)Walleye Opportunities Master Fund Ltd (“</w:t>
      </w:r>
      <w:r>
        <w:rPr>
          <w:rFonts w:ascii="Times New Roman" w:cs="Times New Roman" w:eastAsia="Times New Roman" w:hAnsi="Times New Roman"/>
          <w:sz w:val="18"/>
          <w:szCs w:val="18"/>
          <w:b w:val="1"/>
          <w:bCs w:val="1"/>
          <w:i w:val="1"/>
          <w:iCs w:val="1"/>
          <w:color w:val="auto"/>
        </w:rPr>
        <w:t>Walleye Opportunities Fund</w:t>
      </w:r>
      <w:r>
        <w:rPr>
          <w:rFonts w:ascii="Times New Roman" w:cs="Times New Roman" w:eastAsia="Times New Roman" w:hAnsi="Times New Roman"/>
          <w:sz w:val="18"/>
          <w:szCs w:val="18"/>
          <w:color w:val="auto"/>
        </w:rPr>
        <w:t>”) is a private investment fund managed by Walleye Capital. William England serves as the Chief Executive Officer of Walleye Capital. As a result, Walleye Capital and Mr. England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104" w:name="page105"/>
    <w:bookmarkEnd w:id="104"/>
    <w:p>
      <w:pPr>
        <w:ind w:right="60"/>
        <w:spacing w:after="0" w:line="254" w:lineRule="auto"/>
        <w:rPr>
          <w:sz w:val="20"/>
          <w:szCs w:val="20"/>
          <w:color w:val="auto"/>
        </w:rPr>
      </w:pPr>
      <w:r>
        <w:rPr>
          <w:rFonts w:ascii="Times New Roman" w:cs="Times New Roman" w:eastAsia="Times New Roman" w:hAnsi="Times New Roman"/>
          <w:sz w:val="18"/>
          <w:szCs w:val="18"/>
          <w:color w:val="auto"/>
        </w:rPr>
        <w:t>be deemed to have shared voting and dispositive power with respect to the shares held by Walleye Opportunities Fund. Walleye Capital and Mr. England disclaim beneficial ownership of such shares except to the extent of each of their pecuniary interest therein. Walleye Opportunities Fund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Walleye Opportunities Fund is 2800 Niagara Lane, Plymouth, MN 55447.</w:t>
      </w:r>
    </w:p>
    <w:p>
      <w:pPr>
        <w:spacing w:after="0" w:line="14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(98)Solomon J. Cohen, in his capacity as Director of Vellar Opportunities Fund Master, Ltd. ("</w:t>
      </w:r>
      <w:r>
        <w:rPr>
          <w:rFonts w:ascii="Times New Roman" w:cs="Times New Roman" w:eastAsia="Times New Roman" w:hAnsi="Times New Roman"/>
          <w:sz w:val="18"/>
          <w:szCs w:val="18"/>
          <w:b w:val="1"/>
          <w:bCs w:val="1"/>
          <w:i w:val="1"/>
          <w:iCs w:val="1"/>
          <w:color w:val="auto"/>
        </w:rPr>
        <w:t>Vellar</w:t>
      </w:r>
      <w:r>
        <w:rPr>
          <w:rFonts w:ascii="Times New Roman" w:cs="Times New Roman" w:eastAsia="Times New Roman" w:hAnsi="Times New Roman"/>
          <w:sz w:val="18"/>
          <w:szCs w:val="18"/>
          <w:color w:val="auto"/>
        </w:rPr>
        <w:t>") may be deemed to control the securities owned by Vellar. Vellar is an affiliate of a registered broker-dealer and has represented to us that the Ordinary Shares held by it were purchased in the ordinary course of business and that at the time of purchase, it did not have any agreements or understandings, directly or indirectly, with any person to distribute such shares. To the extent that we become aware that such persons or entities did not acquire their Ordinary Shares in the ordinary course of business, or did have such an agreement or understanding, we will file a post-effective amendment to the registration statement of which this prospectus forms part to designate such affiliate as an “underwriter” within the meaning of the Securities Act. The principal business address of Vellar is 3 Columbus Circle, 24th Floor, New York, NY 10019.</w:t>
      </w:r>
    </w:p>
    <w:p>
      <w:pPr>
        <w:spacing w:after="0" w:line="16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(99)Ms. Pao has been employed as a junior employee at the Taiwan branch of Rezolve since April 2022. The principal business address for Ms. Pao is 5F., No. 15, Ln. 128, Xinhu 1st Rd., Neihu District, Taipei City 114065, Taiwan (R.O.C.).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(100)Consists of 1,000 Ordinary Shares issued upon the conversion of the Advance Subscription made by Ms. Pao.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(101)Consists of 100,000 Ordinary Shares issued upon the conversion of the Advance Subscription made by Zedfesto Holding Ltd.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(102)Consists of 1,857 Ordinary Shares issued upon the conversion of the Advance Subscription made by Zheng Jie.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ORDINARY SHARES, ARTICLES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ASSOCIATION AND CERTAIN LEGAL CONSIDERATIONS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Set forth below is (i) a summary of certain information concerning Rezolve’s share capital, (ii) a description of certain provisions of Rezolve’s articles of association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and (iii) a summary of relevant provisions of the UK Companies Act 2006 (as amended) (the “</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Ordinary Shares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Ordinary Shares comprise a single class of ordinary shares with a nominal value of £0.0001 each.</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information is a summary of Ordinary Shares:</w:t>
      </w:r>
    </w:p>
    <w:p>
      <w:pPr>
        <w:spacing w:after="0" w:line="17" w:lineRule="exact"/>
        <w:rPr>
          <w:sz w:val="20"/>
          <w:szCs w:val="20"/>
          <w:color w:val="auto"/>
        </w:rPr>
      </w:pPr>
    </w:p>
    <w:p>
      <w:pPr>
        <w:ind w:left="760" w:hanging="378"/>
        <w:spacing w:after="0"/>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Ordinary Shares carry the right to receive dividends and distributions paid by Rezolve, if any.</w:t>
      </w:r>
    </w:p>
    <w:p>
      <w:pPr>
        <w:spacing w:after="0" w:line="11" w:lineRule="exact"/>
        <w:rPr>
          <w:rFonts w:ascii="Times New Roman" w:cs="Times New Roman" w:eastAsia="Times New Roman" w:hAnsi="Times New Roman"/>
          <w:sz w:val="22"/>
          <w:szCs w:val="22"/>
          <w:color w:val="auto"/>
        </w:rPr>
      </w:pPr>
    </w:p>
    <w:p>
      <w:pPr>
        <w:jc w:val="both"/>
        <w:ind w:left="760" w:hanging="378"/>
        <w:spacing w:after="0" w:line="241"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holders of Ordinary Shares have the right to receive notice of, and to attend and vote at, all Rezolve’s general meetings provided that the aggregate number of votes attaching to all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Subject to the UK Companies Act, any equity securities issued by Rezolve for cash must first be offered to Rezolve shareholders in proportion to their existing holdings of Ordinary Shares.</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200"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172" w:lineRule="exact"/>
        <w:rPr>
          <w:sz w:val="20"/>
          <w:szCs w:val="20"/>
          <w:color w:val="auto"/>
        </w:rPr>
      </w:pPr>
    </w:p>
    <w:p>
      <w:pPr>
        <w:jc w:val="both"/>
        <w:ind w:firstLine="576"/>
        <w:spacing w:after="0" w:line="259" w:lineRule="auto"/>
        <w:rPr>
          <w:sz w:val="20"/>
          <w:szCs w:val="20"/>
          <w:color w:val="auto"/>
        </w:rPr>
      </w:pPr>
      <w:r>
        <w:rPr>
          <w:rFonts w:ascii="Times New Roman" w:cs="Times New Roman" w:eastAsia="Times New Roman" w:hAnsi="Times New Roman"/>
          <w:sz w:val="18"/>
          <w:szCs w:val="18"/>
          <w:color w:val="auto"/>
        </w:rPr>
        <w:t>Rezolve may convert Ordinary Shares into deferred shares of £0.0001 each (or other nominal value) in the capital of Rezolve (the “</w:t>
      </w:r>
      <w:r>
        <w:rPr>
          <w:rFonts w:ascii="Times New Roman" w:cs="Times New Roman" w:eastAsia="Times New Roman" w:hAnsi="Times New Roman"/>
          <w:sz w:val="18"/>
          <w:szCs w:val="18"/>
          <w:b w:val="1"/>
          <w:bCs w:val="1"/>
          <w:i w:val="1"/>
          <w:iCs w:val="1"/>
          <w:color w:val="auto"/>
        </w:rPr>
        <w:t>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in certain limited circumstances or issue Deferred Shares. The Deferred Shares have no rights to vote and do not entitle their holder to receive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83"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Register</w:t>
      </w:r>
    </w:p>
    <w:p>
      <w:pPr>
        <w:spacing w:after="0" w:line="121"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jc w:val="both"/>
        <w:spacing w:after="0" w:line="282" w:lineRule="auto"/>
        <w:rPr>
          <w:sz w:val="20"/>
          <w:szCs w:val="20"/>
          <w:color w:val="auto"/>
        </w:rPr>
      </w:pPr>
      <w:r>
        <w:rPr>
          <w:rFonts w:ascii="Times New Roman" w:cs="Times New Roman" w:eastAsia="Times New Roman" w:hAnsi="Times New Roman"/>
          <w:sz w:val="18"/>
          <w:szCs w:val="18"/>
          <w:color w:val="auto"/>
        </w:rPr>
        <w:t>limited, or no, information regarding the ultimate beneficial owners of Rezolve’s Ordinary Shares. Rezolve’s share register is maintained by its registrar, Computershare Inc.</w:t>
      </w:r>
    </w:p>
    <w:p>
      <w:pPr>
        <w:spacing w:after="0" w:line="162"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Rezolve, any of its shareholders or any other affected person may apply to the court for rectification of the share register if:</w:t>
      </w:r>
    </w:p>
    <w:p>
      <w:pPr>
        <w:spacing w:after="0" w:line="17" w:lineRule="exact"/>
        <w:rPr>
          <w:sz w:val="20"/>
          <w:szCs w:val="20"/>
          <w:color w:val="auto"/>
        </w:rPr>
      </w:pPr>
    </w:p>
    <w:p>
      <w:pPr>
        <w:ind w:left="760" w:hanging="378"/>
        <w:spacing w:after="0"/>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name of any person, without sufficient cause, is wrongly entered in or omitted from Rezolve’s register of shareholders; or</w:t>
      </w:r>
    </w:p>
    <w:p>
      <w:pPr>
        <w:spacing w:after="0" w:line="11"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121"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Each whole Public Warrant entitles the holder to purchase one Ordinary Share at a price of $11.50 per share subject to adjustment as discussed below. The Public Warrants will become exercisable 30 days after the Closing Date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87"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 Ordinary Share upon exercise of a warrant unless the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8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We have agreed that as soon as practicable after the closing of the Business Combination, we will use our best efforts to file with the SEC a registration statement for the registration, under the Securities Act, of the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which will then apply to the Public Warrants.</w:t>
      </w:r>
    </w:p>
    <w:p>
      <w:pPr>
        <w:spacing w:after="0" w:line="178" w:lineRule="exact"/>
        <w:rPr>
          <w:sz w:val="20"/>
          <w:szCs w:val="20"/>
          <w:color w:val="auto"/>
        </w:rPr>
      </w:pPr>
    </w:p>
    <w:p>
      <w:pPr>
        <w:jc w:val="both"/>
        <w:ind w:firstLine="576"/>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Redemption of Public Warrants when the price per Ordinary Share equals or exceeds $18.00. </w:t>
      </w:r>
      <w:r>
        <w:rPr>
          <w:rFonts w:ascii="Times New Roman" w:cs="Times New Roman" w:eastAsia="Times New Roman" w:hAnsi="Times New Roman"/>
          <w:sz w:val="18"/>
          <w:szCs w:val="18"/>
          <w:color w:val="auto"/>
        </w:rPr>
        <w:t>Once the warrants become exercisable, we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 the outstanding warrants (subject to any restrictions under the UK Companies Act):</w:t>
      </w:r>
    </w:p>
    <w:p>
      <w:pPr>
        <w:ind w:left="760" w:hanging="378"/>
        <w:spacing w:after="0" w:line="234" w:lineRule="auto"/>
        <w:tabs>
          <w:tab w:leader="none" w:pos="7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whole and not in part;</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at a price of $0.01 per warrant;</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2" w:lineRule="exact"/>
        <w:rPr>
          <w:rFonts w:ascii="Times New Roman" w:cs="Times New Roman" w:eastAsia="Times New Roman" w:hAnsi="Times New Roman"/>
          <w:sz w:val="22"/>
          <w:szCs w:val="22"/>
          <w:color w:val="auto"/>
        </w:rPr>
      </w:pPr>
    </w:p>
    <w:p>
      <w:pPr>
        <w:jc w:val="both"/>
        <w:ind w:left="760" w:hanging="378"/>
        <w:spacing w:after="0" w:line="238" w:lineRule="auto"/>
        <w:tabs>
          <w:tab w:leader="none" w:pos="7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and only if, the closing price of the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99"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7" w:name="page108"/>
    <w:bookmarkEnd w:id="107"/>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No fractional Ordinary Shares will be issued upon exercise. If, upon exercise, a holder would be entitled to receive a fractional interest in a share, we will round down to the nearest whole number of Ordinary Shares to be issued to the holder. If, at the time of redemption, the warrants are exercisable for a security other than the Ordinary Shares pursuant to the applicable Warrant Agreement, the warrants may be exercised for such security. At such time as the warrants become exercisable for a security other than the Ordinary Shares, Rezolve (or surviving company) will use its commercially reasonable efforts to register under the Securities Act the security issuable upon the exercise of the warrants.</w:t>
      </w:r>
    </w:p>
    <w:p>
      <w:pPr>
        <w:spacing w:after="0" w:line="18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i w:val="1"/>
          <w:iCs w:val="1"/>
          <w:color w:val="auto"/>
        </w:rPr>
        <w:t>Holder Election to Limit Exercise</w:t>
      </w:r>
      <w:r>
        <w:rPr>
          <w:rFonts w:ascii="Times New Roman" w:cs="Times New Roman" w:eastAsia="Times New Roman" w:hAnsi="Times New Roman"/>
          <w:sz w:val="18"/>
          <w:szCs w:val="18"/>
          <w:color w:val="auto"/>
        </w:rPr>
        <w:t>. A holder of a warrant may notify us in writing in the event it elects to be subject to a requirement that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will not have the right to exercise such warrant, to the extent that after giving effect to such exercise, such person (together with such person’s affiliates), to the warrant agent’s actual knowledge, would beneficially own in excess of 9.8% (as specified by the holder) of the Ordinary Shares outstanding immediately after giving effect to such exercise.</w:t>
      </w:r>
    </w:p>
    <w:p>
      <w:pPr>
        <w:spacing w:after="0" w:line="180"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outstanding Ordinary Shares is increased by a stock dividend payable in Ordinary Shares, or by a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 of common stock or other similar event, then, on the effective date of such share capitalization, sub-division or similar event, the number of Ordinary Shares issuable on exercise of each warrant will be increased in proportion to such increase in the outstanding shares of common stock. A rights offering made to all or substantially all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ten (10) trading day period ending on the trading day prior to the first date on which the Ordinary Shares trade on the applicable exchange or in the applicable market, regular way, without the right to receive such rights.</w:t>
      </w:r>
    </w:p>
    <w:p>
      <w:pPr>
        <w:spacing w:after="0" w:line="194"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If the number of outstanding Ordinary Shares is decreased by a consolidation, combination, reverse stock split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outstanding Ordinary Shares.</w:t>
      </w:r>
    </w:p>
    <w:p>
      <w:pPr>
        <w:spacing w:after="0" w:line="176"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180"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88"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of Rezolve</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following information is a summary of the material terms of the Ordinary Shares as specified in the Articles. The following summary does not purport to be complete and is qualified in its entirety by reference to the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i w:val="1"/>
          <w:iCs w:val="1"/>
          <w:color w:val="auto"/>
        </w:rPr>
        <w:t>Share rights</w:t>
      </w:r>
    </w:p>
    <w:p>
      <w:pPr>
        <w:spacing w:after="0" w:line="121"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76"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spacing w:after="0" w:line="162"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The aggregate number of votes attaching to all the shares held by Daniel Wagner as the “Rezolve Founder” or in which he is interested shall be equal to the higher of:</w:t>
      </w:r>
    </w:p>
    <w:p>
      <w:pPr>
        <w:spacing w:after="0"/>
        <w:rPr>
          <w:sz w:val="20"/>
          <w:szCs w:val="20"/>
          <w:color w:val="auto"/>
        </w:rPr>
      </w:pPr>
      <w:r>
        <w:rPr>
          <w:rFonts w:ascii="Times New Roman" w:cs="Times New Roman" w:eastAsia="Times New Roman" w:hAnsi="Times New Roman"/>
          <w:sz w:val="18"/>
          <w:szCs w:val="18"/>
          <w:color w:val="auto"/>
        </w:rPr>
        <w:t>(i)75% of the votes attaching to all shares in the capital of the Company;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(ii)the total number of votes that would otherwise have been conferred on Daniel Wagner.</w:t>
      </w:r>
    </w:p>
    <w:p>
      <w:pPr>
        <w:spacing w:after="0" w:line="207"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Voting</w:t>
      </w:r>
    </w:p>
    <w:p>
      <w:pPr>
        <w:spacing w:after="0" w:line="121"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76"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9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Ordinary Shares are in registered form. Any Ordinary Shares may be held in uncertificated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09" w:name="page110"/>
    <w:bookmarkEnd w:id="109"/>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transferor of an ordinary share is deemed to remain the holder until the transferee’s name is entered in the share register.</w:t>
      </w:r>
    </w:p>
    <w:p>
      <w:pPr>
        <w:spacing w:after="0" w:line="225"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80"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All dividends on shares are to be paid according to the amounts paid up on their nominal value, or otherwise in accordance with the terms concerning entitlement to dividends on which shares were issued.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All unclaimed dividends may be made use of by Rezolve’s board of directors for Rezolve’s benefit until claimed.</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Any dividend unclaimed for a period of 10 years from the date when it was declared or became due for payment shall revert to Rezolve.</w:t>
      </w:r>
    </w:p>
    <w:p>
      <w:pPr>
        <w:spacing w:after="0" w:line="225"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83"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89"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10" w:name="page111"/>
    <w:bookmarkEnd w:id="110"/>
    <w:p>
      <w:pPr>
        <w:ind w:left="580"/>
        <w:spacing w:after="0"/>
        <w:rPr>
          <w:sz w:val="20"/>
          <w:szCs w:val="20"/>
          <w:color w:val="auto"/>
        </w:rPr>
      </w:pPr>
      <w:r>
        <w:rPr>
          <w:rFonts w:ascii="Times New Roman" w:cs="Times New Roman" w:eastAsia="Times New Roman" w:hAnsi="Times New Roman"/>
          <w:sz w:val="18"/>
          <w:szCs w:val="18"/>
          <w:color w:val="auto"/>
        </w:rPr>
        <w:t>The voting rights of each member at a general meeting are as set out under the heading “Voting Rights and Quorum”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80"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Rezolve may agree with any member terms and conditions upon which all or any part of the Ordinary Shares held by such member from time to time shall be automatically converted into deferred shares.</w:t>
      </w:r>
    </w:p>
    <w:p>
      <w:pPr>
        <w:spacing w:after="0" w:line="162"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Rezolve held in 2025, the second class being eligible for re-election at the annual general meeting of Rezolve held in 2026 and the third class being eligible for re-election at the annual general meeting of Rezolve held in 2027. The Board may remove any directors appointed by Armada from 12 months after Closing.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Winding Up</w:t>
      </w:r>
    </w:p>
    <w:p>
      <w:pPr>
        <w:spacing w:after="0" w:line="121"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62"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Rezolve’s board is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Any directors appointed by Armada may be removed by Rezolve’s board of directors after the initial 12 months following the Closing Date.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11" w:name="page112"/>
    <w:bookmarkEnd w:id="111"/>
    <w:p>
      <w:pPr>
        <w:jc w:val="both"/>
        <w:spacing w:after="0" w:line="282" w:lineRule="auto"/>
        <w:rPr>
          <w:sz w:val="20"/>
          <w:szCs w:val="20"/>
          <w:color w:val="auto"/>
        </w:rPr>
      </w:pPr>
      <w:r>
        <w:rPr>
          <w:rFonts w:ascii="Times New Roman" w:cs="Times New Roman" w:eastAsia="Times New Roman" w:hAnsi="Times New Roman"/>
          <w:sz w:val="18"/>
          <w:szCs w:val="18"/>
          <w:color w:val="auto"/>
        </w:rPr>
        <w:t>expressing an intention to propose such person for appointment as a director, and such notice has also been signed by that person expressing a willingness to be elected.</w:t>
      </w:r>
    </w:p>
    <w:p>
      <w:pPr>
        <w:spacing w:after="0" w:line="162"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76"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Directors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Interests</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62"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92"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director shall be entitled to vote (and be counted in the quorum) in respect of any resolution concerning any of the following matters:</w:t>
      </w:r>
    </w:p>
    <w:p>
      <w:pPr>
        <w:spacing w:after="0" w:line="36" w:lineRule="exact"/>
        <w:rPr>
          <w:sz w:val="20"/>
          <w:szCs w:val="20"/>
          <w:color w:val="auto"/>
        </w:rPr>
      </w:pPr>
    </w:p>
    <w:p>
      <w:pPr>
        <w:ind w:left="760" w:hanging="378"/>
        <w:spacing w:after="0" w:line="234" w:lineRule="auto"/>
        <w:tabs>
          <w:tab w:leader="none" w:pos="7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contract, transaction or arrangement in which the director is interested by virtue of an interest in shares, debentures or other securities of Rezolve or any of its subsidiary undertakings;</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indemnification by Rezolve in relation to the performance of the director’s duties on behalf of the Company or any of its subsidiary undertakings;</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10" w:lineRule="exact"/>
        <w:rPr>
          <w:rFonts w:ascii="Times New Roman" w:cs="Times New Roman" w:eastAsia="Times New Roman" w:hAnsi="Times New Roman"/>
          <w:sz w:val="22"/>
          <w:szCs w:val="22"/>
          <w:color w:val="auto"/>
        </w:rPr>
      </w:pPr>
    </w:p>
    <w:p>
      <w:pPr>
        <w:ind w:left="760" w:right="20" w:hanging="378"/>
        <w:spacing w:after="0" w:line="234" w:lineRule="auto"/>
        <w:tabs>
          <w:tab w:leader="none" w:pos="7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760095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2" w:name="page113"/>
    <w:bookmarkEnd w:id="112"/>
    <w:p>
      <w:pPr>
        <w:ind w:left="760" w:hanging="378"/>
        <w:spacing w:after="0" w:line="234" w:lineRule="auto"/>
        <w:tabs>
          <w:tab w:leader="none" w:pos="7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arrangement for the benefit of employees of Rezolve or of any of its subsidiary undertakings which does not accord to the director any privilege or benefit not generally accorded to the employees to whom the contract or arrangement relates; and</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purchase or maintenance of insurance either for or for the benefit of any director or for persons who include directors.</w:t>
      </w:r>
    </w:p>
    <w:p>
      <w:pPr>
        <w:spacing w:after="0" w:line="198"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9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Fees and Remuneration</w:t>
      </w:r>
    </w:p>
    <w:p>
      <w:pPr>
        <w:spacing w:after="0" w:line="121" w:lineRule="exact"/>
        <w:rPr>
          <w:sz w:val="20"/>
          <w:szCs w:val="20"/>
          <w:color w:val="auto"/>
        </w:rPr>
      </w:pPr>
    </w:p>
    <w:p>
      <w:pPr>
        <w:jc w:val="both"/>
        <w:ind w:right="20" w:firstLine="576"/>
        <w:spacing w:after="0" w:line="282" w:lineRule="auto"/>
        <w:rPr>
          <w:sz w:val="20"/>
          <w:szCs w:val="20"/>
          <w:color w:val="auto"/>
        </w:rPr>
      </w:pPr>
      <w:r>
        <w:rPr>
          <w:rFonts w:ascii="Times New Roman" w:cs="Times New Roman" w:eastAsia="Times New Roman" w:hAnsi="Times New Roman"/>
          <w:sz w:val="18"/>
          <w:szCs w:val="18"/>
          <w:color w:val="auto"/>
        </w:rPr>
        <w:t>Special remuneration may be granted to any director who performs any special or extra services to, or at the request of, Rezolve, to be paid by way of lump sum, salary, commission, participation in profits or otherwise as the Rezolve board of directors may decide.</w:t>
      </w:r>
    </w:p>
    <w:p>
      <w:pPr>
        <w:spacing w:after="0" w:line="16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121"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English Law Considerations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Purchases and Acquisitions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 acquire, those shares on the same terms as the general offer. The offeror would do so by sending a notice to the outstanding minority shareholders telling them that it will compulsorily acquire their shares.</w:t>
      </w:r>
    </w:p>
    <w:p>
      <w:pPr>
        <w:spacing w:after="0" w:line="183"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3" w:name="page114"/>
    <w:bookmarkEnd w:id="113"/>
    <w:p>
      <w:pPr>
        <w:jc w:val="both"/>
        <w:spacing w:after="0" w:line="282" w:lineRule="auto"/>
        <w:rPr>
          <w:sz w:val="20"/>
          <w:szCs w:val="20"/>
          <w:color w:val="auto"/>
        </w:rPr>
      </w:pPr>
      <w:r>
        <w:rPr>
          <w:rFonts w:ascii="Times New Roman" w:cs="Times New Roman" w:eastAsia="Times New Roman" w:hAnsi="Times New Roman"/>
          <w:sz w:val="18"/>
          <w:szCs w:val="18"/>
          <w:color w:val="auto"/>
        </w:rPr>
        <w:t>outstanding minority shareholders whose shares are compulsorily acquired under the UK Companies Act must, in general, be the same as the consideration that was available under the takeover offer.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 Out</w:t>
      </w:r>
    </w:p>
    <w:p>
      <w:pPr>
        <w:spacing w:after="0" w:line="121"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 in Shares</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80"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8"/>
          <w:szCs w:val="18"/>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12" w:lineRule="exact"/>
        <w:rPr>
          <w:sz w:val="20"/>
          <w:szCs w:val="20"/>
          <w:color w:val="auto"/>
        </w:rPr>
      </w:pPr>
    </w:p>
    <w:p>
      <w:pPr>
        <w:ind w:left="760" w:hanging="378"/>
        <w:spacing w:after="0" w:line="234" w:lineRule="auto"/>
        <w:tabs>
          <w:tab w:leader="none" w:pos="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43" w:lineRule="auto"/>
        <w:tabs>
          <w:tab w:leader="none" w:pos="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Own Shares</w:t>
      </w:r>
    </w:p>
    <w:p>
      <w:pPr>
        <w:spacing w:after="0" w:line="121"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ind w:left="760" w:hanging="378"/>
        <w:spacing w:after="0" w:line="235" w:lineRule="auto"/>
        <w:tabs>
          <w:tab w:leader="none" w:pos="7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specify the maximum number of shares authorized to be acquired;</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determine the maximum and minimum prices that may be paid for the shares; and</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specify a date, not being later than five years after the passing of the resolution, on which the authority to purchase is to expire.</w:t>
      </w:r>
    </w:p>
    <w:p>
      <w:pPr>
        <w:spacing w:after="0" w:line="198"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Dividends</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14" w:name="page115"/>
    <w:bookmarkEnd w:id="11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sufficient distributable reserves before a distribution or dividend can be paid applies to Rezolve and to each of its subsidiaries that has been incorporated under the laws of England and Wales.</w:t>
      </w:r>
    </w:p>
    <w:p>
      <w:pPr>
        <w:spacing w:after="0" w:line="162" w:lineRule="exact"/>
        <w:rPr>
          <w:sz w:val="20"/>
          <w:szCs w:val="20"/>
          <w:color w:val="auto"/>
        </w:rPr>
      </w:pPr>
    </w:p>
    <w:p>
      <w:pPr>
        <w:jc w:val="both"/>
        <w:ind w:firstLine="576"/>
        <w:spacing w:after="0" w:line="257" w:lineRule="auto"/>
        <w:rPr>
          <w:sz w:val="20"/>
          <w:szCs w:val="20"/>
          <w:color w:val="auto"/>
        </w:rPr>
      </w:pPr>
      <w:r>
        <w:rPr>
          <w:rFonts w:ascii="Times New Roman" w:cs="Times New Roman" w:eastAsia="Times New Roman" w:hAnsi="Times New Roman"/>
          <w:sz w:val="18"/>
          <w:szCs w:val="18"/>
          <w:color w:val="auto"/>
        </w:rPr>
        <w:t>It is not sufficient that Rezolve, once re-registered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1" w:lineRule="exact"/>
        <w:rPr>
          <w:sz w:val="20"/>
          <w:szCs w:val="20"/>
          <w:color w:val="auto"/>
        </w:rPr>
      </w:pPr>
    </w:p>
    <w:p>
      <w:pPr>
        <w:ind w:left="760" w:hanging="378"/>
        <w:spacing w:after="0" w:line="250" w:lineRule="auto"/>
        <w:tabs>
          <w:tab w:leader="none" w:pos="7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ind w:left="760" w:hanging="378"/>
        <w:spacing w:after="0"/>
        <w:tabs>
          <w:tab w:leader="none" w:pos="7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w:t>
      </w:r>
    </w:p>
    <w:p>
      <w:pPr>
        <w:spacing w:after="0" w:line="121"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Civil Liabilities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83"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80" w:lineRule="exact"/>
        <w:rPr>
          <w:sz w:val="20"/>
          <w:szCs w:val="20"/>
          <w:color w:val="auto"/>
        </w:rPr>
      </w:pPr>
    </w:p>
    <w:p>
      <w:pPr>
        <w:jc w:val="both"/>
        <w:ind w:right="20" w:firstLine="576"/>
        <w:spacing w:after="0" w:line="282" w:lineRule="auto"/>
        <w:rPr>
          <w:sz w:val="20"/>
          <w:szCs w:val="20"/>
          <w:color w:val="auto"/>
        </w:rPr>
      </w:pPr>
      <w:r>
        <w:rPr>
          <w:rFonts w:ascii="Times New Roman" w:cs="Times New Roman" w:eastAsia="Times New Roman" w:hAnsi="Times New Roman"/>
          <w:sz w:val="18"/>
          <w:szCs w:val="18"/>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 United Kingdom</w:t>
      </w:r>
    </w:p>
    <w:p>
      <w:pPr>
        <w:spacing w:after="0" w:line="117" w:lineRule="exact"/>
        <w:rPr>
          <w:sz w:val="20"/>
          <w:szCs w:val="20"/>
          <w:color w:val="auto"/>
        </w:rPr>
      </w:pPr>
    </w:p>
    <w:p>
      <w:pPr>
        <w:ind w:right="500" w:firstLine="576"/>
        <w:spacing w:after="0" w:line="286" w:lineRule="auto"/>
        <w:rPr>
          <w:sz w:val="20"/>
          <w:szCs w:val="20"/>
          <w:color w:val="auto"/>
        </w:rPr>
      </w:pPr>
      <w:r>
        <w:rPr>
          <w:rFonts w:ascii="Times New Roman" w:cs="Times New Roman" w:eastAsia="Times New Roman" w:hAnsi="Times New Roman"/>
          <w:sz w:val="18"/>
          <w:szCs w:val="18"/>
          <w:color w:val="auto"/>
        </w:rPr>
        <w:t>Rezolve has certain duties under the General Data Protection Regulation (as implemented in the UK) and the Data Protection Act 2018 (“</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GDPR</w:t>
      </w:r>
      <w:r>
        <w:rPr>
          <w:rFonts w:ascii="Times New Roman" w:cs="Times New Roman" w:eastAsia="Times New Roman" w:hAnsi="Times New Roman"/>
          <w:sz w:val="18"/>
          <w:szCs w:val="18"/>
          <w:color w:val="auto"/>
        </w:rPr>
        <w:t>”) based on internationally accepted principles of data privacy.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All shareholders in Rezolve will provide the Company with certain information which constitutes personal data within the meaning of the UK GDPR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In the following discussion, the “Company” refers to Rezolve and its affiliates and/or delegates, except where the context requires otherwise.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5" w:name="page116"/>
    <w:bookmarkEnd w:id="115"/>
    <w:p>
      <w:pPr>
        <w:jc w:val="both"/>
        <w:spacing w:after="0" w:line="261" w:lineRule="auto"/>
        <w:rPr>
          <w:sz w:val="20"/>
          <w:szCs w:val="20"/>
          <w:color w:val="auto"/>
        </w:rPr>
      </w:pPr>
      <w:r>
        <w:rPr>
          <w:rFonts w:ascii="Times New Roman" w:cs="Times New Roman" w:eastAsia="Times New Roman" w:hAnsi="Times New Roman"/>
          <w:sz w:val="18"/>
          <w:szCs w:val="18"/>
          <w:color w:val="auto"/>
        </w:rPr>
        <w:t>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0"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80"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Rezolve May Use a Member’s Personal Data</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7" w:lineRule="exact"/>
        <w:rPr>
          <w:sz w:val="20"/>
          <w:szCs w:val="20"/>
          <w:color w:val="auto"/>
        </w:rPr>
      </w:pPr>
    </w:p>
    <w:p>
      <w:pPr>
        <w:ind w:left="760" w:hanging="378"/>
        <w:spacing w:after="0"/>
        <w:tabs>
          <w:tab w:leader="none" w:pos="7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this is necessary for the performance of its rights and obligations under any purchase agreements;</w:t>
      </w:r>
    </w:p>
    <w:p>
      <w:pPr>
        <w:spacing w:after="0" w:line="11" w:lineRule="exact"/>
        <w:rPr>
          <w:rFonts w:ascii="Times New Roman" w:cs="Times New Roman" w:eastAsia="Times New Roman" w:hAnsi="Times New Roman"/>
          <w:sz w:val="22"/>
          <w:szCs w:val="22"/>
          <w:color w:val="auto"/>
        </w:rPr>
      </w:pPr>
    </w:p>
    <w:p>
      <w:pPr>
        <w:ind w:left="760" w:right="20" w:hanging="378"/>
        <w:spacing w:after="0" w:line="233" w:lineRule="auto"/>
        <w:tabs>
          <w:tab w:leader="none" w:pos="7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this is necessary for compliance with a legal and regulatory obligation to which the company is subject (such as compliance with anti-money laundering and FATCA/CRS requirements); and/or</w:t>
      </w:r>
    </w:p>
    <w:p>
      <w:pPr>
        <w:spacing w:after="0" w:line="9"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200"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Should Rezolve wish to use personal data for other specific purposes (including, if applicable, any purpose that requires your consent), it will contact you.</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Why Rezolve May Share Your Personal Data</w:t>
      </w:r>
    </w:p>
    <w:p>
      <w:pPr>
        <w:spacing w:after="0" w:line="11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76"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Rezolve may share your personal data with our affiliates for any of the purposes described in this privacy notice.</w:t>
      </w:r>
    </w:p>
    <w:p>
      <w:pPr>
        <w:spacing w:after="0" w:line="225"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Data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6" w:name="page117"/>
    <w:bookmarkEnd w:id="116"/>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Data Protection Measures Rezolve Takes</w:t>
      </w:r>
    </w:p>
    <w:p>
      <w:pPr>
        <w:spacing w:after="0" w:line="11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Retention</w:t>
      </w:r>
    </w:p>
    <w:p>
      <w:pPr>
        <w:spacing w:after="0" w:line="11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7" w:name="page118"/>
    <w:bookmarkEnd w:id="117"/>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TAX CONSIDERATIONS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Kingdom Tax Considerations</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following statements are based on current UK law as applied in England and HMRC published practice (which may not be binding on HMRC) as at the date of this document, both of which are subject to change, possibly with retrospective effect.</w:t>
      </w:r>
    </w:p>
    <w:p>
      <w:pPr>
        <w:spacing w:after="0" w:line="16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These statements are intended only as a general guide and are not a complete analysis of all potential UK tax consequences relating to the holding or disposing of Ordinary Shares or Warrants. They do not purport to provide any analysis of the UK tax consequences of the Business Combination.</w:t>
      </w:r>
    </w:p>
    <w:p>
      <w:pPr>
        <w:spacing w:after="0" w:line="162"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The statements apply only to persons who hold Ordinary Shares or Warrants as an investment and who are the absolute beneficial owners of the Ordinary Shares or Warrants. The statements do not apply to special categories of holders such as dealers in securities, insurance companies, collective investment schemes, charities, exempt pension funds or holders who have, or are deemed to have, acquired their Ordinary Shares or Warrants by virtue of an office or employment.</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statements are not directed at and do not apply to persons who are resident, or in the case of individuals, domiciled for tax purposes in the UK.</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IF YOU ARE IN ANY DOUBT AS TO YOUR TAX POSITION, YOU SHOULD CONSULT YOUR PROFESSIONAL TAX ADVISER.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Rezolve</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Rezolve is subject to UK corporation tax on its taxable profits and gains, as it is tax resident in the UK. The Business Combination will not give rise to any taxable profits or gains for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Disposals</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Holders who are not resident in the UK will not generally be subject to UK taxation of capital gains on the disposal or deemed disposal of Ordinary Shares or Warrants unless they are carrying on a trade, profession or vocation in the UK through a branch or agency there (or, in the case of a company, they are carrying on a trade in the UK through a permanent establishment there) in connection with which the Ordinary Shares or Warrants are used, held or acquired. Non-UK tax resident holders may be subject to non-UK taxation on any gain under local law.</w:t>
      </w:r>
    </w:p>
    <w:p>
      <w:pPr>
        <w:spacing w:after="0" w:line="180"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An individual holder who has been resident for tax purposes in the UK but who ceases to be so or becomes treated as resident outside the UK for the purposes of a double tax treaty for a period of five years or less and who disposes of all or part of his or her Ordinary Shares or Warrants during that period may be liable to capital gains tax on his or her return to the UK, subject to any available exemptions or reliefs.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Rezolve is not required to withhold UK tax when paying a dividend.</w:t>
      </w:r>
    </w:p>
    <w:p>
      <w:pPr>
        <w:spacing w:after="0" w:line="225"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 shareholders resident outside the UK will generally not be subject to UK taxation on dividend income unless they are carrying on a trade, profession or vocation through a branch or agency in the UK (or, in the case of a corporate holder, they are carrying on a trade in the UK through a permanent establishment there) and the dividends are either a receipt of that trade, profession or vocation (or, in the case of a corporate holder, Ordinary Shares are used by, or held by or for, that UK permanent establishment). Rezolve shareholders resident outside the UK should consult their own tax adviser concerning their tax position on dividends received from Rezolve.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 (“SDRT”)</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 UK stamp duty or UK SDRT should arise on the issue of Ordinary Shares.</w:t>
      </w:r>
    </w:p>
    <w:p>
      <w:pPr>
        <w:spacing w:after="0" w:line="221" w:lineRule="exact"/>
        <w:rPr>
          <w:sz w:val="20"/>
          <w:szCs w:val="20"/>
          <w:color w:val="auto"/>
        </w:rPr>
      </w:pPr>
    </w:p>
    <w:p>
      <w:pPr>
        <w:jc w:val="both"/>
        <w:ind w:firstLine="576"/>
        <w:spacing w:after="0" w:line="286" w:lineRule="auto"/>
        <w:rPr>
          <w:sz w:val="20"/>
          <w:szCs w:val="20"/>
          <w:color w:val="auto"/>
        </w:rPr>
      </w:pPr>
      <w:r>
        <w:rPr>
          <w:rFonts w:ascii="Times New Roman" w:cs="Times New Roman" w:eastAsia="Times New Roman" w:hAnsi="Times New Roman"/>
          <w:sz w:val="18"/>
          <w:szCs w:val="18"/>
          <w:color w:val="auto"/>
        </w:rPr>
        <w:t>An agreement to transfer Ordinary Shares or Warrants other than to a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will normally give rise to a charge to UK SDRT at the rate of 0.5% of the amount or value of the consideration payable for the transfer, subject to the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734060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jc w:val="both"/>
        <w:spacing w:after="0" w:line="258" w:lineRule="auto"/>
        <w:rPr>
          <w:sz w:val="20"/>
          <w:szCs w:val="20"/>
          <w:color w:val="auto"/>
        </w:rPr>
      </w:pPr>
      <w:r>
        <w:rPr>
          <w:rFonts w:ascii="Times New Roman" w:cs="Times New Roman" w:eastAsia="Times New Roman" w:hAnsi="Times New Roman"/>
          <w:sz w:val="18"/>
          <w:szCs w:val="18"/>
          <w:color w:val="auto"/>
        </w:rPr>
        <w:t>of certain exclusions and reliefs. SDRT is, in general, payable by the purchaser. Instruments transferring Ordinary Shares or Warrants will generally be subject to UK stamp duty at the rate of 0.5% of the consideration given for the transfer (rounded up to the next £5), subject to the application of certain exclusions and reliefs. The purchaser normally pays the stamp duty. Any SDRT should be cancelled and any SDRT that has been paid should be repaid where an instrument of transfer has been executed in respect of the transfer of securities within six years of the incident giving rise to the SDRT and stamp duty has been paid on that instrument of transfer.</w:t>
      </w:r>
    </w:p>
    <w:p>
      <w:pPr>
        <w:spacing w:after="0" w:line="183"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The transfer of existing Ordinary Shares or Warrants to a DTC will normally give rise to a charge to UK stamp duty or SDRT at the higher rate of 1.5% of the amount or value of the consideration payable for the transfer (subject to certain exceptions). Although the DTC should be liable for any UK stamp duty or SDRT, this will be payable by the existing holder in practice. However, no stamp duty or SDRT should, in practice, be required to be paid in respect of transfers or agreements to transfer Ordinary Shares or Warrants within the facilities of the DTC, provided the transfer from a holder of Ordinary Shares or Warrants to a DTC occurs within four months of the listing.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w:t>
      </w:r>
    </w:p>
    <w:p>
      <w:pPr>
        <w:spacing w:after="0" w:line="121"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This section describes the material U.S. federal income tax considerations of the ownership and disposition of Ordinary Shares and Warrants. This discussion applies only to Ordinary Shares and Warrants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w:t>
      </w:r>
    </w:p>
    <w:p>
      <w:pPr>
        <w:ind w:left="760" w:hanging="378"/>
        <w:spacing w:after="0" w:line="236" w:lineRule="auto"/>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brokers, dealers and other investors that do not own their Ordinary Shares or Warrants as capital assets;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tax-exempt organizations, qualified retirement plans, individual retirement accounts or other tax deferred accounts;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banks or other financial institutions, underwriters, insurance companies, real estate investment trusts or regulated investment companies;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that own (directly, indirectly, or by attribution) 5% or more (by vote or value) of the Armada Common Stock or Ordinary Shares;</w:t>
      </w:r>
    </w:p>
    <w:p>
      <w:pPr>
        <w:spacing w:after="0" w:line="12"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partnerships or other pass-through entities for U.S. federal income tax purposes, or beneficial owners of partnerships or other pass-through entities;</w:t>
      </w:r>
    </w:p>
    <w:p>
      <w:pPr>
        <w:spacing w:after="0" w:line="9"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holding Ordinary Shares or Warrants as part of a straddle, hedging or conversion transaction, constructive sale, or other arrangement involving more than one position;</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required to accelerate the recognition of any item of gross income with respect to Ordinary Shares or Warrants as a result of such income being recognized on an applicable financial statement;</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whose functional currency is not the U.S. dollar;</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that received Ordinary Shares or Warrants as compensation for services; or</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controlled foreign corporations or passive foreign investment companies.</w:t>
      </w:r>
    </w:p>
    <w:p>
      <w:pPr>
        <w:spacing w:after="0" w:line="194"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This discussion is based on the Code, its legislative history, existing and proposed Treasury regulations promulgated under the Code (the “</w:t>
      </w:r>
      <w:r>
        <w:rPr>
          <w:rFonts w:ascii="Times New Roman" w:cs="Times New Roman" w:eastAsia="Times New Roman" w:hAnsi="Times New Roman"/>
          <w:sz w:val="18"/>
          <w:szCs w:val="18"/>
          <w:b w:val="1"/>
          <w:bCs w:val="1"/>
          <w:i w:val="1"/>
          <w:iCs w:val="1"/>
          <w:color w:val="auto"/>
        </w:rPr>
        <w:t>Treasury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Regulations</w:t>
      </w:r>
      <w:r>
        <w:rPr>
          <w:rFonts w:ascii="Times New Roman" w:cs="Times New Roman" w:eastAsia="Times New Roman" w:hAnsi="Times New Roman"/>
          <w:sz w:val="18"/>
          <w:szCs w:val="18"/>
          <w:color w:val="auto"/>
        </w:rPr>
        <w:t>”), published rulings by the IRS and court decisions, all as of the date hereof. These laws are subject to change, possibly on a retroactive basis.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discussion is necessarily general and does not address all aspects of U.S. federal income taxation, including the effect of the U.S. federal alternative minimum tax, or U.S. federal estate and gift tax, or any state, local or non-U.S. tax laws to a holder of Ordinary Shares or Warrants. We have not and do not intend to seek any rulings from the IRS regarding the Business Combination. Additionally, we have not sought, and will not seek, an opinion of counsel, and the completion of the Business Combination is not conditioned on the receipt of an IRS ruling or opinion of counsel. There is no assurance that the IRS will not take positions concerning the tax consequences of the Business Combination that are different from those discussed below, or that any such different positions would not be sustained by a court.</w:t>
      </w:r>
    </w:p>
    <w:p>
      <w:pPr>
        <w:spacing w:after="0" w:line="189"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8"/>
          <w:szCs w:val="18"/>
          <w:color w:val="auto"/>
        </w:rPr>
        <w:t>Except as specifically provided, the discussion below applies only to U.S. holders. For purposes of this discussion, a U.S. holder means a beneficial owner of Ordinary Shares or Warrants that is, for U.S. federal income tax purposes:</w:t>
      </w:r>
    </w:p>
    <w:p>
      <w:pPr>
        <w:ind w:left="760" w:hanging="378"/>
        <w:spacing w:after="0" w:line="233" w:lineRule="auto"/>
        <w:tabs>
          <w:tab w:leader="none" w:pos="7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2"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19" w:name="page120"/>
    <w:bookmarkEnd w:id="119"/>
    <w:p>
      <w:pPr>
        <w:ind w:left="760" w:hanging="378"/>
        <w:spacing w:after="0"/>
        <w:tabs>
          <w:tab w:leader="none" w:pos="7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1" w:lineRule="exact"/>
        <w:rPr>
          <w:rFonts w:ascii="Times New Roman" w:cs="Times New Roman" w:eastAsia="Times New Roman" w:hAnsi="Times New Roman"/>
          <w:sz w:val="22"/>
          <w:szCs w:val="22"/>
          <w:color w:val="auto"/>
        </w:rPr>
      </w:pPr>
    </w:p>
    <w:p>
      <w:pPr>
        <w:jc w:val="both"/>
        <w:ind w:left="760" w:hanging="378"/>
        <w:spacing w:after="0" w:line="238" w:lineRule="auto"/>
        <w:tabs>
          <w:tab w:leader="none" w:pos="7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199"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Holders who are not U.S. holders should consult with their own tax advisors regarding the U.S. federal income tax consequences of holding Rezolve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HOLDERS OF ORDINARY SHARES AND WARRANTS SHOULD CONSULT WITH THEIR OWN TAX ADVISORS REGARDING THE TAX CONSEQUENCES TO THEM OF THE OWNERSHIP AND DISPOSITION OF ORDINARY SHARES AND WARRANTS, INCLUDING THE EFFECTS OF U.S. FEDERAL, STATE, AND LOCAL AND NON-U.S. TAX 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Ordinary Shares</w:t>
      </w:r>
    </w:p>
    <w:p>
      <w:pPr>
        <w:spacing w:after="0" w:line="119"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the gross amount of any distribution on Ordinary Shares that is made out of Rezolve’s current or accumulated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Rezolve’s current and accumulated earnings and profits (as determined under U.S. federal income tax principles), such excess amount will be treated first as a non-taxable return of capital to the extent of the U.S. holder’s tax basis in its Ordinary Shares, and thereafter as capital gain recognized on a sale or exchange.</w:t>
      </w:r>
    </w:p>
    <w:p>
      <w:pPr>
        <w:spacing w:after="0" w:line="183" w:lineRule="exact"/>
        <w:rPr>
          <w:sz w:val="20"/>
          <w:szCs w:val="20"/>
          <w:color w:val="auto"/>
        </w:rPr>
      </w:pPr>
    </w:p>
    <w:p>
      <w:pPr>
        <w:jc w:val="both"/>
        <w:ind w:firstLine="576"/>
        <w:spacing w:after="0" w:line="252"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dividends received by non-corporate U.S. holders (including individuals) from a “qualified foreign corporation”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eligible for reduced rates of taxation, provided that certain holding period requirements and other conditions are satisfied. For these purposes, a non-U.S. corporation will be treated as a qualified foreign corporation if it is eligible for the benefits of a comprehensive income tax treaty with the United States that meets certain requirements. There is currently an income tax treaty between the United States and the United Kingdom. Notwithstanding, there can be no assurances that Rezolve will be eligible for benefits of an applicable comprehensive income tax treaty with the United States. A non-U.S. corporation is also treated as a qualified foreign corporation with respect to dividends it pays on shares that are readily tradable on an established securities market in the United States. U.S. Treasury guidance indicates that shares listed on Nasdaq (which Ordinary Shares are expected to be) will be considered readily tradable on an established securities market in the United States. There can be no assurance that Ordinary Shares will be considered readily tradable on an established securities market in future years. Non-corporate U.S. holders that do not meet a minimum holding period requirement during which they are not protected from the risk of loss or that elect to treat the dividend income as “investment income” pursuant to Section 163(d)(4) of the Code (dealing with the deduction for investment interest expense) will not be eligible for the reduced rates of taxation regardless of Rezolve’s status as a qualified foreign corporation. In addition, the rate reduction will not apply to dividends if the recipient of a dividend is obligated to make related payments with respect to the positions in substantially similar or related property. This disallowance applies even if the minimum holding period has been met. Rezolve will not constitute a qualified foreign corporation for purposes of these rules if it is a passive foreign investment company for the taxable year in which it pays a dividend or for the preceding taxable year. See the section entitled “</w:t>
      </w:r>
      <w:r>
        <w:rPr>
          <w:rFonts w:ascii="Times New Roman" w:cs="Times New Roman" w:eastAsia="Times New Roman" w:hAnsi="Times New Roman"/>
          <w:sz w:val="18"/>
          <w:szCs w:val="18"/>
          <w:i w:val="1"/>
          <w:iCs w:val="1"/>
          <w:color w:val="auto"/>
        </w:rPr>
        <w:t>Material Tax Considerations - Material U.S. Federal Income Tax Considerations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Subject to certain conditions and limitations, withholding taxes, if any, on dividends paid by Rezolve may be treated as foreign taxes eligible for credit against a U.S. holder’s U.S. federal income tax liability under the U.S. foreign tax credit rules. For purposes of calculating the U.S. foreign tax credit, dividends paid on Ordinary Shares will generally be treated as income from sources outside the United States and will generally constitute passive category income. The rules governing the U.S. foreign tax credit are complex. U.S. holders should consult their own tax advisors regarding the availability of the U.S. foreign tax credit under particular circumstances.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Other Taxable Disposition of Ordinary Shares and Warrants</w:t>
      </w:r>
    </w:p>
    <w:p>
      <w:pPr>
        <w:spacing w:after="0" w:line="119" w:lineRule="exact"/>
        <w:rPr>
          <w:sz w:val="20"/>
          <w:szCs w:val="20"/>
          <w:color w:val="auto"/>
        </w:rPr>
      </w:pPr>
    </w:p>
    <w:p>
      <w:pPr>
        <w:jc w:val="both"/>
        <w:ind w:firstLine="576"/>
        <w:spacing w:after="0" w:line="257"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a U.S. holder generally will recognize gain or loss on any sale, exchange, redemption or other taxable disposition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or Warrants in an amount equal to the difference between (i) the amount realized on the disposition and (ii) such U.S. holder’s adjusted tax basis in such shares and/or warrants. Any gain or loss recognized by a U.S. holder on a taxable disposition of Ordinary Shares or Warrants generally will be capital gain or loss and will be long-term capital gain or loss if the holder’s holding period in such shares and/or warrants exceeds one year at the time of the disposition. Preferential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t>rates may apply to long-term capital gains of non-corporate U.S. holders (including individuals). The deductibility of capital losses is subject to limitations.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gain or loss recognized by a U.S. holder on the sale or exchange of Ordinary Shares or Warrants generally will be treated as U.S. source gain or loss.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or Lapse of a Warrant</w:t>
      </w:r>
    </w:p>
    <w:p>
      <w:pPr>
        <w:spacing w:after="0" w:line="121"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A U.S. holder generally will not recognize gain or loss upon the acquisition of a Ordinary Share on the exercise of a Warrant for cash. A U.S. holder’s tax basis in a Ordinary Shares received upon exercise of the Warrant generally should be an amount equal to the sum of the U.S. holder’s tax basis in the Warrant exchanged therefor and the exercise price. The U.S. holder’s holding period for a Ordinary Share received upon exercise of the Warrant will begin on the date following the date of exercise (or possibly the date of exercise) of the Warrant and will not include the period during which the U.S. holder held the Warrant. If a Warrant is allowed to lapse unexercised, a U.S. holder generally will recognize a capital loss equal to such holder’s tax basis in the Warrant.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21"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Ordinary Shares for which the Warrant may be exercised or to the exercise price of the Warrant in certain events, as discussed in the section entitled “</w:t>
      </w:r>
      <w:r>
        <w:rPr>
          <w:rFonts w:ascii="Times New Roman" w:cs="Times New Roman" w:eastAsia="Times New Roman" w:hAnsi="Times New Roman"/>
          <w:sz w:val="18"/>
          <w:szCs w:val="18"/>
          <w:i w:val="1"/>
          <w:iCs w:val="1"/>
          <w:color w:val="auto"/>
        </w:rPr>
        <w:t>Description of Rezolve Securities</w:t>
      </w:r>
      <w:r>
        <w:rPr>
          <w:rFonts w:ascii="Times New Roman" w:cs="Times New Roman" w:eastAsia="Times New Roman" w:hAnsi="Times New Roman"/>
          <w:sz w:val="18"/>
          <w:szCs w:val="18"/>
          <w:color w:val="auto"/>
        </w:rPr>
        <w:t>.” An adjustment which has the effect of preventing dilution generally is not taxable. A U.S. holder of a Warrant would, however, be treated as receiving a constructive distribution from Rezolve if, for example, the adjustment increases the holder’s proportionate interest in Rezolve’s assets or earnings and profits (e.g., through an increase in the number of Ordinary Shares that would be obtained upon exercise of such warrant) as a result of a distribution of cash to the holders of the Ordinary Shares which is taxable to the U.S. holders of such shares as described under the section entitled “</w:t>
      </w:r>
      <w:r>
        <w:rPr>
          <w:rFonts w:ascii="Times New Roman" w:cs="Times New Roman" w:eastAsia="Times New Roman" w:hAnsi="Times New Roman"/>
          <w:sz w:val="18"/>
          <w:szCs w:val="18"/>
          <w:i w:val="1"/>
          <w:iCs w:val="1"/>
          <w:color w:val="auto"/>
        </w:rPr>
        <w:t>Material Tax Considerations - 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 Distributions on Ordinary Shares.</w:t>
      </w:r>
      <w:r>
        <w:rPr>
          <w:rFonts w:ascii="Times New Roman" w:cs="Times New Roman" w:eastAsia="Times New Roman" w:hAnsi="Times New Roman"/>
          <w:sz w:val="18"/>
          <w:szCs w:val="18"/>
          <w:color w:val="auto"/>
        </w:rPr>
        <w:t>” Such constructive distribution would be subject to tax as described under that section in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as if the U.S. holder of such warrant received a cash distribution from Rezolve equal to the fair market value of such increased interest. The rules regarding constructive distributions are complex. U.S. holders should consult their own tax advisors regarding the application of the rules to them in light of their own circumstances.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19"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The treatment of U.S. holders of the Ordinary Shares could be materially different from that described above if Rezolve is treated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passive foreign investment company, or PFIC, for U.S. federal income tax purposes. A PFIC is any foreign corporation with respect to which either: (i) 75% or more of the gross income for a taxable year constitutes passive income for purposes of the PFIC rules, or (ii) 50% or more of such foreign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 Once a foreign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92"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Based on the projected composition of Rezolve’s income and assets, including goodwill, Rezolve does not currently expect to be classified as a PFIC for its taxable year that includes the date of the Business Combination. The tests for determining PFIC status are applied annually after the close of the taxable year, and it is difficult to predict accurately future income and assets relevant to this determination. The fair market value of the assets of Rezolve is expected to depend, in part, upon (a) the market value of the Ordinary Shares, and (b) the composition of the assets and income of Rezolve. Further, because Rezolve may value its goodwill based on the market value of the Ordinary Shares, a decrease in the market value of the Ordinary Shares and/or an increase in cash or other passive assets (including as a result of the Business Combination) would increase the relative percentage of its passive assets. Moreover, any interest income that Rezolve earns on its cash deposits would generally be treated as passive income and increase the risk that Rezolve would be treated as a PFIC. The application of the PFIC rules is subject to uncertainty in several respects and, therefore, no assurances can be provided that Rezolve will not be a PFIC for the taxable year that includes the date of the Business Combination or in a future year.</w:t>
      </w:r>
    </w:p>
    <w:p>
      <w:pPr>
        <w:spacing w:after="0" w:line="188"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If Rezolve is or becomes a PFIC during any year in which a U.S. holder holds Ordinary Shares, there are three separate taxation regimes that could apply to such U.S. holder under the PFIC rules, which are the (i) excess distribution regime (which is the default regime), (ii) mark-to-market regime and (iii) QEF regime. A U.S. holder who holds (actually or constructively) stock in a 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21" w:name="page122"/>
    <w:bookmarkEnd w:id="121"/>
    <w:p>
      <w:pPr>
        <w:jc w:val="both"/>
        <w:spacing w:after="0" w:line="266" w:lineRule="auto"/>
        <w:rPr>
          <w:sz w:val="20"/>
          <w:szCs w:val="20"/>
          <w:color w:val="auto"/>
        </w:rPr>
      </w:pPr>
      <w:r>
        <w:rPr>
          <w:rFonts w:ascii="Times New Roman" w:cs="Times New Roman" w:eastAsia="Times New Roman" w:hAnsi="Times New Roman"/>
          <w:sz w:val="18"/>
          <w:szCs w:val="18"/>
          <w:color w:val="auto"/>
        </w:rPr>
        <w:t>corporation during any year in which such corporation qualifies as a PFIC is subject to U.S. federal income taxation under one of these three regimes. The effect of the PFIC rules on a U.S. holder will depend upon which of these regimes applies to such U.S. holder. However, dividends paid by a PFIC are generally not eligible for the lower rates of taxation applicable to qualified dividend income (“QDI”) under any of the foregoing regimes.</w:t>
      </w:r>
    </w:p>
    <w:p>
      <w:pPr>
        <w:spacing w:after="0" w:line="174"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Excess Distribution Regime. </w:t>
      </w:r>
      <w:r>
        <w:rPr>
          <w:rFonts w:ascii="Times New Roman" w:cs="Times New Roman" w:eastAsia="Times New Roman" w:hAnsi="Times New Roman"/>
          <w:sz w:val="18"/>
          <w:szCs w:val="18"/>
          <w:color w:val="auto"/>
        </w:rPr>
        <w:t>If a U.S. holder does not make a mark-to-market election, as described below, the U.S. holder will be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default “excess distribution regime” under the PFIC rules with respect to (i) any gain realized on a sale or other disposition (including a pledge) of Ordinary Shares, and (ii) any “excess distribution” received on Ordinary Shares (generally, any distributions in excess of 125% of the average of the annual distributions on Ordinary Shares during the preceding three years or the U.S. holder’s holding period, whichever is shorter). Generally, under this excess distribution regime:</w:t>
      </w:r>
    </w:p>
    <w:p>
      <w:pPr>
        <w:ind w:left="760" w:hanging="378"/>
        <w:spacing w:after="0" w:line="235" w:lineRule="auto"/>
        <w:tabs>
          <w:tab w:leader="none" w:pos="7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gain or excess distribution will be allocated ratably over the period during which the U.S. holder held Ordinary Shares;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amount allocated to the current taxable year, will be treated as ordinary income; and</w:t>
      </w:r>
    </w:p>
    <w:p>
      <w:pPr>
        <w:spacing w:after="0" w:line="12"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98"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The tax liability for amounts allocated to years prior to the year of disposition or excess distribution will be payable generally without regard to offsets from deductions, losses and expenses. In addition, gains (but not losses) realized on the sale of Ordinary Shares cannot be treated as capital gains, even if you hold the shares as capital assets. Further, no portion of any distribution will be treated as QDI.</w:t>
      </w:r>
    </w:p>
    <w:p>
      <w:pPr>
        <w:spacing w:after="0" w:line="174" w:lineRule="exact"/>
        <w:rPr>
          <w:sz w:val="20"/>
          <w:szCs w:val="20"/>
          <w:color w:val="auto"/>
        </w:rPr>
      </w:pPr>
    </w:p>
    <w:p>
      <w:pPr>
        <w:jc w:val="both"/>
        <w:ind w:firstLine="576"/>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Mark-to-Market Regime. </w:t>
      </w:r>
      <w:r>
        <w:rPr>
          <w:rFonts w:ascii="Times New Roman" w:cs="Times New Roman" w:eastAsia="Times New Roman" w:hAnsi="Times New Roman"/>
          <w:sz w:val="18"/>
          <w:szCs w:val="18"/>
          <w:color w:val="auto"/>
        </w:rPr>
        <w:t>Alternatively, a U.S. holder may make an election to mark marketable shares in a PFIC to market on an annual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PFIC shares generally are marketable if: (i) they are “regularly traded” on a national securities exchange that is registered with the Securities and Exchange Commission or on the national market system established under Section 11A of the Securities Exchange Act of 1934; or (ii) they are “regularly traded” on any exchange or market that the Treasury Department determines to have rules sufficient to ensure that the market price accurately represents the fair market value of the stock. It is expected that Ordinary Shares, which are expected to be listed on Nasdaq, will qualify as marketable shares for the PFIC rules purposes, but there can be no assurance that Ordinary Shares will be “regularly traded” for purposes of these rules. Pursuant to such an election, a U.S. holder would include in each year as ordinary income the excess, if any, of the fair market value of such stock over its adjusted basis at the end of the taxable year. A U.S. holder may treat as ordinary loss any excess of the adjusted basis of the stock over its fair market value at the end of the year, but only to the extent of the net amount previously included in income as a result of the election in prior years. A U.S. holder’s adjusted tax basis in the PFIC shares will be increased to reflect any amounts included in income, and decreased to reflect any amounts deducted, as a result of a mark-to-market election. Any gain recognized on a disposition of Ordinary Shares will be treated as ordinary income and any loss will be treated as ordinary loss (but only to the extent of the net amount of income previously included as a result of a mark-to-market election). A mark-to-market election only applies for the taxable year in which the election was made, and for each subsequent taxable year, unless the PFIC shares ceased to be marketable or the IRS consents to the revocation of the election. U.S. holders should also be aware that the Code and the Treasury Regulations do not allow a mark-to-market election with respect to stock of lower-tier PFICs that is non-marketable. There is also no provision in the Code, Treasury Regulations or other published authority that specifically provides that a mark-to-market election with respect to the stock of a publicly-traded holding company (such as Rezolve) effectively exempts stock of any lower-tier PFICs from the negative tax consequences arising from the general PFIC rules. U.S. holders should consult their own tax advisors to determine whether the mark-to-market tax election is available to them and the consequences resulting from such election. In addition, U.S. holders of Warrants will not be able to make a mark-to-market election with respect to their Warrants.</w:t>
      </w:r>
    </w:p>
    <w:p>
      <w:pPr>
        <w:spacing w:after="0" w:line="191"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QEF Regime. </w:t>
      </w:r>
      <w:r>
        <w:rPr>
          <w:rFonts w:ascii="Times New Roman" w:cs="Times New Roman" w:eastAsia="Times New Roman" w:hAnsi="Times New Roman"/>
          <w:sz w:val="18"/>
          <w:szCs w:val="18"/>
          <w:color w:val="auto"/>
        </w:rPr>
        <w:t>Alternatively, a U.S. holder of a PFIC may avoid the adverse PFIC tax consequences described above in respect of stock of the PFIC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not warrants) by making and maintaining a timely and valid qualified electing fund (“QEF”) election (if eligible to do so) to include in income its pro rata share of the PFIC’s net capital gains (as long-term capital gain) and other earnings and profits (as ordinary income), on a current basis, in each case whether or not distributed, in the first taxable year of the U.S. Holder in which or with which the PFIC’s taxable year ends and each subsequent taxable year. In order to comply with the requirements of a QEF election, a U.S. Holder must receive a PFIC Annual Information Statement from the PFIC. Rezolve does not presently intend to provide a PFIC Annual Information Statement in order for U.S. Holders to make or maintain a QEF election. However, as described above, Rezolve does not currently expect to be classified as a PFIC for the taxable year that includes the Business Combination.</w:t>
      </w:r>
    </w:p>
    <w:p>
      <w:pPr>
        <w:spacing w:after="0" w:line="183" w:lineRule="exact"/>
        <w:rPr>
          <w:sz w:val="20"/>
          <w:szCs w:val="20"/>
          <w:color w:val="auto"/>
        </w:rPr>
      </w:pPr>
    </w:p>
    <w:p>
      <w:pPr>
        <w:jc w:val="both"/>
        <w:ind w:firstLine="57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PFIC Reporting Requirements. </w:t>
      </w:r>
      <w:r>
        <w:rPr>
          <w:rFonts w:ascii="Times New Roman" w:cs="Times New Roman" w:eastAsia="Times New Roman" w:hAnsi="Times New Roman"/>
          <w:sz w:val="18"/>
          <w:szCs w:val="18"/>
          <w:color w:val="auto"/>
        </w:rPr>
        <w:t>A U.S. holder of Ordinary Shares will be required to file an annual report on IRS Form 8621 containing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with respect to its interest in a PFIC as the IRS may require. Failure to file IRS Form 8621 for each applicable taxable year may result in substantial penalties and result in the U.S. holder’s taxable years being open to audit by the IRS until such Forms are properly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Reporting Requirements</w:t>
      </w:r>
    </w:p>
    <w:p>
      <w:pPr>
        <w:spacing w:after="0" w:line="121"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Certain U.S. holders holding specified foreign financial assets with an aggregate value in excess of the applicable dollar thresholds are required to report information to the IRS relating to Ordinary Shares, subject to certain exceptions (including an exception for Ordinary Shares held in accounts maintained by U.S. financial institutions), by attaching a complete IRS Form 8938 to their tax return, for each year in which they hold Ordinary Shares. Substantial penalties apply to any failure to file IRS Form 8938, unless the failure is shown to be due to reasonable cause and not willful neglect. Also, in the event a U.S. holder does not file IRS Form 8938 or fails to report a specified foreign financial asset that is required to be reported, the statute of limitations on the assessment and collection of U.S. federal income taxes of such U.S. holder for the related taxable year may not close before the date which is three years after the date on which the required information is filed. U.S. holders should consult their tax advisors regarding the effect, if any, of these rules on the ownership and disposition of Ordinary Shares.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Information reporting requirements may apply to dividends received by U.S. holders of Ordinary Shares, and the proceeds received on the disposition of Ordinary Shares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of the U.S. holder’s broker) or is otherwise subject to backup withholding. Any redemptions treated as dividend payments with respect to Ordinary Shares and proceeds from the sale, exchange, redemption or other disposition of Ordinary Shares may be subject to information reporting to the IRS and possible U.S. backup withholding. U.S. holders should consult their own tax advisors regarding the application of the U.S. information reporting and backup withholding rules.</w:t>
      </w:r>
    </w:p>
    <w:p>
      <w:pPr>
        <w:spacing w:after="0" w:line="189"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Information returns may be filed with the IRS in connection with, and non-U.S. holders may be subject to backup withholding on amounts received in respect of their Ordinary Shares, unless the non-U.S. holder furnishes to the applicable withholding agent the required certification as to its non-U.S. status, such as by providing a valid IRS Form W-8BEN, IRS Form W-8BEN-E or IRS Form W-8ECI, as applicable, or the non-U.S. holder otherwise establishes an exemption. Dividends paid with respect to Ordinary Shares and proceeds from the sale of other disposition of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w:t>
      </w:r>
    </w:p>
    <w:p>
      <w:pPr>
        <w:spacing w:after="0" w:line="18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the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23" w:name="page124"/>
    <w:bookmarkEnd w:id="123"/>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00" w:lineRule="exact"/>
        <w:rPr>
          <w:sz w:val="20"/>
          <w:szCs w:val="20"/>
          <w:color w:val="auto"/>
        </w:rPr>
      </w:pPr>
    </w:p>
    <w:p>
      <w:pPr>
        <w:spacing w:after="0" w:line="205" w:lineRule="exact"/>
        <w:rPr>
          <w:sz w:val="20"/>
          <w:szCs w:val="20"/>
          <w:color w:val="auto"/>
        </w:rPr>
      </w:pPr>
    </w:p>
    <w:p>
      <w:pPr>
        <w:ind w:right="120" w:firstLine="576"/>
        <w:spacing w:after="0" w:line="258" w:lineRule="auto"/>
        <w:rPr>
          <w:sz w:val="20"/>
          <w:szCs w:val="20"/>
          <w:color w:val="auto"/>
        </w:rPr>
      </w:pPr>
      <w:r>
        <w:rPr>
          <w:rFonts w:ascii="Times New Roman" w:cs="Times New Roman" w:eastAsia="Times New Roman" w:hAnsi="Times New Roman"/>
          <w:sz w:val="18"/>
          <w:szCs w:val="18"/>
          <w:color w:val="auto"/>
        </w:rPr>
        <w:t>We are registering the issuance by us of up to 7,499,994 Ordinary Shares. We are also registering the resale, from time to time, by the Selling Holders or their permitted transferees of up to 156,515,540 Ordinary Shares, consisting of (i) 121,156,424 Ordinary Shares; (ii) 544,982 Ordinary Shares issuable in respect of the Private Warrants; (iii) 19,079,139 Ordinary Shares issuable upon conversion of the Convertible Notes; (iv) 15,207,479 Ordinary Shares issuable pursuant to the advanced subscription agreements; and (v) and 527,516 Ordinary Shares issuable upon the conversion of the Promissory Notes.</w:t>
      </w:r>
    </w:p>
    <w:p>
      <w:pPr>
        <w:spacing w:after="0" w:line="183" w:lineRule="exact"/>
        <w:rPr>
          <w:sz w:val="20"/>
          <w:szCs w:val="20"/>
          <w:color w:val="auto"/>
        </w:rPr>
      </w:pPr>
    </w:p>
    <w:p>
      <w:pPr>
        <w:jc w:val="both"/>
        <w:ind w:right="120" w:firstLine="576"/>
        <w:spacing w:after="0" w:line="261" w:lineRule="auto"/>
        <w:rPr>
          <w:sz w:val="20"/>
          <w:szCs w:val="20"/>
          <w:color w:val="auto"/>
        </w:rPr>
      </w:pPr>
      <w:r>
        <w:rPr>
          <w:rFonts w:ascii="Times New Roman" w:cs="Times New Roman" w:eastAsia="Times New Roman" w:hAnsi="Times New Roman"/>
          <w:sz w:val="18"/>
          <w:szCs w:val="18"/>
          <w:color w:val="auto"/>
        </w:rPr>
        <w:t>The Selling Holders may offer and sell, from time to time, their respective Ordinary Shares or Resolve Warrants covered by this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Holders may offer and sell their securities by one or more of, or a combination of, the following methods:</w:t>
      </w:r>
    </w:p>
    <w:p>
      <w:pPr>
        <w:spacing w:after="0" w:line="207" w:lineRule="exact"/>
        <w:rPr>
          <w:sz w:val="20"/>
          <w:szCs w:val="20"/>
          <w:color w:val="auto"/>
        </w:rPr>
      </w:pPr>
    </w:p>
    <w:p>
      <w:pPr>
        <w:ind w:left="760" w:hanging="378"/>
        <w:spacing w:after="0"/>
        <w:tabs>
          <w:tab w:leader="none" w:pos="7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Nasdaq, in the over-the-counter market or on any other national securities exchange on which our securities are listed or traded;</w:t>
      </w:r>
    </w:p>
    <w:p>
      <w:pPr>
        <w:spacing w:after="0" w:line="252"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Holder pursuant to Rule 10b5-l under the Exchange Act that are in place at the time of an offering pursuant to this prospectus or any applicable prospectus supplement hereto that provide for periodic sales of their securities on the basis of parameters described in such trading plans;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in privately negotiated transactions;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underwritten offerings;</w:t>
      </w:r>
    </w:p>
    <w:p>
      <w:pPr>
        <w:spacing w:after="0" w:line="252"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block trades in which a broker-dealer will attempt to sell the offered securities as agent but may purchase and resell a portion of the block as principal to facilitate the transaction;</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 pursuant to this prospectus;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ordinary brokerage transactions and transactions in which the broker solicits purchasers;</w:t>
      </w:r>
    </w:p>
    <w:p>
      <w:pPr>
        <w:spacing w:after="0" w:line="252"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(including put or call options) or other hedging transactions, whether the options are listed on an options exchange or otherwise;</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sales entered into after the effective date of the registration statement of which this prospectus is a part;</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agreements with broker-dealers to sell a specified number of the securities at a stipulated price per share or warrant;</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or through market makers or into an existing market for the securities; or</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The Selling Holders may sell the securities at prices then prevailing, related to the then prevailing market price or at negotiated prices. The offering price of the securities from time to time will be determined by the Selling Holders and, at the time of the determination, may be higher or lower than the market price of our securities on Nasdaq or any other exchange or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4" w:name="page125"/>
    <w:bookmarkEnd w:id="124"/>
    <w:p>
      <w:pPr>
        <w:ind w:right="20" w:firstLine="576"/>
        <w:spacing w:after="0" w:line="261" w:lineRule="auto"/>
        <w:rPr>
          <w:sz w:val="20"/>
          <w:szCs w:val="20"/>
          <w:color w:val="auto"/>
        </w:rPr>
      </w:pPr>
      <w:r>
        <w:rPr>
          <w:rFonts w:ascii="Times New Roman" w:cs="Times New Roman" w:eastAsia="Times New Roman" w:hAnsi="Times New Roman"/>
          <w:sz w:val="18"/>
          <w:szCs w:val="18"/>
          <w:color w:val="auto"/>
        </w:rPr>
        <w:t>If a donee, pledgee, transferee, or other successor-in-interest intends to sell our securities in connection with a foreclosure or otherwise, we will, to the extent required, promptly file a prospectus supplement or, if necessary, a post-effective amendment to the registration statement that includes this prospectus, to name specifically such person as a Selling Holder. The Selling Holders also may transfer our securities in other circumstances, in which case the transferees, pledgees or other successors in interest will be the selling beneficial owners for purposes of this prospectus.</w:t>
      </w:r>
    </w:p>
    <w:p>
      <w:pPr>
        <w:spacing w:after="0" w:line="180" w:lineRule="exact"/>
        <w:rPr>
          <w:sz w:val="20"/>
          <w:szCs w:val="20"/>
          <w:color w:val="auto"/>
        </w:rPr>
      </w:pPr>
    </w:p>
    <w:p>
      <w:pPr>
        <w:ind w:right="60" w:firstLine="576"/>
        <w:spacing w:after="0" w:line="253" w:lineRule="auto"/>
        <w:rPr>
          <w:sz w:val="20"/>
          <w:szCs w:val="20"/>
          <w:color w:val="auto"/>
        </w:rPr>
      </w:pPr>
      <w:r>
        <w:rPr>
          <w:rFonts w:ascii="Times New Roman" w:cs="Times New Roman" w:eastAsia="Times New Roman" w:hAnsi="Times New Roman"/>
          <w:sz w:val="18"/>
          <w:szCs w:val="18"/>
          <w:color w:val="auto"/>
        </w:rPr>
        <w:t>The Selling Holders may also sell our securities short and deliver the securities to close out their short positions or loan or pledge the securities to broker-dealers that in turn may sell the securities. The shares may be sold directly or through broker-dealers acting as principal or agent or pursuant to a distribution by one or more underwriters on a firm commitment or best-efforts basis. The Selling Holders may also enter into hedging transactions with broker-dealers. In connection with such transactions, broker-dealers of other financial institutions may engage in short sales of our securities in the course of hedging the positions they assume with the Selling Holders. The Selling 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spacing w:after="0" w:line="187" w:lineRule="exact"/>
        <w:rPr>
          <w:sz w:val="20"/>
          <w:szCs w:val="20"/>
          <w:color w:val="auto"/>
        </w:rPr>
      </w:pPr>
    </w:p>
    <w:p>
      <w:pPr>
        <w:ind w:right="280" w:firstLine="576"/>
        <w:spacing w:after="0" w:line="282" w:lineRule="auto"/>
        <w:rPr>
          <w:sz w:val="20"/>
          <w:szCs w:val="20"/>
          <w:color w:val="auto"/>
        </w:rPr>
      </w:pPr>
      <w:r>
        <w:rPr>
          <w:rFonts w:ascii="Times New Roman" w:cs="Times New Roman" w:eastAsia="Times New Roman" w:hAnsi="Times New Roman"/>
          <w:sz w:val="18"/>
          <w:szCs w:val="18"/>
          <w:color w:val="auto"/>
        </w:rPr>
        <w:t>The Selling Holders party to the Investor Rights Agreement have agreed, and the other Selling Holders may agree, to indemnify an underwriter, broker-dealer or agent against certain liabilities related to the sale of the securities, including liabilities under the Securities Act.</w:t>
      </w:r>
    </w:p>
    <w:p>
      <w:pPr>
        <w:spacing w:after="0" w:line="162"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ind w:right="160" w:firstLine="576"/>
        <w:spacing w:after="0" w:line="256" w:lineRule="auto"/>
        <w:rPr>
          <w:sz w:val="20"/>
          <w:szCs w:val="20"/>
          <w:color w:val="auto"/>
        </w:rPr>
      </w:pPr>
      <w:r>
        <w:rPr>
          <w:rFonts w:ascii="Times New Roman" w:cs="Times New Roman" w:eastAsia="Times New Roman" w:hAnsi="Times New Roman"/>
          <w:sz w:val="18"/>
          <w:szCs w:val="18"/>
          <w:color w:val="auto"/>
        </w:rPr>
        <w:t>The Selling Holders are subject to the applicable provisions of the Exchange Act and the rules and regulations under the Exchange Act, including Regulation M. This regulation may limit the timing of purchases and sales of any of the securities offered in this prospectus by the Selling Holders. The anti 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187"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or, if necessary, a post-effective amendment to the registration statement that includes this prospectus,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0"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To the extent required, this prospectus may be amended and/or supplemented from time to time to describe a specific plan of distribution. Instead of selling the securities under this prospectus, the Selling Holders may sell the securities in compliance with the provisions of Rule 144 under the Securities Act, if available, or pursuant to other available exemptions from the registration requirements of the Securities Act.</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ind w:right="240" w:firstLine="576"/>
        <w:spacing w:after="0" w:line="266" w:lineRule="auto"/>
        <w:rPr>
          <w:sz w:val="20"/>
          <w:szCs w:val="20"/>
          <w:color w:val="auto"/>
        </w:rPr>
      </w:pPr>
      <w:r>
        <w:rPr>
          <w:rFonts w:ascii="Times New Roman" w:cs="Times New Roman" w:eastAsia="Times New Roman" w:hAnsi="Times New Roman"/>
          <w:sz w:val="18"/>
          <w:szCs w:val="18"/>
          <w:color w:val="auto"/>
        </w:rPr>
        <w:t>Certain of our shareholders are subject to the transfer restrictions in the Investor Rights Agreement, which is incorporated by reference herein as Exhibit 4.7 to the registration statement of which this prospectus is a part, and the Lock-In Agreement, the form of which is incorporated by reference herein as Exhibits 4.8 to the registration statement of which this prospectus is a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25" w:name="page126"/>
    <w:bookmarkEnd w:id="125"/>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 RELATED TO THIS OFFERING</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sets forth the fees and expenses payable by us in connection with the sale and distribution of the securities being registered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20" w:type="dxa"/>
            <w:vAlign w:val="bottom"/>
          </w:tcPr>
          <w:p>
            <w:pPr>
              <w:spacing w:after="0"/>
              <w:rPr>
                <w:sz w:val="15"/>
                <w:szCs w:val="15"/>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9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224,719.14</w:t>
            </w:r>
          </w:p>
        </w:tc>
        <w:tc>
          <w:tcPr>
            <w:tcW w:w="220" w:type="dxa"/>
            <w:vAlign w:val="bottom"/>
            <w:shd w:val="clear" w:color="auto" w:fill="CFF0FC"/>
          </w:tcPr>
          <w:p>
            <w:pPr>
              <w:spacing w:after="0"/>
              <w:rPr>
                <w:sz w:val="18"/>
                <w:szCs w:val="18"/>
                <w:color w:val="auto"/>
              </w:rPr>
            </w:pPr>
          </w:p>
        </w:tc>
      </w:tr>
      <w:tr>
        <w:trPr>
          <w:trHeight w:val="198"/>
        </w:trPr>
        <w:tc>
          <w:tcPr>
            <w:tcW w:w="908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Legal fees and expenses Accounting fees and expenses</w:t>
            </w: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Transfer agent fees and expenses Miscellaneous expenses</w:t>
            </w:r>
          </w:p>
        </w:tc>
        <w:tc>
          <w:tcPr>
            <w:tcW w:w="4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16"/>
        </w:trPr>
        <w:tc>
          <w:tcPr>
            <w:tcW w:w="90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ind w:left="140" w:hanging="132"/>
        <w:spacing w:after="0"/>
        <w:tabs>
          <w:tab w:leader="none" w:pos="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180" w:lineRule="exact"/>
        <w:rPr>
          <w:rFonts w:ascii="Times New Roman" w:cs="Times New Roman" w:eastAsia="Times New Roman" w:hAnsi="Times New Roman"/>
          <w:sz w:val="18"/>
          <w:szCs w:val="18"/>
          <w:color w:val="auto"/>
        </w:rPr>
      </w:pPr>
    </w:p>
    <w:p>
      <w:pPr>
        <w:ind w:left="4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DLA Piper LLP, New York, New York, and Taylor Wessing LLP, have passed upon the validity of the securities of Rezolve AI plc (formerly Rezolve AI Limited) offered by this prospectus and certain other legal matters related to this prospectus.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20" w:firstLine="576"/>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Rezolve included in this prospectus and elsewhere in the registration statement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176"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GroupBy included in this prospectus and elsewhere in the registration statement have been audited by MNP, LLP an independent registered public accounting firm, as set forth in their report thereon, and are included in reliance on such report given upon the authority of such firm as experts in accounting and auditing.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189"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83"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80"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F-1, including exhibits, under the Securities Act of 1933, as amended,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82" w:lineRule="auto"/>
        <w:rPr>
          <w:sz w:val="20"/>
          <w:szCs w:val="20"/>
          <w:color w:val="auto"/>
        </w:rPr>
      </w:pPr>
      <w:r>
        <w:rPr>
          <w:rFonts w:ascii="Times New Roman" w:cs="Times New Roman" w:eastAsia="Times New Roman" w:hAnsi="Times New Roman"/>
          <w:sz w:val="18"/>
          <w:szCs w:val="18"/>
          <w:color w:val="auto"/>
        </w:rPr>
        <w:t>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27" w:name="page128"/>
    <w:bookmarkEnd w:id="127"/>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1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20" w:type="dxa"/>
            <w:vAlign w:val="bottom"/>
            <w:gridSpan w:val="14"/>
          </w:tcPr>
          <w:p>
            <w:pPr>
              <w:jc w:val="center"/>
              <w:ind w:right="1520"/>
              <w:spacing w:after="0"/>
              <w:rPr>
                <w:sz w:val="20"/>
                <w:szCs w:val="20"/>
                <w:color w:val="auto"/>
              </w:rPr>
            </w:pPr>
            <w:r>
              <w:rPr>
                <w:rFonts w:ascii="Times New Roman" w:cs="Times New Roman" w:eastAsia="Times New Roman" w:hAnsi="Times New Roman"/>
                <w:sz w:val="18"/>
                <w:szCs w:val="18"/>
                <w:color w:val="auto"/>
                <w:w w:val="99"/>
              </w:rPr>
              <w:t>As of and for the years ended December 31, 2024 and 2023</w:t>
            </w:r>
          </w:p>
        </w:tc>
        <w:tc>
          <w:tcPr>
            <w:tcW w:w="1900" w:type="dxa"/>
            <w:vAlign w:val="bottom"/>
          </w:tcPr>
          <w:p>
            <w:pPr>
              <w:spacing w:after="0"/>
              <w:rPr>
                <w:sz w:val="20"/>
                <w:szCs w:val="20"/>
                <w:color w:val="auto"/>
              </w:rPr>
            </w:pPr>
          </w:p>
        </w:tc>
      </w:tr>
      <w:tr>
        <w:trPr>
          <w:trHeight w:val="589"/>
        </w:trPr>
        <w:tc>
          <w:tcPr>
            <w:tcW w:w="5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firm ID 606)</w:t>
            </w:r>
          </w:p>
        </w:tc>
        <w:tc>
          <w:tcPr>
            <w:tcW w:w="3440" w:type="dxa"/>
            <w:vAlign w:val="bottom"/>
            <w:gridSpan w:val="5"/>
          </w:tcPr>
          <w:p>
            <w:pPr>
              <w:spacing w:after="0"/>
              <w:rPr>
                <w:sz w:val="24"/>
                <w:szCs w:val="24"/>
                <w:color w:val="auto"/>
              </w:rPr>
            </w:pPr>
          </w:p>
        </w:tc>
        <w:tc>
          <w:tcPr>
            <w:tcW w:w="190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46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20" w:type="dxa"/>
            <w:vAlign w:val="bottom"/>
            <w:tcBorders>
              <w:bottom w:val="single" w:sz="8" w:color="0000EE"/>
            </w:tcBorders>
          </w:tcPr>
          <w:p>
            <w:pPr>
              <w:spacing w:after="0"/>
              <w:rPr>
                <w:sz w:val="17"/>
                <w:szCs w:val="17"/>
                <w:color w:val="auto"/>
              </w:rPr>
            </w:pPr>
          </w:p>
        </w:tc>
        <w:tc>
          <w:tcPr>
            <w:tcW w:w="4660" w:type="dxa"/>
            <w:vAlign w:val="bottom"/>
            <w:gridSpan w:val="8"/>
          </w:tcPr>
          <w:p>
            <w:pPr>
              <w:spacing w:after="0"/>
              <w:rPr>
                <w:sz w:val="17"/>
                <w:szCs w:val="17"/>
                <w:color w:val="auto"/>
              </w:rPr>
            </w:pP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and 2023</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Borders>
              <w:right w:val="single" w:sz="8" w:color="0000EE"/>
            </w:tcBorders>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 of Comprehensive Loss for the Years ended December 31, 2024 and 2023</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0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Deficit for the Years ended December 31, 2024 and 2023</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2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0" w:type="dxa"/>
            <w:vAlign w:val="bottom"/>
            <w:tcBorders>
              <w:right w:val="single" w:sz="8" w:color="0000EE"/>
            </w:tcBorders>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76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and December 31, 2023</w:t>
            </w:r>
          </w:p>
        </w:tc>
        <w:tc>
          <w:tcPr>
            <w:tcW w:w="1740" w:type="dxa"/>
            <w:vAlign w:val="bottom"/>
          </w:tcPr>
          <w:p>
            <w:pPr>
              <w:spacing w:after="0"/>
              <w:rPr>
                <w:sz w:val="17"/>
                <w:szCs w:val="17"/>
                <w:color w:val="auto"/>
              </w:rPr>
            </w:pP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F-8</w:t>
            </w:r>
          </w:p>
        </w:tc>
      </w:tr>
      <w:tr>
        <w:trPr>
          <w:trHeight w:val="862"/>
        </w:trPr>
        <w:tc>
          <w:tcPr>
            <w:tcW w:w="2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gridSpan w:val="8"/>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GROUPBY INC.</w:t>
            </w:r>
          </w:p>
        </w:tc>
        <w:tc>
          <w:tcPr>
            <w:tcW w:w="1900" w:type="dxa"/>
            <w:vAlign w:val="bottom"/>
          </w:tcPr>
          <w:p>
            <w:pPr>
              <w:spacing w:after="0"/>
              <w:rPr>
                <w:sz w:val="24"/>
                <w:szCs w:val="24"/>
                <w:color w:val="auto"/>
              </w:rPr>
            </w:pPr>
          </w:p>
        </w:tc>
      </w:tr>
      <w:tr>
        <w:trPr>
          <w:trHeight w:val="220"/>
        </w:trPr>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40" w:type="dxa"/>
            <w:vAlign w:val="bottom"/>
            <w:gridSpan w:val="12"/>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Combined Consolidated Financial Statements</w:t>
            </w:r>
          </w:p>
        </w:tc>
        <w:tc>
          <w:tcPr>
            <w:tcW w:w="1900" w:type="dxa"/>
            <w:vAlign w:val="bottom"/>
          </w:tcPr>
          <w:p>
            <w:pPr>
              <w:spacing w:after="0"/>
              <w:rPr>
                <w:sz w:val="19"/>
                <w:szCs w:val="19"/>
                <w:color w:val="auto"/>
              </w:rPr>
            </w:pPr>
          </w:p>
        </w:tc>
      </w:tr>
      <w:tr>
        <w:trPr>
          <w:trHeight w:val="234"/>
        </w:trPr>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20" w:type="dxa"/>
            <w:vAlign w:val="bottom"/>
            <w:gridSpan w:val="14"/>
          </w:tcPr>
          <w:p>
            <w:pPr>
              <w:jc w:val="center"/>
              <w:ind w:right="1520"/>
              <w:spacing w:after="0"/>
              <w:rPr>
                <w:sz w:val="20"/>
                <w:szCs w:val="20"/>
                <w:color w:val="auto"/>
              </w:rPr>
            </w:pPr>
            <w:r>
              <w:rPr>
                <w:rFonts w:ascii="Times New Roman" w:cs="Times New Roman" w:eastAsia="Times New Roman" w:hAnsi="Times New Roman"/>
                <w:sz w:val="18"/>
                <w:szCs w:val="18"/>
                <w:color w:val="auto"/>
                <w:w w:val="99"/>
              </w:rPr>
              <w:t>As of and for the years ended December 31, 2024 and 2023</w:t>
            </w:r>
          </w:p>
        </w:tc>
        <w:tc>
          <w:tcPr>
            <w:tcW w:w="1900" w:type="dxa"/>
            <w:vAlign w:val="bottom"/>
          </w:tcPr>
          <w:p>
            <w:pPr>
              <w:spacing w:after="0"/>
              <w:rPr>
                <w:sz w:val="20"/>
                <w:szCs w:val="20"/>
                <w:color w:val="auto"/>
              </w:rPr>
            </w:pPr>
          </w:p>
        </w:tc>
      </w:tr>
      <w:tr>
        <w:trPr>
          <w:trHeight w:val="392"/>
        </w:trPr>
        <w:tc>
          <w:tcPr>
            <w:tcW w:w="21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Independent Auditor's Report</w:t>
            </w:r>
          </w:p>
        </w:tc>
        <w:tc>
          <w:tcPr>
            <w:tcW w:w="20" w:type="dxa"/>
            <w:vAlign w:val="bottom"/>
            <w:tcBorders>
              <w:bottom w:val="single" w:sz="8" w:color="0000EE"/>
            </w:tcBorders>
          </w:tcPr>
          <w:p>
            <w:pPr>
              <w:spacing w:after="0"/>
              <w:rPr>
                <w:sz w:val="24"/>
                <w:szCs w:val="24"/>
                <w:color w:val="auto"/>
              </w:rPr>
            </w:pPr>
          </w:p>
        </w:tc>
        <w:tc>
          <w:tcPr>
            <w:tcW w:w="7180" w:type="dxa"/>
            <w:vAlign w:val="bottom"/>
            <w:gridSpan w:val="15"/>
          </w:tcPr>
          <w:p>
            <w:pPr>
              <w:spacing w:after="0"/>
              <w:rPr>
                <w:sz w:val="24"/>
                <w:szCs w:val="24"/>
                <w:color w:val="auto"/>
              </w:rPr>
            </w:pPr>
          </w:p>
        </w:tc>
        <w:tc>
          <w:tcPr>
            <w:tcW w:w="190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3"/>
              </w:rPr>
              <w:t>F-41</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Combined Consolidated Statement of Financial Position</w:t>
            </w: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F-43</w:t>
            </w:r>
          </w:p>
        </w:tc>
      </w:tr>
      <w:tr>
        <w:trPr>
          <w:trHeight w:val="20"/>
        </w:trPr>
        <w:tc>
          <w:tcPr>
            <w:tcW w:w="36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50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Combined Consolidated Statements of Loss and Comprehensive Loss</w:t>
            </w:r>
          </w:p>
        </w:tc>
        <w:tc>
          <w:tcPr>
            <w:tcW w:w="4300" w:type="dxa"/>
            <w:vAlign w:val="bottom"/>
            <w:gridSpan w:val="7"/>
          </w:tcPr>
          <w:p>
            <w:pPr>
              <w:spacing w:after="0"/>
              <w:rPr>
                <w:sz w:val="17"/>
                <w:szCs w:val="17"/>
                <w:color w:val="auto"/>
              </w:rPr>
            </w:pP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F-44</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Combined Consolidated Statements of Changes in Stockholders’ Deficit</w:t>
            </w: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F-45</w:t>
            </w:r>
          </w:p>
        </w:tc>
      </w:tr>
      <w:tr>
        <w:trPr>
          <w:trHeight w:val="196"/>
        </w:trPr>
        <w:tc>
          <w:tcPr>
            <w:tcW w:w="368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Combined Consolidated Statements of Cash Flows</w:t>
            </w:r>
          </w:p>
        </w:tc>
        <w:tc>
          <w:tcPr>
            <w:tcW w:w="20" w:type="dxa"/>
            <w:vAlign w:val="bottom"/>
            <w:tcBorders>
              <w:top w:val="single" w:sz="8" w:color="0000FF"/>
              <w:bottom w:val="single" w:sz="8" w:color="0000EE"/>
            </w:tcBorders>
          </w:tcPr>
          <w:p>
            <w:pPr>
              <w:spacing w:after="0"/>
              <w:rPr>
                <w:sz w:val="17"/>
                <w:szCs w:val="17"/>
                <w:color w:val="auto"/>
              </w:rPr>
            </w:pPr>
          </w:p>
        </w:tc>
        <w:tc>
          <w:tcPr>
            <w:tcW w:w="1520" w:type="dxa"/>
            <w:vAlign w:val="bottom"/>
            <w:tcBorders>
              <w:top w:val="single" w:sz="8" w:color="0000FF"/>
            </w:tcBorders>
            <w:gridSpan w:val="6"/>
          </w:tcPr>
          <w:p>
            <w:pPr>
              <w:spacing w:after="0"/>
              <w:rPr>
                <w:sz w:val="17"/>
                <w:szCs w:val="17"/>
                <w:color w:val="auto"/>
              </w:rPr>
            </w:pPr>
          </w:p>
        </w:tc>
        <w:tc>
          <w:tcPr>
            <w:tcW w:w="4120" w:type="dxa"/>
            <w:vAlign w:val="bottom"/>
            <w:gridSpan w:val="6"/>
          </w:tcPr>
          <w:p>
            <w:pPr>
              <w:spacing w:after="0"/>
              <w:rPr>
                <w:sz w:val="17"/>
                <w:szCs w:val="17"/>
                <w:color w:val="auto"/>
              </w:rPr>
            </w:pP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F-46</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Combined Consolidated Financial Statements</w:t>
            </w: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F-47</w:t>
            </w:r>
          </w:p>
        </w:tc>
      </w:tr>
      <w:tr>
        <w:trPr>
          <w:trHeight w:val="885"/>
        </w:trPr>
        <w:tc>
          <w:tcPr>
            <w:tcW w:w="2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20" w:type="dxa"/>
            <w:vAlign w:val="bottom"/>
            <w:gridSpan w:val="6"/>
          </w:tcPr>
          <w:p>
            <w:pPr>
              <w:jc w:val="center"/>
              <w:ind w:right="3320"/>
              <w:spacing w:after="0"/>
              <w:rPr>
                <w:sz w:val="20"/>
                <w:szCs w:val="20"/>
                <w:color w:val="auto"/>
              </w:rPr>
            </w:pPr>
            <w:r>
              <w:rPr>
                <w:rFonts w:ascii="Times New Roman" w:cs="Times New Roman" w:eastAsia="Times New Roman" w:hAnsi="Times New Roman"/>
                <w:sz w:val="18"/>
                <w:szCs w:val="18"/>
                <w:color w:val="auto"/>
                <w:w w:val="95"/>
              </w:rPr>
              <w:t>F-1</w:t>
            </w:r>
          </w:p>
        </w:tc>
        <w:tc>
          <w:tcPr>
            <w:tcW w:w="1900" w:type="dxa"/>
            <w:vAlign w:val="bottom"/>
          </w:tcPr>
          <w:p>
            <w:pPr>
              <w:spacing w:after="0"/>
              <w:rPr>
                <w:sz w:val="24"/>
                <w:szCs w:val="24"/>
                <w:color w:val="auto"/>
              </w:rPr>
            </w:pPr>
          </w:p>
        </w:tc>
      </w:tr>
      <w:tr>
        <w:trPr>
          <w:trHeight w:val="763"/>
        </w:trPr>
        <w:tc>
          <w:tcPr>
            <w:tcW w:w="2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28" w:name="page129"/>
    <w:bookmarkEnd w:id="128"/>
    <w:p>
      <w:pPr>
        <w:ind w:left="2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Rezolve AI plc and Subsidiaries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Rezolve AI PLC and Subsidiaries (the Company) as of December 31, 2024 and 2023, and the related consolidated statements of operations, comprehensive loss, stockholders’ deficit and cash flows for each of the years in the two year period ended December 31, 2024, and the related notes (collectively referred to as the consolidated financial statements). In our opinion, the consolidated financial statements present fairly, in all material respects, the consolidated financial position of the Company as December 31, 2024 and 2023, and the results of its operations and its cash flows for each of the years in the two – year period ended December 31, 2024,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audits in accordance with the standards of the PCAOB and in accordance with auditing standards generally accepted in the United States of America. Those standards require that we plan and perform the audit to obtain reasonable assurance about whether the carve-out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Grassi &amp; Co., CPAs,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Cash</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9,450,944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10,441</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12,534</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960,848</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299,013</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Derivative asset</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2,587,581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13,020,647</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321,988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17,332</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79,593</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6,750,178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2,134,903</w:t>
            </w:r>
          </w:p>
        </w:tc>
        <w:tc>
          <w:tcPr>
            <w:tcW w:w="100" w:type="dxa"/>
            <w:vAlign w:val="bottom"/>
          </w:tcPr>
          <w:p>
            <w:pPr>
              <w:spacing w:after="0"/>
              <w:rPr>
                <w:sz w:val="17"/>
                <w:szCs w:val="17"/>
                <w:color w:val="auto"/>
              </w:rPr>
            </w:pPr>
          </w:p>
        </w:tc>
      </w:tr>
      <w:tr>
        <w:trPr>
          <w:trHeight w:val="196"/>
        </w:trPr>
        <w:tc>
          <w:tcPr>
            <w:tcW w:w="7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6,767,510</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2,214,496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19,788,157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2,536,484</w:t>
            </w:r>
          </w:p>
        </w:tc>
        <w:tc>
          <w:tcPr>
            <w:tcW w:w="100" w:type="dxa"/>
            <w:vAlign w:val="bottom"/>
          </w:tcPr>
          <w:p>
            <w:pPr>
              <w:spacing w:after="0"/>
              <w:rPr>
                <w:sz w:val="17"/>
                <w:szCs w:val="17"/>
                <w:color w:val="auto"/>
              </w:rPr>
            </w:pPr>
          </w:p>
        </w:tc>
      </w:tr>
      <w:tr>
        <w:trPr>
          <w:trHeight w:val="20"/>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deficit</w:t>
            </w:r>
          </w:p>
        </w:tc>
        <w:tc>
          <w:tcPr>
            <w:tcW w:w="18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7,303,060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4,569,703</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Due to related party (refer to note 13)</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1,054,429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777,576</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Accrued expenses and other payables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9,513,932</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4,492,790</w:t>
            </w:r>
          </w:p>
        </w:tc>
        <w:tc>
          <w:tcPr>
            <w:tcW w:w="100" w:type="dxa"/>
            <w:vAlign w:val="bottom"/>
            <w:shd w:val="clear" w:color="auto" w:fill="CFF0FC"/>
          </w:tcPr>
          <w:p>
            <w:pPr>
              <w:spacing w:after="0"/>
              <w:rPr>
                <w:sz w:val="17"/>
                <w:szCs w:val="17"/>
                <w:color w:val="auto"/>
              </w:rPr>
            </w:pPr>
          </w:p>
        </w:tc>
      </w:tr>
      <w:tr>
        <w:trPr>
          <w:trHeight w:val="202"/>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Short term debt to related party (refer to note 13)</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5,102,211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6,225,815</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Short term convertible debt</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10,288,123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31,088,259</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Short term convertible debt to related party (refer to note 13)</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132,269</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Convertible promissory notes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6,428,825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Ordinary Shares Payable</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1,206,609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8,223,928</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Share-based payment liability</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1,400,000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1,311,028</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Advisors loans</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12,812,366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Derivative liabilities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2,579,875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5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8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57,784,739</w:t>
            </w: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56,821,368</w:t>
            </w:r>
          </w:p>
        </w:tc>
        <w:tc>
          <w:tcPr>
            <w:tcW w:w="100" w:type="dxa"/>
            <w:vAlign w:val="bottom"/>
            <w:tcBorders>
              <w:top w:val="single" w:sz="8" w:color="CFF0FC"/>
            </w:tcBorders>
          </w:tcPr>
          <w:p>
            <w:pPr>
              <w:spacing w:after="0"/>
              <w:rPr>
                <w:sz w:val="17"/>
                <w:szCs w:val="17"/>
                <w:color w:val="auto"/>
              </w:rPr>
            </w:pPr>
          </w:p>
        </w:tc>
      </w:tr>
      <w:tr>
        <w:trPr>
          <w:trHeight w:val="23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57,784,739</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56,821,368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(refer to note 16)</w:t>
            </w: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Shareholders’ deficit</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Ordinary shares, £0.0001 nominal value 208,260,754 shares issued and outstanding as of December 31, 2024;</w:t>
            </w: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152,262,295 shares issued and outstanding as of December 31, 2023; 256,365,817 and 161,710,480 shares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authorized as of December 31, 2024 and 2023 (refer to note 2.19)</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127,310</w:t>
            </w:r>
          </w:p>
        </w:tc>
        <w:tc>
          <w:tcPr>
            <w:tcW w:w="100" w:type="dxa"/>
            <w:vAlign w:val="bottom"/>
          </w:tcPr>
          <w:p>
            <w:pPr>
              <w:spacing w:after="0"/>
              <w:rPr>
                <w:sz w:val="18"/>
                <w:szCs w:val="18"/>
                <w:color w:val="auto"/>
              </w:rPr>
            </w:pPr>
          </w:p>
        </w:tc>
      </w:tr>
      <w:tr>
        <w:trPr>
          <w:trHeight w:val="192"/>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Series A shares, £0.0001 nominal value 4,575,983 shares issued, authorized and outstanding as of December 31,</w:t>
            </w:r>
          </w:p>
        </w:tc>
        <w:tc>
          <w:tcPr>
            <w:tcW w:w="18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2023 (refer to note 2.19)</w:t>
            </w:r>
          </w:p>
        </w:tc>
        <w:tc>
          <w:tcPr>
            <w:tcW w:w="1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3,868</w:t>
            </w:r>
          </w:p>
        </w:tc>
        <w:tc>
          <w:tcPr>
            <w:tcW w:w="100" w:type="dxa"/>
            <w:vAlign w:val="bottom"/>
            <w:shd w:val="clear" w:color="auto" w:fill="CFF0FC"/>
          </w:tcPr>
          <w:p>
            <w:pPr>
              <w:spacing w:after="0"/>
              <w:rPr>
                <w:sz w:val="18"/>
                <w:szCs w:val="18"/>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194,062,767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172,204,832</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Share subscription receivable</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(80)</w:t>
            </w: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(178,720)</w:t>
            </w: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7"/>
                <w:szCs w:val="17"/>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(232,075,815)</w:t>
            </w:r>
          </w:p>
        </w:tc>
        <w:tc>
          <w:tcPr>
            <w:tcW w:w="18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(226,291,430)</w:t>
            </w: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(10,270)</w:t>
            </w: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(150,744)</w:t>
            </w:r>
          </w:p>
        </w:tc>
      </w:tr>
      <w:tr>
        <w:trPr>
          <w:trHeight w:val="20"/>
        </w:trPr>
        <w:tc>
          <w:tcPr>
            <w:tcW w:w="75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180" w:type="dxa"/>
            <w:vAlign w:val="bottom"/>
          </w:tcPr>
          <w:p>
            <w:pPr>
              <w:spacing w:after="0"/>
              <w:rPr>
                <w:sz w:val="17"/>
                <w:szCs w:val="17"/>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(37,996,582)</w:t>
            </w:r>
          </w:p>
        </w:tc>
        <w:tc>
          <w:tcPr>
            <w:tcW w:w="18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(54,284,884)</w:t>
            </w:r>
          </w:p>
        </w:tc>
      </w:tr>
      <w:tr>
        <w:trPr>
          <w:trHeight w:val="23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w:t>
            </w: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19,788,157</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2,536,484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-4379595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-4379595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-3848100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-2013585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-1739265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-1722120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210"/>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187,788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revenue (see note 2.15)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100" w:type="dxa"/>
            <w:vAlign w:val="bottom"/>
            <w:shd w:val="clear" w:color="auto" w:fill="CFF0FC"/>
          </w:tcPr>
          <w:p>
            <w:pPr>
              <w:spacing w:after="0"/>
              <w:rPr>
                <w:sz w:val="18"/>
                <w:szCs w:val="18"/>
                <w:color w:val="auto"/>
              </w:rPr>
            </w:pPr>
          </w:p>
        </w:tc>
      </w:tr>
      <w:tr>
        <w:trPr>
          <w:trHeight w:val="198"/>
        </w:trPr>
        <w:tc>
          <w:tcPr>
            <w:tcW w:w="75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Sales and marketing expenses (including related party transactions of $1,011,119 and $2,072,224, see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note 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6,285,446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100" w:type="dxa"/>
            <w:vAlign w:val="bottom"/>
          </w:tcPr>
          <w:p>
            <w:pPr>
              <w:spacing w:after="0"/>
              <w:rPr>
                <w:sz w:val="20"/>
                <w:szCs w:val="20"/>
                <w:color w:val="auto"/>
              </w:rPr>
            </w:pPr>
          </w:p>
        </w:tc>
      </w:tr>
      <w:tr>
        <w:trPr>
          <w:trHeight w:val="198"/>
        </w:trPr>
        <w:tc>
          <w:tcPr>
            <w:tcW w:w="756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General and administrative expenses (including related party transactions of $68,413,399 and</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$4,830,987, see note 13)</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131,430,412</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100" w:type="dxa"/>
            <w:vAlign w:val="bottom"/>
            <w:shd w:val="clear" w:color="auto" w:fill="CFF0FC"/>
          </w:tcPr>
          <w:p>
            <w:pPr>
              <w:spacing w:after="0"/>
              <w:rPr>
                <w:sz w:val="20"/>
                <w:szCs w:val="20"/>
                <w:color w:val="auto"/>
              </w:rPr>
            </w:pP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138,230,574</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(138,042,786)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(26,006,274)</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(10,557,714)</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(4,791,782)</w:t>
            </w: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Gain/(loss) on derivatives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Gain/(loss) on extinguishment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(44,332,819)</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1,329,781</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100" w:type="dxa"/>
            <w:vAlign w:val="bottom"/>
          </w:tcPr>
          <w:p>
            <w:pPr>
              <w:spacing w:after="0"/>
              <w:rPr>
                <w:sz w:val="18"/>
                <w:szCs w:val="18"/>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(34,559,071)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(4,666,416)</w:t>
            </w:r>
          </w:p>
        </w:tc>
      </w:tr>
      <w:tr>
        <w:trPr>
          <w:trHeight w:val="20"/>
        </w:trPr>
        <w:tc>
          <w:tcPr>
            <w:tcW w:w="75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(172,601,857)</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(30,672,690)</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(44,933)</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(63,408)</w:t>
            </w:r>
          </w:p>
        </w:tc>
      </w:tr>
      <w:tr>
        <w:trPr>
          <w:trHeight w:val="20"/>
        </w:trPr>
        <w:tc>
          <w:tcPr>
            <w:tcW w:w="75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(172,646,790)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(30,736,098)</w:t>
            </w: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30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b w:val="1"/>
                <w:bCs w:val="1"/>
                <w:color w:val="auto"/>
              </w:rPr>
              <w:t>(1.06)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auto"/>
              </w:rPr>
              <w:t>(0.20)</w:t>
            </w:r>
          </w:p>
        </w:tc>
      </w:tr>
      <w:tr>
        <w:trPr>
          <w:trHeight w:val="210"/>
        </w:trPr>
        <w:tc>
          <w:tcPr>
            <w:tcW w:w="7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 average shares, basic and diluted</w:t>
            </w: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162,855,146</w:t>
            </w: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151,256,853</w:t>
            </w:r>
          </w:p>
        </w:tc>
        <w:tc>
          <w:tcPr>
            <w:tcW w:w="10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-1868170</wp:posOffset>
            </wp:positionV>
            <wp:extent cx="774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-745490</wp:posOffset>
            </wp:positionV>
            <wp:extent cx="7747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-462280</wp:posOffset>
            </wp:positionV>
            <wp:extent cx="774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-153670</wp:posOffset>
            </wp:positionV>
            <wp:extent cx="774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(172,646,790)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(30,736,098)</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gain/(loss)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140,474</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(69,565)</w:t>
            </w:r>
          </w:p>
        </w:tc>
      </w:tr>
      <w:tr>
        <w:trPr>
          <w:trHeight w:val="20"/>
        </w:trPr>
        <w:tc>
          <w:tcPr>
            <w:tcW w:w="7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(172,506,316)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(30,805,663)</w:t>
            </w:r>
          </w:p>
        </w:tc>
      </w:tr>
      <w:tr>
        <w:trPr>
          <w:trHeight w:val="20"/>
        </w:trPr>
        <w:tc>
          <w:tcPr>
            <w:tcW w:w="7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774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32" w:name="page133"/>
    <w:bookmarkEnd w:id="13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Accumulate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w:t>
            </w: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780" w:type="dxa"/>
            <w:vAlign w:val="bottom"/>
            <w:gridSpan w:val="5"/>
            <w:vMerge w:val="restart"/>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70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Series A shares</w:t>
            </w:r>
          </w:p>
        </w:tc>
        <w:tc>
          <w:tcPr>
            <w:tcW w:w="980" w:type="dxa"/>
            <w:vAlign w:val="bottom"/>
            <w:gridSpan w:val="3"/>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subscriptio</w:t>
            </w:r>
          </w:p>
        </w:tc>
        <w:tc>
          <w:tcPr>
            <w:tcW w:w="88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w:t>
            </w:r>
          </w:p>
        </w:tc>
        <w:tc>
          <w:tcPr>
            <w:tcW w:w="16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780" w:type="dxa"/>
            <w:vAlign w:val="bottom"/>
            <w:gridSpan w:val="5"/>
            <w:vMerge w:val="continue"/>
          </w:tcPr>
          <w:p>
            <w:pPr>
              <w:spacing w:after="0"/>
              <w:rPr>
                <w:sz w:val="12"/>
                <w:szCs w:val="12"/>
                <w:color w:val="auto"/>
              </w:rPr>
            </w:pPr>
          </w:p>
        </w:tc>
        <w:tc>
          <w:tcPr>
            <w:tcW w:w="17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96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2"/>
                <w:szCs w:val="12"/>
                <w:color w:val="auto"/>
              </w:rPr>
            </w:pPr>
          </w:p>
        </w:tc>
        <w:tc>
          <w:tcPr>
            <w:tcW w:w="74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w w:val="82"/>
              </w:rPr>
              <w:t>n</w:t>
            </w:r>
          </w:p>
        </w:tc>
        <w:tc>
          <w:tcPr>
            <w:tcW w:w="120" w:type="dxa"/>
            <w:vAlign w:val="bottom"/>
          </w:tcPr>
          <w:p>
            <w:pPr>
              <w:spacing w:after="0"/>
              <w:rPr>
                <w:sz w:val="12"/>
                <w:szCs w:val="12"/>
                <w:color w:val="auto"/>
              </w:rPr>
            </w:pPr>
          </w:p>
        </w:tc>
        <w:tc>
          <w:tcPr>
            <w:tcW w:w="76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sive</w:t>
            </w:r>
          </w:p>
        </w:tc>
        <w:tc>
          <w:tcPr>
            <w:tcW w:w="96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60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Value</w:t>
            </w:r>
          </w:p>
        </w:tc>
        <w:tc>
          <w:tcPr>
            <w:tcW w:w="24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3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w w:val="98"/>
              </w:rPr>
              <w:t>Value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40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1"/>
                <w:szCs w:val="11"/>
                <w:color w:val="auto"/>
              </w:rPr>
            </w:pPr>
          </w:p>
        </w:tc>
        <w:tc>
          <w:tcPr>
            <w:tcW w:w="820" w:type="dxa"/>
            <w:vAlign w:val="bottom"/>
            <w:gridSpan w:val="2"/>
          </w:tcPr>
          <w:p>
            <w:pPr>
              <w:jc w:val="right"/>
              <w:ind w:right="42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80" w:type="dxa"/>
            <w:vAlign w:val="bottom"/>
            <w:gridSpan w:val="3"/>
          </w:tcPr>
          <w:p>
            <w:pPr>
              <w:jc w:val="center"/>
              <w:ind w:right="220"/>
              <w:spacing w:after="0" w:line="129" w:lineRule="exact"/>
              <w:rPr>
                <w:sz w:val="20"/>
                <w:szCs w:val="20"/>
                <w:color w:val="auto"/>
              </w:rPr>
            </w:pPr>
            <w:r>
              <w:rPr>
                <w:rFonts w:ascii="Times New Roman" w:cs="Times New Roman" w:eastAsia="Times New Roman" w:hAnsi="Times New Roman"/>
                <w:sz w:val="13"/>
                <w:szCs w:val="13"/>
                <w:b w:val="1"/>
                <w:bCs w:val="1"/>
                <w:color w:val="auto"/>
                <w:w w:val="95"/>
              </w:rPr>
              <w:t>receivable</w:t>
            </w: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3"/>
                <w:szCs w:val="13"/>
                <w:b w:val="1"/>
                <w:bCs w:val="1"/>
                <w:color w:val="auto"/>
                <w:w w:val="95"/>
              </w:rPr>
              <w:t>income</w:t>
            </w:r>
          </w:p>
        </w:tc>
        <w:tc>
          <w:tcPr>
            <w:tcW w:w="160" w:type="dxa"/>
            <w:vAlign w:val="bottom"/>
          </w:tcPr>
          <w:p>
            <w:pPr>
              <w:spacing w:after="0"/>
              <w:rPr>
                <w:sz w:val="11"/>
                <w:szCs w:val="11"/>
                <w:color w:val="auto"/>
              </w:rPr>
            </w:pPr>
          </w:p>
        </w:tc>
        <w:tc>
          <w:tcPr>
            <w:tcW w:w="8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08"/>
        </w:trPr>
        <w:tc>
          <w:tcPr>
            <w:tcW w:w="3100" w:type="dxa"/>
            <w:vAlign w:val="bottom"/>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151,419,</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4,575,98</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163,165,0</w:t>
            </w: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(195,555,</w:t>
            </w: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(178,72</w:t>
            </w: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as at January 1, 2023</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672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126,677</w:t>
            </w:r>
          </w:p>
        </w:tc>
        <w:tc>
          <w:tcPr>
            <w:tcW w:w="24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3,868</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332)</w:t>
            </w:r>
          </w:p>
        </w:tc>
        <w:tc>
          <w:tcPr>
            <w:tcW w:w="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(81,179)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(32,519,603)</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 to related parties</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26,634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24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199,954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199,974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 from exercise of share-options</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815,989</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613</w:t>
            </w:r>
          </w:p>
        </w:tc>
        <w:tc>
          <w:tcPr>
            <w:tcW w:w="2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(613)</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in lieu of services</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115,190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115,190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related parties</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3,646,017</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3,646,017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Employee share-based compensation</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5,079,201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5,079,201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(30,736,0</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98)</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(30,736,098)</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(loss)</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(69,565)</w:t>
            </w:r>
          </w:p>
        </w:tc>
        <w:tc>
          <w:tcPr>
            <w:tcW w:w="1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(69,565)</w:t>
            </w:r>
          </w:p>
        </w:tc>
        <w:tc>
          <w:tcPr>
            <w:tcW w:w="0" w:type="dxa"/>
            <w:vAlign w:val="bottom"/>
          </w:tcPr>
          <w:p>
            <w:pPr>
              <w:spacing w:after="0"/>
              <w:rPr>
                <w:sz w:val="1"/>
                <w:szCs w:val="1"/>
                <w:color w:val="auto"/>
              </w:rPr>
            </w:pPr>
          </w:p>
        </w:tc>
      </w:tr>
      <w:tr>
        <w:trPr>
          <w:trHeight w:val="108"/>
        </w:trPr>
        <w:tc>
          <w:tcPr>
            <w:tcW w:w="310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Balance as at December 31, 2023</w:t>
            </w:r>
          </w:p>
        </w:tc>
        <w:tc>
          <w:tcPr>
            <w:tcW w:w="60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152,262,</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4,575,98</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172,204,8</w:t>
            </w: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(226,291,</w:t>
            </w: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(178,72</w:t>
            </w: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(150,74</w:t>
            </w: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1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295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127,310</w:t>
            </w: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3,868</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32</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430)</w:t>
            </w:r>
          </w:p>
        </w:tc>
        <w:tc>
          <w:tcPr>
            <w:tcW w:w="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(54,284,884)</w:t>
            </w:r>
          </w:p>
        </w:tc>
        <w:tc>
          <w:tcPr>
            <w:tcW w:w="0" w:type="dxa"/>
            <w:vAlign w:val="bottom"/>
          </w:tcPr>
          <w:p>
            <w:pPr>
              <w:spacing w:after="0"/>
              <w:rPr>
                <w:sz w:val="1"/>
                <w:szCs w:val="1"/>
                <w:color w:val="auto"/>
              </w:rPr>
            </w:pPr>
          </w:p>
        </w:tc>
      </w:tr>
      <w:tr>
        <w:trPr>
          <w:trHeight w:val="97"/>
        </w:trPr>
        <w:tc>
          <w:tcPr>
            <w:tcW w:w="3100" w:type="dxa"/>
            <w:vAlign w:val="bottom"/>
            <w:tcBorders>
              <w:top w:val="single" w:sz="8" w:color="CFF0FC"/>
            </w:tcBorders>
          </w:tcPr>
          <w:p>
            <w:pPr>
              <w:spacing w:after="0" w:line="98" w:lineRule="exact"/>
              <w:rPr>
                <w:sz w:val="20"/>
                <w:szCs w:val="20"/>
                <w:color w:val="auto"/>
              </w:rPr>
            </w:pPr>
            <w:r>
              <w:rPr>
                <w:rFonts w:ascii="Times New Roman" w:cs="Times New Roman" w:eastAsia="Times New Roman" w:hAnsi="Times New Roman"/>
                <w:sz w:val="10"/>
                <w:szCs w:val="10"/>
                <w:color w:val="auto"/>
              </w:rPr>
              <w:t>Ordinary shares issued in lieu of cash payment for</w:t>
            </w:r>
          </w:p>
        </w:tc>
        <w:tc>
          <w:tcPr>
            <w:tcW w:w="60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services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104,514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304,137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304,152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Warrants issued with loan</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1,784</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1,784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Recapitalization upon demerger of Rezolve Limited to</w:t>
            </w: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4,575,98</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(107,36</w:t>
            </w:r>
          </w:p>
        </w:tc>
        <w:tc>
          <w:tcPr>
            <w:tcW w:w="24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(4,575,9</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(176,274,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176,207,4</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Rezolve AI plc</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83)</w:t>
            </w:r>
          </w:p>
        </w:tc>
        <w:tc>
          <w:tcPr>
            <w:tcW w:w="14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(3,868)</w:t>
            </w:r>
          </w:p>
        </w:tc>
        <w:tc>
          <w:tcPr>
            <w:tcW w:w="14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941)</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178,720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Share-based compensation - employees shares restrictions</w:t>
            </w:r>
          </w:p>
        </w:tc>
        <w:tc>
          <w:tcPr>
            <w:tcW w:w="6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9,512,82</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18,834,88</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lifted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1,210</w:t>
            </w: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18,836,099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63,001,39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 - related parties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63,001,392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employees</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4,314,649</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4,314,649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payments for consultancy</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217,365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217,365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in lieu of services</w:t>
            </w: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1,275,000</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1,275,000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5,826,79</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(9,345,05</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ordinary shares upon acquisition of Armada</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(9,344,318)</w:t>
            </w: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Warrants exercised</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2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574,993</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575,000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1,930,03</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17,949,33</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Ordinary shares issued on conversion of advisors loans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17,949,589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6,600,00</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16,241,54</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Ordinary shares issued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16,242,944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11,053,0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Shares issued under the rights issue</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1,389</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9,009,884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9,011,193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Ordinary shares issued on conversion of senior secured</w:t>
            </w:r>
          </w:p>
        </w:tc>
        <w:tc>
          <w:tcPr>
            <w:tcW w:w="6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12,035,0</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52,399,82</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convertible notes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1,509</w:t>
            </w: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52,401,332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Ordinary shares issued on conversion of convertible</w:t>
            </w: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4,310,20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14,008,07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promissory loans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14,008,437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(172,646,</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(172,646,79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790)</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gain</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140,474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140,474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100" w:type="dxa"/>
            <w:vAlign w:val="bottom"/>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208,260,</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194,062,7</w:t>
            </w: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(232,075,</w:t>
            </w: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as at December 31, 2024</w:t>
            </w:r>
          </w:p>
        </w:tc>
        <w:tc>
          <w:tcPr>
            <w:tcW w:w="6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754</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26,816</w:t>
            </w:r>
          </w:p>
        </w:tc>
        <w:tc>
          <w:tcPr>
            <w:tcW w:w="24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67</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815)</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ind w:left="4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(80)</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(10,270)</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(37,996,582)</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-2630805</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-2613660</wp:posOffset>
            </wp:positionV>
            <wp:extent cx="768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-2630805</wp:posOffset>
            </wp:positionV>
            <wp:extent cx="768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-2613660</wp:posOffset>
            </wp:positionV>
            <wp:extent cx="768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-2630805</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-2613660</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-2630805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-2613660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-2630805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-2613660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-2630805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-2613660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-2630805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-2613660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-2630805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-2613660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-24765</wp:posOffset>
            </wp:positionV>
            <wp:extent cx="7683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-7620</wp:posOffset>
            </wp:positionV>
            <wp:extent cx="768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-24765</wp:posOffset>
            </wp:positionV>
            <wp:extent cx="7683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-7620</wp:posOffset>
            </wp:positionV>
            <wp:extent cx="768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-24765</wp:posOffset>
            </wp:positionV>
            <wp:extent cx="7683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768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-24765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3" w:name="page134"/>
    <w:bookmarkEnd w:id="13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6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6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20" w:type="dxa"/>
            <w:vAlign w:val="bottom"/>
            <w:shd w:val="clear" w:color="auto" w:fill="CFF0FC"/>
          </w:tcPr>
          <w:p>
            <w:pPr>
              <w:spacing w:after="0"/>
              <w:rPr>
                <w:sz w:val="17"/>
                <w:szCs w:val="17"/>
                <w:color w:val="auto"/>
              </w:rPr>
            </w:pPr>
          </w:p>
        </w:tc>
        <w:tc>
          <w:tcPr>
            <w:tcW w:w="17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(172,646,790)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(30,736,098)</w:t>
            </w:r>
          </w:p>
        </w:tc>
      </w:tr>
      <w:tr>
        <w:trPr>
          <w:trHeight w:val="203"/>
        </w:trPr>
        <w:tc>
          <w:tcPr>
            <w:tcW w:w="6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242,436</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Impairment of loans receivable</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255,412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1,156,316</w:t>
            </w:r>
          </w:p>
        </w:tc>
        <w:tc>
          <w:tcPr>
            <w:tcW w:w="100" w:type="dxa"/>
            <w:vAlign w:val="bottom"/>
            <w:shd w:val="clear" w:color="auto" w:fill="CFF0FC"/>
          </w:tcPr>
          <w:p>
            <w:pPr>
              <w:spacing w:after="0"/>
              <w:rPr>
                <w:sz w:val="17"/>
                <w:szCs w:val="17"/>
                <w:color w:val="auto"/>
              </w:rPr>
            </w:pPr>
          </w:p>
        </w:tc>
      </w:tr>
      <w:tr>
        <w:trPr>
          <w:trHeight w:val="216"/>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 employees shares restrictions lifted</w:t>
            </w:r>
          </w:p>
        </w:tc>
        <w:tc>
          <w:tcPr>
            <w:tcW w:w="1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18,836,099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 based compensation for employees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4,314,649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5,079,201</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 based compensation issued to related parties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63,001,392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3,646,017</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 based compensation for consultancy services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217,365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Ordinary shares issued in lieu of cash payment for services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Advisor loan issued for services - Northlands Securities (refer to note 7.7)</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5,141,250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Advisor loan issued for services - J.V.B. Financial Group (refer to note 7.7)</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Advisor loan issued for services- Cantor Fitzgerald (refer to note 7.7)</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16,000,000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10,557,714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4,791,782</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Gain on derivatives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(19,001,681)</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44,332,819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Unrealized foreign exchange (gain)/loss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(1,329,775)</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375,298</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non-cash expenses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accounts receivable</w:t>
            </w:r>
          </w:p>
        </w:tc>
        <w:tc>
          <w:tcPr>
            <w:tcW w:w="132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(8,739)</w:t>
            </w:r>
          </w:p>
        </w:tc>
        <w:tc>
          <w:tcPr>
            <w:tcW w:w="16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(3,679)</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(Increase) in prepaid expense and other current assets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(906,198)</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(416,069)</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accounts payable, accrued expenses and other payables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1,354,146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2,310,465</w:t>
            </w:r>
          </w:p>
        </w:tc>
        <w:tc>
          <w:tcPr>
            <w:tcW w:w="100" w:type="dxa"/>
            <w:vAlign w:val="bottom"/>
          </w:tcPr>
          <w:p>
            <w:pPr>
              <w:spacing w:after="0"/>
              <w:rPr>
                <w:sz w:val="17"/>
                <w:szCs w:val="17"/>
                <w:color w:val="auto"/>
              </w:rPr>
            </w:pPr>
          </w:p>
        </w:tc>
      </w:tr>
      <w:tr>
        <w:trPr>
          <w:trHeight w:val="203"/>
        </w:trPr>
        <w:tc>
          <w:tcPr>
            <w:tcW w:w="6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Increase in payables due to related parties</w:t>
            </w:r>
          </w:p>
        </w:tc>
        <w:tc>
          <w:tcPr>
            <w:tcW w:w="1320" w:type="dxa"/>
            <w:vAlign w:val="bottom"/>
            <w:tcBorders>
              <w:bottom w:val="single" w:sz="8" w:color="CFF0FC"/>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209,997</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552,456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(21,642,715)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(13,001,875)</w:t>
            </w:r>
          </w:p>
        </w:tc>
      </w:tr>
      <w:tr>
        <w:trPr>
          <w:trHeight w:val="20"/>
        </w:trPr>
        <w:tc>
          <w:tcPr>
            <w:tcW w:w="6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32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32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(4,774)</w:t>
            </w:r>
          </w:p>
        </w:tc>
        <w:tc>
          <w:tcPr>
            <w:tcW w:w="16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(14,376)</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Development of intangible assets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(3,523,852)</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(1,767,148)</w:t>
            </w:r>
          </w:p>
        </w:tc>
      </w:tr>
      <w:tr>
        <w:trPr>
          <w:trHeight w:val="20"/>
        </w:trPr>
        <w:tc>
          <w:tcPr>
            <w:tcW w:w="624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(3,528,626)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(1,781,524)</w:t>
            </w:r>
          </w:p>
        </w:tc>
      </w:tr>
      <w:tr>
        <w:trPr>
          <w:trHeight w:val="20"/>
        </w:trPr>
        <w:tc>
          <w:tcPr>
            <w:tcW w:w="6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32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merger with Armada</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rights issuance</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1,405,592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7,767,674</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short-term debt from related party</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6,623,541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4,369,413</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 of short-term debt obligation from related parties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(1,153,750)</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(250,000)</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convertible promissory loans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11,859,249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 of promissory notes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(1,471,852)</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promissory notes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to related parties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199,974</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rights issue</w:t>
            </w:r>
          </w:p>
        </w:tc>
        <w:tc>
          <w:tcPr>
            <w:tcW w:w="132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(100,000)</w:t>
            </w: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ordinary shares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16,444,773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long-term debt obligation</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2,625,000</w:t>
            </w:r>
          </w:p>
        </w:tc>
        <w:tc>
          <w:tcPr>
            <w:tcW w:w="100" w:type="dxa"/>
            <w:vAlign w:val="bottom"/>
            <w:shd w:val="clear" w:color="auto" w:fill="CFF0FC"/>
          </w:tcPr>
          <w:p>
            <w:pPr>
              <w:spacing w:after="0"/>
              <w:rPr>
                <w:sz w:val="17"/>
                <w:szCs w:val="17"/>
                <w:color w:val="auto"/>
              </w:rPr>
            </w:pPr>
          </w:p>
        </w:tc>
      </w:tr>
      <w:tr>
        <w:trPr>
          <w:trHeight w:val="196"/>
        </w:trPr>
        <w:tc>
          <w:tcPr>
            <w:tcW w:w="62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flow generated from financing activities</w:t>
            </w:r>
          </w:p>
        </w:tc>
        <w:tc>
          <w:tcPr>
            <w:tcW w:w="13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34,585,896</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14,712,061</w:t>
            </w:r>
          </w:p>
        </w:tc>
        <w:tc>
          <w:tcPr>
            <w:tcW w:w="100" w:type="dxa"/>
            <w:vAlign w:val="bottom"/>
            <w:tcBorders>
              <w:top w:val="single" w:sz="8" w:color="CFF0FC"/>
            </w:tcBorders>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320" w:type="dxa"/>
            <w:vAlign w:val="bottom"/>
            <w:shd w:val="clear" w:color="auto" w:fill="CFF0FC"/>
          </w:tcPr>
          <w:p>
            <w:pPr>
              <w:spacing w:after="0"/>
              <w:rPr>
                <w:sz w:val="15"/>
                <w:szCs w:val="15"/>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25,948</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42,399</w:t>
            </w:r>
          </w:p>
        </w:tc>
        <w:tc>
          <w:tcPr>
            <w:tcW w:w="100" w:type="dxa"/>
            <w:vAlign w:val="bottom"/>
            <w:shd w:val="clear" w:color="auto" w:fill="CFF0FC"/>
          </w:tcPr>
          <w:p>
            <w:pPr>
              <w:spacing w:after="0"/>
              <w:rPr>
                <w:sz w:val="15"/>
                <w:szCs w:val="15"/>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change in cash</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9,440,503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(28,939)</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39,380</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year</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9,450,944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10,441</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6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Share-based payment for development of intangible asset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1,275,000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115,190</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Cash paid for interest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114,966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paid for taxes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Accrued interest payable converted to principal</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1,339,800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4,040,989</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-3702685</wp:posOffset>
            </wp:positionV>
            <wp:extent cx="774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-3154045</wp:posOffset>
            </wp:positionV>
            <wp:extent cx="7747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-1319530</wp:posOffset>
            </wp:positionV>
            <wp:extent cx="7747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4" w:name="page135"/>
    <w:bookmarkEnd w:id="13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0" w:hanging="512"/>
        <w:spacing w:after="0"/>
        <w:tabs>
          <w:tab w:leader="none" w:pos="52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Rezolve Group Limited (“Rezolve” or “the Company”) was incorporated in England and Wales on January 5, 2023 and changed its name on June 5, 2023 to Rezolve AI Limited. On March 28, 2025, the Company altered its legal status under English law from a private limited company and re-registered as a public limited company. In connection with the re-registration as a public limited company, the Company changed its name from Rezolve AI Limited to Rezolve AI plc.</w:t>
      </w:r>
    </w:p>
    <w:p>
      <w:pPr>
        <w:spacing w:after="0" w:line="180"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Rezolve is a mobile commerce and engagement platform that enables retailers and brands to deliver rich and engaging mobile experiences to consumers. The mailing address of Rezolve’s registered office is 21 Sackville Street, London, W1S 3DN, United Kingdom.</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5460" w:firstLine="8"/>
        <w:spacing w:after="0" w:line="378" w:lineRule="auto"/>
        <w:tabs>
          <w:tab w:leader="none" w:pos="509"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 2.1 Basis of presentation</w:t>
      </w: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Rezolve AI plc and subsidiaries (together “the Company” or “we”) have been prepared in accordance with accounting principles generally accepted in the United States of America (“US GAAP”). The consolidated financial statements have been prepared using the United Stated Dollar (“$” or “US dollar”) as the reporting currency.</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financial statements of Rezolve AI plc,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Chinese Business”) which were abandoned on January 3, 2023 (see below).</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“Pre-Closing Demerger” or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Pre-Closing Demerger was completed on July 4, 2024. A new holding company Rezolve AI plc was established.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Therefore upon the completion of the Pre-Closing Demerger, Rezolve AI plc ended up with the same business as Rezolve Limited but without the Chinese business.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15, 2024, Armada Acquisition Corp. I, a Delaware corporation (“Armada”), Rezolve AI plc and Rezolve Merger Sub, Inc., a Delaware corporation (“Rezolve Merger Sub”), consummated a business combination (the “Business Combination”) pursuant to which the Company effected a company reorganization whereby the Company’s series A shares were reclassified as ordinary shares and Armada merged with and into Rezolve Merger Sub, with Armada surviving as a wholly owned subsidiary of Rezolve, with shareholders of Armada receiving ordinary shares of the Company in exchange for their existing Armada common stock and Armada warrant holders having their warrants automatically exchanged for warrants of the Company (see note 8). Upon the closing of the Business Combination, the Company became the direct parent of Armada. The Business Combination was accounted for as a reverse merger under ASC 805, whereby Rezolve AI plc was deemed to be the accounting acquirer for financial reporting purposes and Armada was treated as the accounting acquiree. This determination was primarily based on the expectation that, immediately following the reverse merger: former Rezolve AI plc’s stockholders own a substantial majority of the voting rights in the combined company; former Rezolve AI plc’s largest stockholders retain the largest interest in the combined company and former Rezolve AI plc’s executive management team became the management team of the combined company.</w:t>
      </w:r>
    </w:p>
    <w:p>
      <w:pPr>
        <w:spacing w:after="0" w:line="19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For accounting purposes the Business Combination, accounted for as a reverse merger, was treated as the equivalent of Rezolve AI plc issuing 5,827,796 ordinary shares to acquire the net liabilities of Armada. The excess amount paid by an investor over the par</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5" w:name="page136"/>
    <w:bookmarkEnd w:id="13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value of ordinary shares issued usually is allocated to additional paid-in capital, however as the Business Combination resulted in the issuance of ordinary shares to acquire the net liabilities of Armada, it rendered a negative amount of additional paid-in capital. In accordance with ASC 505-30-30-8, the Company made an accounting policy election that additional paid-in capital cannot be a negative amount and therefore the negative amount was allocated to accumulated deficit.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net liabilities of Armada are recorded at their acquisition-date fair value in the Consolidated Financial Statements as follows: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500" w:type="dxa"/>
            <w:vAlign w:val="bottom"/>
          </w:tcPr>
          <w:p>
            <w:pPr>
              <w:spacing w:after="0"/>
              <w:rPr>
                <w:sz w:val="18"/>
                <w:szCs w:val="18"/>
                <w:color w:val="auto"/>
              </w:rPr>
            </w:pP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169,425</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500" w:type="dxa"/>
            <w:vAlign w:val="bottom"/>
            <w:shd w:val="clear" w:color="auto" w:fill="CFF0FC"/>
          </w:tcPr>
          <w:p>
            <w:pPr>
              <w:spacing w:after="0"/>
              <w:rPr>
                <w:sz w:val="18"/>
                <w:szCs w:val="18"/>
                <w:color w:val="auto"/>
              </w:rPr>
            </w:pPr>
          </w:p>
        </w:tc>
        <w:tc>
          <w:tcPr>
            <w:tcW w:w="3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(4,873,019)</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Debt (promissory notes)</w:t>
            </w:r>
          </w:p>
        </w:tc>
        <w:tc>
          <w:tcPr>
            <w:tcW w:w="2500" w:type="dxa"/>
            <w:vAlign w:val="bottom"/>
          </w:tcPr>
          <w:p>
            <w:pPr>
              <w:spacing w:after="0"/>
              <w:rPr>
                <w:sz w:val="18"/>
                <w:szCs w:val="18"/>
                <w:color w:val="auto"/>
              </w:rPr>
            </w:pPr>
          </w:p>
        </w:tc>
        <w:tc>
          <w:tcPr>
            <w:tcW w:w="3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(3,144,883)</w:t>
            </w: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500" w:type="dxa"/>
            <w:vAlign w:val="bottom"/>
            <w:shd w:val="clear" w:color="auto" w:fill="CFF0FC"/>
          </w:tcPr>
          <w:p>
            <w:pPr>
              <w:spacing w:after="0"/>
              <w:rPr>
                <w:sz w:val="18"/>
                <w:szCs w:val="18"/>
                <w:color w:val="auto"/>
              </w:rPr>
            </w:pPr>
          </w:p>
        </w:tc>
        <w:tc>
          <w:tcPr>
            <w:tcW w:w="3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(1,499,936)</w:t>
            </w:r>
          </w:p>
        </w:tc>
      </w:tr>
      <w:tr>
        <w:trPr>
          <w:trHeight w:val="20"/>
        </w:trPr>
        <w:tc>
          <w:tcPr>
            <w:tcW w:w="5160" w:type="dxa"/>
            <w:vAlign w:val="bottom"/>
            <w:shd w:val="clear" w:color="auto" w:fill="CFF0FC"/>
          </w:tcPr>
          <w:p>
            <w:pPr>
              <w:spacing w:after="0" w:line="20" w:lineRule="exact"/>
              <w:rPr>
                <w:sz w:val="1"/>
                <w:szCs w:val="1"/>
                <w:color w:val="auto"/>
              </w:rPr>
            </w:pPr>
          </w:p>
        </w:tc>
        <w:tc>
          <w:tcPr>
            <w:tcW w:w="2500" w:type="dxa"/>
            <w:vAlign w:val="bottom"/>
            <w:shd w:val="clear" w:color="auto" w:fill="CFF0FC"/>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liabilities acquired</w:t>
            </w:r>
          </w:p>
        </w:tc>
        <w:tc>
          <w:tcPr>
            <w:tcW w:w="25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(9,345,052)</w:t>
            </w:r>
          </w:p>
        </w:tc>
      </w:tr>
      <w:tr>
        <w:trPr>
          <w:trHeight w:val="20"/>
        </w:trPr>
        <w:tc>
          <w:tcPr>
            <w:tcW w:w="5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2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(9,345,052)</w:t>
            </w: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2500" w:type="dxa"/>
            <w:vAlign w:val="bottom"/>
            <w:tcBorders>
              <w:top w:val="single" w:sz="8" w:color="CFF0FC"/>
            </w:tcBorders>
            <w:shd w:val="clear" w:color="auto" w:fill="CFF0FC"/>
          </w:tcPr>
          <w:p>
            <w:pPr>
              <w:spacing w:after="0" w:line="20" w:lineRule="exact"/>
              <w:rPr>
                <w:sz w:val="1"/>
                <w:szCs w:val="1"/>
                <w:color w:val="auto"/>
              </w:rPr>
            </w:pPr>
          </w:p>
        </w:tc>
        <w:tc>
          <w:tcPr>
            <w:tcW w:w="3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Consolidated Financial Statements of Rezolve AI plc and subsidiaries have been prepared on the following basis:</w:t>
      </w:r>
    </w:p>
    <w:p>
      <w:pPr>
        <w:spacing w:after="0" w:line="117" w:lineRule="exact"/>
        <w:rPr>
          <w:sz w:val="20"/>
          <w:szCs w:val="20"/>
          <w:color w:val="auto"/>
        </w:rPr>
      </w:pPr>
    </w:p>
    <w:p>
      <w:pPr>
        <w:ind w:left="1020" w:right="100" w:hanging="503"/>
        <w:spacing w:after="0" w:line="254" w:lineRule="auto"/>
        <w:tabs>
          <w:tab w:leader="none" w:pos="10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Pre-Closing Demerger was completed retrospectively on December 31, 2021, and thus reflects the predecessor company, Rezolve Limited, prior to completion of the Pre-Closing Demerger. These Consolidated Financial Statements are therefore prepared on a carve-out basis. All costs of doing business in Rezolve Limited have been reflected in Rezolve AI plc on a 100% allocation basis since management feels that this fully reflects the Consolidated Financial Statements had the Demerger completed on December 31, 2022. Investments made in the China Business by Rezolve Limited in the People’s Republic of China (“China”) for the years ending December 31, 2024 and December 31, 2023 have been recorded as “Business development expenses”, a component of General and Administrative expenses within the Company’s Consolidated Statement of Operations in accordance with </w:t>
      </w:r>
      <w:r>
        <w:rPr>
          <w:rFonts w:ascii="Times New Roman" w:cs="Times New Roman" w:eastAsia="Times New Roman" w:hAnsi="Times New Roman"/>
          <w:sz w:val="18"/>
          <w:szCs w:val="18"/>
          <w:i w:val="1"/>
          <w:iCs w:val="1"/>
          <w:color w:val="auto"/>
        </w:rPr>
        <w:t>Staff Accounting Bulletin Topic 1-B1, Costs Reflected in Historical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(“SAB 1-B1”). Management asserts that this method used is reasonable.</w:t>
      </w:r>
    </w:p>
    <w:p>
      <w:pPr>
        <w:spacing w:after="0" w:line="83" w:lineRule="exact"/>
        <w:rPr>
          <w:rFonts w:ascii="Times New Roman" w:cs="Times New Roman" w:eastAsia="Times New Roman" w:hAnsi="Times New Roman"/>
          <w:sz w:val="18"/>
          <w:szCs w:val="18"/>
          <w:color w:val="auto"/>
        </w:rPr>
      </w:pPr>
    </w:p>
    <w:p>
      <w:pPr>
        <w:ind w:left="1020" w:right="180" w:hanging="503"/>
        <w:spacing w:after="0" w:line="256" w:lineRule="auto"/>
        <w:tabs>
          <w:tab w:leader="none" w:pos="10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ownership structure of Rezolve Limited and Rezolve AI plc, the Pre-Closing Demerger was accounted for as a common control transaction in accordance with the common control guidance in ASC 805. The net liabilities of Rezolve Limited were transferred to Rezolve AI plc at their carrying values immediately prior to the Pre-Closing Demerger transaction, with an offsetting impact to Additional Paid in Capital which was then recapitalized to Accumulated Deficit. The Consolidated Financial Statements as of and for the year ended December 31, 2023 and the period January 1, 2024 to July 4, 2024 for Rezolve Limited have been aggregated with the Consolidated Financial Statements of the Company for the period July 5, 2024 to December 31, 2024.</w:t>
      </w:r>
    </w:p>
    <w:p>
      <w:pPr>
        <w:spacing w:after="0" w:line="79"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issued in Rezolve AI plc to the shareholders of Rezolve Limited pursuant to the Pre-Closing Demerger was in the order of 1 share in Rezolve AI plc for each 6.13 shares held in Rezolve Limited. This adjustment in share numbers enabled the issuance of the appropriate number of shares in Rezolve AI plc so that each Company Shareholder will after the Pre-Closing Demerger hold their applicable pro rata portion of the aggregate stock consideration in accordance with the terms of the Pre-Closing Demerger transaction. All share and per share amounts in these Consolidated Financial Statements and notes thereto have been retroactively adjusted for all periods presented to give effect to the Pre-Closing Demerger transaction. Additionally, holders of Series A shares of Rezolve AI plc received one Ordinary share in the Company for each Series A share held in Rezolve AI plc.</w:t>
      </w:r>
    </w:p>
    <w:p>
      <w:pPr>
        <w:spacing w:after="0" w:line="29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Basis of consolidation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 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with the most significant impact on the entity’s economic performance, and (2) the right to receive benefits or the obligation to absorb losses from the entity which could potentially be significant to the entity.</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6" w:name="page137"/>
    <w:bookmarkEnd w:id="13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list of subsidiaries and Rezolve AI plc’s holding as of December 31, 2024 and 2023 is as follows: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40" w:type="dxa"/>
            <w:vAlign w:val="bottom"/>
          </w:tcPr>
          <w:p>
            <w:pPr>
              <w:spacing w:after="0"/>
              <w:rPr>
                <w:sz w:val="13"/>
                <w:szCs w:val="13"/>
                <w:color w:val="auto"/>
              </w:rPr>
            </w:pP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1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48"/>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the entity</w:t>
            </w:r>
          </w:p>
        </w:tc>
        <w:tc>
          <w:tcPr>
            <w:tcW w:w="1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shareholding</w:t>
            </w:r>
          </w:p>
        </w:tc>
        <w:tc>
          <w:tcPr>
            <w:tcW w:w="0" w:type="dxa"/>
            <w:vAlign w:val="bottom"/>
          </w:tcPr>
          <w:p>
            <w:pPr>
              <w:spacing w:after="0"/>
              <w:rPr>
                <w:sz w:val="1"/>
                <w:szCs w:val="1"/>
                <w:color w:val="auto"/>
              </w:rPr>
            </w:pPr>
          </w:p>
        </w:tc>
      </w:tr>
      <w:tr>
        <w:trPr>
          <w:trHeight w:val="173"/>
        </w:trPr>
        <w:tc>
          <w:tcPr>
            <w:tcW w:w="3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4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480" w:type="dxa"/>
            <w:vAlign w:val="bottom"/>
            <w:gridSpan w:val="2"/>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Taiwan Limited</w:t>
            </w:r>
          </w:p>
        </w:tc>
        <w:tc>
          <w:tcPr>
            <w:tcW w:w="16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9, 2000</w:t>
            </w:r>
          </w:p>
        </w:tc>
        <w:tc>
          <w:tcPr>
            <w:tcW w:w="140" w:type="dxa"/>
            <w:vAlign w:val="bottom"/>
            <w:shd w:val="clear" w:color="auto" w:fill="CFF0FC"/>
          </w:tcPr>
          <w:p>
            <w:pPr>
              <w:spacing w:after="0"/>
              <w:rPr>
                <w:sz w:val="18"/>
                <w:szCs w:val="18"/>
                <w:color w:val="auto"/>
              </w:rPr>
            </w:pPr>
          </w:p>
        </w:tc>
        <w:tc>
          <w:tcPr>
            <w:tcW w:w="27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Taiwan</w:t>
            </w:r>
          </w:p>
        </w:tc>
        <w:tc>
          <w:tcPr>
            <w:tcW w:w="1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Rezolve Technology (India) Private</w:t>
            </w:r>
          </w:p>
        </w:tc>
        <w:tc>
          <w:tcPr>
            <w:tcW w:w="16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19, 2021</w:t>
            </w:r>
          </w:p>
        </w:tc>
        <w:tc>
          <w:tcPr>
            <w:tcW w:w="140" w:type="dxa"/>
            <w:vAlign w:val="bottom"/>
          </w:tcPr>
          <w:p>
            <w:pPr>
              <w:spacing w:after="0"/>
              <w:rPr>
                <w:sz w:val="17"/>
                <w:szCs w:val="17"/>
                <w:color w:val="auto"/>
              </w:rPr>
            </w:pP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480" w:type="dxa"/>
            <w:vAlign w:val="bottom"/>
            <w:gridSpan w:val="2"/>
            <w:vMerge w:val="restart"/>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26"/>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Limited</w:t>
            </w:r>
          </w:p>
        </w:tc>
        <w:tc>
          <w:tcPr>
            <w:tcW w:w="1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72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Mobile Commerce Inc.</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20, 2016</w:t>
            </w:r>
          </w:p>
        </w:tc>
        <w:tc>
          <w:tcPr>
            <w:tcW w:w="140" w:type="dxa"/>
            <w:vAlign w:val="bottom"/>
            <w:shd w:val="clear" w:color="auto" w:fill="CFF0FC"/>
          </w:tcPr>
          <w:p>
            <w:pPr>
              <w:spacing w:after="0"/>
              <w:rPr>
                <w:sz w:val="18"/>
                <w:szCs w:val="18"/>
                <w:color w:val="auto"/>
              </w:rPr>
            </w:pPr>
          </w:p>
        </w:tc>
        <w:tc>
          <w:tcPr>
            <w:tcW w:w="2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1480" w:type="dxa"/>
            <w:vAlign w:val="bottom"/>
            <w:gridSpan w:val="2"/>
            <w:shd w:val="clear" w:color="auto" w:fill="CFF0FC"/>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Rezolve Technology S.L.</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25, 2020</w:t>
            </w:r>
          </w:p>
        </w:tc>
        <w:tc>
          <w:tcPr>
            <w:tcW w:w="14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Spain</w:t>
            </w:r>
          </w:p>
        </w:tc>
        <w:tc>
          <w:tcPr>
            <w:tcW w:w="148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Rezolve AI IP Holdings Limited</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December 19,</w:t>
            </w:r>
          </w:p>
        </w:tc>
        <w:tc>
          <w:tcPr>
            <w:tcW w:w="140" w:type="dxa"/>
            <w:vAlign w:val="bottom"/>
            <w:shd w:val="clear" w:color="auto" w:fill="CFF0FC"/>
          </w:tcPr>
          <w:p>
            <w:pPr>
              <w:spacing w:after="0"/>
              <w:rPr>
                <w:sz w:val="17"/>
                <w:szCs w:val="17"/>
                <w:color w:val="auto"/>
              </w:rPr>
            </w:pPr>
          </w:p>
        </w:tc>
        <w:tc>
          <w:tcPr>
            <w:tcW w:w="27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1480" w:type="dxa"/>
            <w:vAlign w:val="bottom"/>
            <w:gridSpan w:val="2"/>
            <w:vMerge w:val="restart"/>
            <w:shd w:val="clear" w:color="auto" w:fill="CFF0FC"/>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40" w:type="dxa"/>
            <w:vAlign w:val="bottom"/>
            <w:shd w:val="clear" w:color="auto" w:fill="CFF0FC"/>
          </w:tcPr>
          <w:p>
            <w:pPr>
              <w:spacing w:after="0"/>
              <w:rPr>
                <w:sz w:val="10"/>
                <w:szCs w:val="10"/>
                <w:color w:val="auto"/>
              </w:rPr>
            </w:pPr>
          </w:p>
        </w:tc>
        <w:tc>
          <w:tcPr>
            <w:tcW w:w="1580" w:type="dxa"/>
            <w:vAlign w:val="bottom"/>
            <w:gridSpan w:val="2"/>
            <w:vMerge w:val="restart"/>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shd w:val="clear" w:color="auto" w:fill="CFF0FC"/>
          </w:tcPr>
          <w:p>
            <w:pPr>
              <w:spacing w:after="0"/>
              <w:rPr>
                <w:sz w:val="10"/>
                <w:szCs w:val="10"/>
                <w:color w:val="auto"/>
              </w:rPr>
            </w:pPr>
          </w:p>
        </w:tc>
        <w:tc>
          <w:tcPr>
            <w:tcW w:w="2720" w:type="dxa"/>
            <w:vAlign w:val="bottom"/>
            <w:vMerge w:val="continue"/>
            <w:shd w:val="clear" w:color="auto" w:fill="CFF0FC"/>
          </w:tcPr>
          <w:p>
            <w:pPr>
              <w:spacing w:after="0"/>
              <w:rPr>
                <w:sz w:val="10"/>
                <w:szCs w:val="10"/>
                <w:color w:val="auto"/>
              </w:rPr>
            </w:pPr>
          </w:p>
        </w:tc>
        <w:tc>
          <w:tcPr>
            <w:tcW w:w="148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shd w:val="clear" w:color="auto" w:fill="CFF0FC"/>
          </w:tcPr>
          <w:p>
            <w:pPr>
              <w:spacing w:after="0"/>
              <w:rPr>
                <w:sz w:val="9"/>
                <w:szCs w:val="9"/>
                <w:color w:val="auto"/>
              </w:rPr>
            </w:pPr>
          </w:p>
        </w:tc>
        <w:tc>
          <w:tcPr>
            <w:tcW w:w="1580" w:type="dxa"/>
            <w:vAlign w:val="bottom"/>
            <w:gridSpan w:val="2"/>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7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Armada Acquisition Corp. I</w:t>
            </w:r>
          </w:p>
        </w:tc>
        <w:tc>
          <w:tcPr>
            <w:tcW w:w="1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15, 2024</w:t>
            </w:r>
          </w:p>
        </w:tc>
        <w:tc>
          <w:tcPr>
            <w:tcW w:w="14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148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Consolidated Financial Statements have been prepared using the United Stated Dollar ($) as its reporting currency.</w:t>
      </w:r>
    </w:p>
    <w:p>
      <w:pPr>
        <w:spacing w:after="0" w:line="3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2.3  Emerging Growth Company</w:t>
      </w:r>
    </w:p>
    <w:p>
      <w:pPr>
        <w:spacing w:after="0" w:line="121"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7"/>
          <w:szCs w:val="17"/>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Pursuant to ASC 205-40, Presentation of Financial Statements—Going Concern (“ASC 205-40”), management must evaluate whether there are conditions and events, considered in aggregate, that raise substantial doubt about the Company’s ability to continue as a going concern for one year after the date that these Consolidated Financial Statements are issued. In accordance with ASC 205-40, management’s analysis can only include the potential mitigating impact of management’s plans that have not been fully implemented as of the issuance date if (a) it is probable that management’s plans will be effectively implemented on a timely basis, and (b) it is probable that the plans, when implemented, will alleviate the relevant conditions or events that raise substantial doubt about the Company’s ability to continue as a going concern.</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an accumulated deficit of $232.1 million. For the year ended December 31, 2024, the Company incurred a net loss of $172.6 million and net cash used in operating activities was $21.6 million. Cash and cash equivalents totaled $9.5 million as of December 31, 2024, an increase of $9.4 million from December 31, 2023. The Company has a working capital deficit of $44.8 million as at December 31, 2024. The Company continues to incur losses while it develops technological services, targets customers and incurs costs for an initial public offering or business combination. Our sources of cash for these activities rely on debt and equity funding.</w:t>
      </w:r>
    </w:p>
    <w:p>
      <w:pPr>
        <w:spacing w:after="0" w:line="183"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1020" w:hanging="503"/>
        <w:spacing w:after="0"/>
        <w:tabs>
          <w:tab w:leader="none" w:pos="10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 or equity securities.</w:t>
      </w:r>
    </w:p>
    <w:p>
      <w:pPr>
        <w:spacing w:after="0" w:line="117" w:lineRule="exact"/>
        <w:rPr>
          <w:rFonts w:ascii="Times New Roman" w:cs="Times New Roman" w:eastAsia="Times New Roman" w:hAnsi="Times New Roman"/>
          <w:sz w:val="18"/>
          <w:szCs w:val="18"/>
          <w:color w:val="auto"/>
        </w:rPr>
      </w:pPr>
    </w:p>
    <w:p>
      <w:pPr>
        <w:ind w:left="5460" w:right="3760" w:hanging="4943"/>
        <w:spacing w:after="0" w:line="407" w:lineRule="auto"/>
        <w:tabs>
          <w:tab w:leader="none" w:pos="103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 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7" w:name="page138"/>
    <w:bookmarkEnd w:id="137"/>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generate revenue from our technology.</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Assumptions underlying the Company’s business plan are highly sensitive to the signing of revenue generating contracts, the successful outcome of trials for our services and the ability to control expenses.</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Furthermore, the review of the strategic plan and budget, including expected developments in liquidity and capital from definitive agreements entered into, were considered. As of the date of issuance of these consolidated financial statements, the Company has a further $234.4 million remaining on the Standby Equity Purchase Agreement ("SEPA") capital commitment facility with YA II PN, LTD ("YA"), a Cayman Island exempt limited company. The SEPA is a share subscription facility which was signed and executed on February 23, 2023 and amended and restated on February 2, 2024 to provide for, inter alia, Rezolve AI Limited joining as a party to the agreement and the subscription by YA of a promissory convertible note (“YA Agreement”, note 7.6). The Company may continue to seek capital through the issuance of equity securities using the remaining undrawn capital commitment facility. Consequently, it has been concluded that adequate resources and liquidity to meet the cash flow requirements for the next twelve months are present, and it is reasonable to apply the going concern basis as the underlying assumption for the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capitalized software and share-based compensation. Management believes that the estimates used in the preparation of the consolidated financial statements are prudent and reasonable. Although these estimates are based upon management’s best knowledge of current events and actions, actual results could differ from estimates</w:t>
      </w:r>
    </w:p>
    <w:p>
      <w:pPr>
        <w:spacing w:after="0" w:line="29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Foreign currency translation and transactions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 is the US dollar, being the currency in which the Company and its predecessor company, Rezolve Limited, predominantly generates cash through financing transactions and expended cash in. The subsidiaries have different functional currencies such as the Euro, Indian Rupee and New Taiwan Dollar which have been determined on the basis of the primary economic environment in which each entity of the Company operates. Management believes that each individual entity’s functional currency reflects the transactions, events and conditions under which the entity conducts its business.</w:t>
      </w:r>
    </w:p>
    <w:p>
      <w:pPr>
        <w:spacing w:after="0" w:line="183"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Transactions denominated in currencies other than our or our subsidiaries’ functional currencies are recorded based on exchange rates at the time such transactions arise. Assets and liabilities denominated in currencies other than the functional currency are remeasured using the current exchange rate for monetary accounts and historical exchange rates for non-monetary accounts, with exchange differences on remeasurement included in other income (expense), net in our consolidated statements of operations. Foreign subsidiaries that utilize foreign currency as their functional currency translate such currency into U.S. dollars using (i) the exchange rate on the balance sheet dates for assets and liabilities, (ii) the average exchange rates prevailing during the period for revenues and expenses, and (iii) historical exchange rates for equity. Any translation adjustments resulting from this process are shown separately as a component of accumulated other comprehensive income (loss) within shareholder’s deficit in the consolidated balance sheets and statement of comprehensive income (loss).</w:t>
      </w:r>
    </w:p>
    <w:p>
      <w:pPr>
        <w:spacing w:after="0" w:line="19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effects of exchange rates on cash balances held in foreign currencies are separately reported in our consolidated statements of cash flows.</w:t>
      </w:r>
    </w:p>
    <w:p>
      <w:pPr>
        <w:spacing w:after="0" w:line="2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Cash</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Cash comprises cash on hand and in current accounts which are readily available. Our cash is held in creditworthy financial institutions and is insured up to £85,000 in accordance with the regulations of the United Kingdom’s Financial Conduct Authority. The Company has not experienced any losses associated with cash held with financial institutions.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8" w:name="page139"/>
    <w:bookmarkEnd w:id="138"/>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121" w:lineRule="exact"/>
        <w:rPr>
          <w:sz w:val="20"/>
          <w:szCs w:val="20"/>
          <w:color w:val="auto"/>
        </w:rPr>
      </w:pPr>
    </w:p>
    <w:p>
      <w:pPr>
        <w:ind w:right="20" w:firstLine="554"/>
        <w:spacing w:after="0" w:line="256" w:lineRule="auto"/>
        <w:rPr>
          <w:sz w:val="20"/>
          <w:szCs w:val="20"/>
          <w:color w:val="auto"/>
        </w:rPr>
      </w:pPr>
      <w:r>
        <w:rPr>
          <w:rFonts w:ascii="Times New Roman" w:cs="Times New Roman" w:eastAsia="Times New Roman" w:hAnsi="Times New Roman"/>
          <w:sz w:val="18"/>
          <w:szCs w:val="18"/>
          <w:color w:val="auto"/>
        </w:rPr>
        <w:t>Account receivable consists primarily of amounts related to fees charged to customers. Credit is extended based on evaluation of a customer’s financial condition and generally collateral is not required. Accounts receivable is stated at amounts due from customers net of an allowance for expected credit losses. The allowance for doubtful accounts is based upon our current estimate of lifetime expected credit losses related to uncollectible accounts receivable. The Company evaluates the need for an allowance for doubtful accounts based on historical collection trends, prevailing and anticipated macroeconomic conditions and specific customer credit risk. Accounts receivable in the accompanying consolidated financial statements does not have any allowances created for doubtful accounts.</w:t>
      </w:r>
    </w:p>
    <w:p>
      <w:pPr>
        <w:spacing w:after="0" w:line="29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of acquisition less accumulated depreciation and accumulated impairment provisions, however, there have been no indicators identified during the reporting periods.</w:t>
      </w:r>
    </w:p>
    <w:p>
      <w:pPr>
        <w:spacing w:after="0" w:line="16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An item of property and equipment is derecognized upon disposal or when no future economic benefits are expected from its use. Any gain or loss arising on derecognition of the asset (calculated as the difference between the net disposal proceeds and the net carrying amount of the asset) is included in the consolidated statement of comprehensive operations, in the year the asset is derecognized.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on property and equipment is charged to expense on a systematic basis over the useful life of assets as estimated by the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computed using the straight-line method. The useful lives estimated by the management are as follows:</w:t>
      </w:r>
    </w:p>
    <w:p>
      <w:pPr>
        <w:spacing w:after="0" w:line="200"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10"/>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w:t>
            </w:r>
          </w:p>
        </w:tc>
        <w:tc>
          <w:tcPr>
            <w:tcW w:w="1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Repairs and maintenance of property and equipment are expensed as incurred; enhancements and improvements that extend the life of property and equipment are capitalized into their cost.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2.10.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consist of computer software and internal-use software.</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Computer software</w:t>
      </w:r>
    </w:p>
    <w:p>
      <w:pPr>
        <w:spacing w:after="0" w:line="11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years ended 2024 and 2023.</w:t>
      </w:r>
    </w:p>
    <w:p>
      <w:pPr>
        <w:spacing w:after="0" w:line="17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Computer software assets are amortized over their useful economic life less their estimated residual value and assessed for impairment whenever there is an indication that the intangible asset may be impaired. Gains or losses arising from de-recognition of an intangible asset are measured as the difference between the net disposal proceeds and the net carrying amount of the asset and are recognized in profit or loss in the consolidated statement of operations when the asset is derecognized.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initial useful lives of computer software assets as estimated by management are summarized as follows:</w:t>
      </w:r>
    </w:p>
    <w:p>
      <w:pPr>
        <w:spacing w:after="0" w:line="219"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10"/>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3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capitalize internal and external costs directly associated with the development of internal-use software. Maintenance and training costs, as well as costs incurred during the preliminary stage of an internal-use software development project, are expensed as incurred. The Company has not commenced amortizing the in-development software as it not yet ready for its intended use. The Company reviews internal-use software for impairment when an event or changes in business circumstances indicate that the carrying</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9" w:name="page140"/>
    <w:bookmarkEnd w:id="13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amount of the asset may not be fully recoverable. There were no indicators of impairment for internal-use software as of December 31, 2024 and December 31, 2023 and the years then ended.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  Impairment of assets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reviews assets, including the property and equipment and definite-life intangible assets, for impairment when an event or changes in business circumstances indicate that the carrying amount of the asset may not be fully recoverable. An impairment loss is recognized when estimated undiscounted future cash flows expected to result from use of the asset and its eventual disposition are less than the carrying amount. Impairment loss, if any, is measured as the difference between the fair value of an asset, as measured by discounted cash flows and the asset’s carrying value.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indicators of impairment for any of the long-lived assets as of December 31, 2024 and December 31, 2023 and the years then ended.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2.12.  Convertible 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Convertible notes are regarded as hybrid instruments, consisting of a liability component and an equity component.</w:t>
      </w:r>
    </w:p>
    <w:p>
      <w:pPr>
        <w:spacing w:after="0" w:line="11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host instrument (i.e., convertible note or debt element of the outstanding instruments) is classified as a financial liability and recorded at the present value of the Company’s obligation to make future interest payments in cash and settle the redemption value of the instrument in cash. The carrying value of the host instrument is accounted for at amortized cost and is therefore accreted to the original face value of the instrument, over the life, using the effective interest method.</w:t>
      </w:r>
    </w:p>
    <w:p>
      <w:pPr>
        <w:spacing w:after="0" w:line="7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When the Company issues debt with a conversion feature, we assess, in accordance with ASC 480-10 -Distinguishing Liabilities from Equity and ASC 815 - Derivatives and Hedging, whether the conversion feature meets the requirements to be treated as a derivative, as follows: (a) one or more underlying’s, typically the price of our common stock; (b) one or more notional amounts or payment provisions or both, generally the number of shares upon conversion; (c) no initial net investment, which typically excludes the amount borrowed; and (d) net settlement provisions, which in the case of convertible debt generally means the stock received upon conversion can be readily sold for cash.</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conversion features of convertible debt instruments issued by the Company, that meet the requirements to be bifurcated and treated as derivatives, are recorded as either financial assets or financial liabilities, in accordance with the substance of the contractual arrangements and the definitions of either a financial asset or a financial liability. These financial assets or a financial liabilities are initially recognized at fair value and classified as derivative assets or liabilities in the consolidated balance sheet. Changes in the fair value of the derivative assets or liabilities are subsequently accounted for directly through the consolidated statements of operations and comprehensive income (loss) and are included in operating activities in the consolidated statements of cash flows as non-cash adjustment.</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conversion options are valued using certain directly and indirectly observable inputs and are classified as Level 2 in the fair value hierarchy in accordance with ASC 820 - Fair Value Measurement. The Company utilizes a third party valuation expert to determine the estimated fair value of the derivatives. The third party valuation expert estimates the fair value of the derivative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 The derivative is revalued at the end of each reporting period and any change in fair value is recorded as a gain or loss in the statement of operations.</w:t>
      </w:r>
    </w:p>
    <w:p>
      <w:pPr>
        <w:spacing w:after="0" w:line="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also considers the impact, if any, of the dilutive effect of the shares of its common stock issuable upon conversion of the outstanding convertible debt in its diluted income per share, see note 2.20.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2.13.  Deferred financing costs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Deferred financing costs include debt discounts and debt issuance costs related to a recognized debt liability and are presented in the balance sheet as a direct reduction from the carrying value of the debt liability. Amortization of deferred financing costs are included as a component of interest expense. Deferred financing costs are amortized using the effective interest method.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2.14.  Revenue recognition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0" w:name="page141"/>
    <w:bookmarkEnd w:id="140"/>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ASC 606, the Company determines revenue recognition through the following steps:</w:t>
      </w:r>
    </w:p>
    <w:p>
      <w:pPr>
        <w:spacing w:after="0" w:line="117" w:lineRule="exact"/>
        <w:rPr>
          <w:sz w:val="20"/>
          <w:szCs w:val="20"/>
          <w:color w:val="auto"/>
        </w:rPr>
      </w:pPr>
    </w:p>
    <w:p>
      <w:pPr>
        <w:ind w:left="1020" w:hanging="503"/>
        <w:spacing w:after="0"/>
        <w:tabs>
          <w:tab w:leader="none" w:pos="1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the Company satisfies performance obligations by transferring the promised goods or services.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Ticketing Commissions (Spain)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single source of revenue is for the commission from sales of football tickets for La Liga in Spain through our platform technology.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 Liga pays a commission for each football ticket sold through our platform technology.</w:t>
      </w:r>
    </w:p>
    <w:p>
      <w:pPr>
        <w:spacing w:after="0" w:line="20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Revenue is recognized in accordance with ASC 606 “Revenue from Contracts with Customers” at the point in time when a football ticket is sold on our platform technology.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2.15.  Cost of revenue</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Cost of revenues consists of expenses incurred directly in relation to the earning of revenues such as partner’s fees and the impairment of current assets (see note 2.11).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2.16.  Operating segments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the Company operates as one operating segment, financial data provided in the consolidated financial statements, including total revenues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$187,788 (2023:$145,051), total operating expenses of $138,230,574 (2023:$26,151,325), consolidated net loss of $172,646,790 (2023: $30,736,098),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of $19,788,157 (2023: $2,536,484), represent the performance of our single reportable segment. The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 the same level of significant expense categories regularly provided to the CODM for decision-making purposes. Sales and marketing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in the consolidated statements of operations includes advertising expenses, payroll expenses, and consultancy charges (see note 12). General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 reported in the consolidated statements of operations includes IT expenses, legal and professional expenses, payroll expenses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consultancy charges (see note 12).</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CODM does not review segment assets at a different level or category than those disclosed in the consolidated balance sheet.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2.17.  Research and development credits</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Credits for research and development activities relate to government incentives on qualifying research and development expenditures in the United Kingdom. These refundable credits are recognized within other non-operating income when they are filed with the government authorities and there is no uncertainty on the realization of the credits until they are refundable.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2.18.  Share-based compensation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measures the cost of share-based awards granted to employees, non-employees and directors based on the grant-date fair value of the awards. The grant-date fair value of the share options is calculated using a Black-Scholes Merton option pricing model. The value of the portion of the award, after considering potential forfeitures, that is ultimately expected to vest is recognized as expense in our statements of operations on a over the requisite service periods. The Company elected to recognize the effect of forfeitures in the period that they occur.</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41" w:name="page142"/>
    <w:bookmarkEnd w:id="141"/>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2.19.  Shareholders’ deficit and reserves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Shares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has one class of issued shares, ordinary shares. As of December 31, 2023, the Company had two classes of issued shares, ordinary shares and Series A preferred shares. On August 15, 2024, the Company’s series A shares were reclassified as Ordinary Shares, see note 2.1.</w:t>
      </w:r>
    </w:p>
    <w:p>
      <w:pPr>
        <w:spacing w:after="0" w:line="68"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Each series A preferred and ordinary shareholder are entitled to one vote per share. Holders of ordinary shares are entitled to receive dividends out of any asset legally available for payment of dividends only when such dividends are declared by the Board of Directors and approved by the majority of the shareholders. As of December 31, 2024 and 2023, the Company’s Board of Directors had not declared any dividends for ordinary shares.</w:t>
      </w:r>
    </w:p>
    <w:p>
      <w:pPr>
        <w:spacing w:after="0" w:line="68" w:lineRule="exact"/>
        <w:rPr>
          <w:sz w:val="20"/>
          <w:szCs w:val="20"/>
          <w:color w:val="auto"/>
        </w:rPr>
      </w:pPr>
    </w:p>
    <w:p>
      <w:pPr>
        <w:ind w:right="360" w:firstLine="509"/>
        <w:spacing w:after="0" w:line="312" w:lineRule="auto"/>
        <w:rPr>
          <w:sz w:val="20"/>
          <w:szCs w:val="20"/>
          <w:color w:val="auto"/>
        </w:rPr>
      </w:pPr>
      <w:r>
        <w:rPr>
          <w:rFonts w:ascii="Times New Roman" w:cs="Times New Roman" w:eastAsia="Times New Roman" w:hAnsi="Times New Roman"/>
          <w:sz w:val="17"/>
          <w:szCs w:val="17"/>
          <w:color w:val="auto"/>
        </w:rPr>
        <w:t>The authorized and outstanding shares as of December 31, 2024 and December 31, 2023 as are follows, reflecting the impact of the Pre-Closing Demerger transaction whereby one share in Rezolve AI plc was issued to shareholders of Rezolve Limited for each 6.13 shares held (see note 2.1):</w:t>
      </w:r>
    </w:p>
    <w:p>
      <w:pPr>
        <w:spacing w:after="0" w:line="32" w:lineRule="exact"/>
        <w:rPr>
          <w:sz w:val="20"/>
          <w:szCs w:val="20"/>
          <w:color w:val="auto"/>
        </w:rPr>
      </w:pPr>
    </w:p>
    <w:p>
      <w:pPr>
        <w:ind w:left="1020" w:right="20" w:hanging="503"/>
        <w:spacing w:after="0" w:line="282" w:lineRule="auto"/>
        <w:tabs>
          <w:tab w:leader="none" w:pos="1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£0.0001 nominal value 208,260,754 shares issued and outstanding as of December 31, 2024; 152,262,295 shares issued and outstanding as of December 31, 2023; 256,365,817 and 161,710,480 shares authorized as of December 31, 2024 and 2023.</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shares: £0.0001 nominal value 4,575,983 shares issued, authorized and outstanding as of December 31, 2023.</w:t>
      </w:r>
    </w:p>
    <w:p>
      <w:pPr>
        <w:spacing w:after="0" w:line="225"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As of December 31, 2023, 9,513,181 restricted employee shares were outstanding due to an unofficial and unapproved equity incentive plan. These shares par value of £0.0001 per share were unpaid by the employees. The employee shares had significant restrictions including management’s and or the board’s rights to cancel the shares any time, restrictions on right to transfer, to vote and cumulative dividends. There were no vesting conditions including service conditions in relation to the shares issued. Considering the restrictions imposed on these shares, these shares were considered to be ungranted to the employees. The amount receivable for these employee shares and such employee shares issued were adjusted from the share subscription receivable and number of ordinary shares, respectively in the Company’s consolidated statement of changes in shareholder’s deficit as of and for the year ended December 31, 2023. The articles of incorporation of the Company were amended to remove these restrictions prior to the completion of the Pre-Closing Demerger transaction. The removal of these restrictions triggered a “grant date” as defined in ASC 718. As there were no vesting conditions, the shares were fully vested at grant date. The Company recognized a share-based payment expense of $18,836,099 during the year ended December 31, 2024 using a fair value of ordinary shares of $1.98. The fair value of the ordinary shares was estimated using a recent funding of the Company, historical discounts to share prices following an initial public offering through a Special Purpose Acquisition Corp ("SPAC"), while also considering the risk that the Company may not successfully close its Business Combination with Armada or complete the Demerger. The valuation used an estimated discount for lack of marketability using an average from the results of a Black-Scholes Protective Put Option Analysis, Asian Put Option Analysis and the Finnerty Put Option Analysis.</w:t>
      </w:r>
    </w:p>
    <w:p>
      <w:pPr>
        <w:spacing w:after="0" w:line="176"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2.20.  Fair value measurement and concentration of credit risk</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2" w:name="page143"/>
    <w:bookmarkEnd w:id="14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hanging="503"/>
        <w:spacing w:after="0" w:line="282" w:lineRule="auto"/>
        <w:tabs>
          <w:tab w:leader="none" w:pos="10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5"/>
                <w:szCs w:val="15"/>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20" w:type="dxa"/>
            <w:vAlign w:val="bottom"/>
          </w:tcPr>
          <w:p>
            <w:pPr>
              <w:spacing w:after="0"/>
              <w:rPr>
                <w:sz w:val="18"/>
                <w:szCs w:val="18"/>
                <w:color w:val="auto"/>
              </w:rPr>
            </w:pPr>
          </w:p>
        </w:tc>
        <w:tc>
          <w:tcPr>
            <w:tcW w:w="474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2,579,875</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Derivative asset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2,587,581</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20"/>
                <w:szCs w:val="20"/>
                <w:color w:val="auto"/>
              </w:rPr>
            </w:pPr>
          </w:p>
        </w:tc>
      </w:tr>
    </w:tbl>
    <w:p>
      <w:pPr>
        <w:spacing w:after="0" w:line="179" w:lineRule="exact"/>
        <w:rPr>
          <w:sz w:val="20"/>
          <w:szCs w:val="20"/>
          <w:color w:val="auto"/>
        </w:rPr>
      </w:pPr>
    </w:p>
    <w:p>
      <w:pPr>
        <w:ind w:left="520" w:right="280" w:hanging="512"/>
        <w:spacing w:after="0" w:line="261" w:lineRule="auto"/>
        <w:tabs>
          <w:tab w:leader="none" w:pos="5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share-based payment liability was valued using a discounted cash flow method using a risk adjusted discount rate of 10.8%. See note 7.5.</w:t>
      </w:r>
    </w:p>
    <w:p>
      <w:pPr>
        <w:ind w:left="520" w:right="20" w:hanging="512"/>
        <w:spacing w:after="0" w:line="253" w:lineRule="auto"/>
        <w:tabs>
          <w:tab w:leader="none" w:pos="5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derivative asset and the derivative liability were valued by a third party valuation expert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 The derivative is revalued at the end of each reporting period and any change in fair value is recorded as a gain or loss in the statement of operations. See note 2.12.</w:t>
      </w:r>
    </w:p>
    <w:p>
      <w:pPr>
        <w:spacing w:after="0" w:line="187"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The derivative asset pertains to an option held by the Company to convert a promissory note payable to Northland Securities (see note 7.7).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derivative liabilities were triggered by conversion features embedded in promissory notes held by investors Cohen &amp; Company Financial Management LLC (note 7.6), J.V.B. Financial Group and Northlands Securities (see note 7.7). On August 15, 2024, the Company recognized derivative liabilities and an offsetting debt discount associated with the embedded conversion features in its senior secured convertible notes (see note 7.3), convertible promissory notes (see note 7.6) and advisors loans (see note 7.7). The Company previously did not bifurcate the embedded conversion features as derivatives due to the lack of an underlying share price prior to the Company's acquisition of Armada and listing of its Ordinary Shares on the NASDAQ. The Company no longer recognizes a derivative liability associated with the following debt liabilities due to the investors having exercised their conversion features by December 31, 2024:</w:t>
      </w:r>
    </w:p>
    <w:p>
      <w:pPr>
        <w:spacing w:after="0" w:line="81" w:lineRule="exact"/>
        <w:rPr>
          <w:sz w:val="20"/>
          <w:szCs w:val="20"/>
          <w:color w:val="auto"/>
        </w:rPr>
      </w:pPr>
    </w:p>
    <w:p>
      <w:pPr>
        <w:ind w:left="1020" w:hanging="503"/>
        <w:spacing w:after="0"/>
        <w:tabs>
          <w:tab w:leader="none" w:pos="10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convertible notes (note 7.3);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 notes (note 7.6);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 (note 7.6)</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3" w:name="page144"/>
    <w:bookmarkEnd w:id="14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Accounts receivable and loan notes receivable are potentially subject to credit risk concentration. The Company has not experienced any material losses related to concentrations during the years presented. The Company, however, has a concentration risk related to its contract with its only customer such that at December 31, 2024,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180"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Accounts payable include balances for work incurred by third parties for the benefit of the company. At December 31, 2024 and 2023, the following vendors represented more than 10% of total accounts payable.</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1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6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DLA Piper LLP</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7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Donnelley Financial LLC</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640" w:type="dxa"/>
            <w:vAlign w:val="bottom"/>
          </w:tcPr>
          <w:p>
            <w:pPr>
              <w:jc w:val="right"/>
              <w:ind w:right="224"/>
              <w:spacing w:after="0"/>
              <w:rPr>
                <w:sz w:val="20"/>
                <w:szCs w:val="20"/>
                <w:color w:val="auto"/>
              </w:rPr>
            </w:pPr>
            <w:r>
              <w:rPr>
                <w:rFonts w:ascii="Times New Roman" w:cs="Times New Roman" w:eastAsia="Times New Roman" w:hAnsi="Times New Roman"/>
                <w:sz w:val="16"/>
                <w:szCs w:val="16"/>
                <w:color w:val="auto"/>
              </w:rPr>
              <w:t>Less than 10%</w:t>
            </w: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KPMG LLP</w:t>
            </w:r>
          </w:p>
        </w:tc>
        <w:tc>
          <w:tcPr>
            <w:tcW w:w="2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Less than 10%</w:t>
            </w:r>
          </w:p>
        </w:tc>
        <w:tc>
          <w:tcPr>
            <w:tcW w:w="17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Taylor Wessing LLP</w:t>
            </w:r>
          </w:p>
        </w:tc>
        <w:tc>
          <w:tcPr>
            <w:tcW w:w="21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Less than 10%</w:t>
            </w:r>
          </w:p>
        </w:tc>
        <w:tc>
          <w:tcPr>
            <w:tcW w:w="176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Wilson Sonsini Goodrich &amp; Rosati</w:t>
            </w:r>
          </w:p>
        </w:tc>
        <w:tc>
          <w:tcPr>
            <w:tcW w:w="2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Less than 10%</w:t>
            </w:r>
          </w:p>
        </w:tc>
        <w:tc>
          <w:tcPr>
            <w:tcW w:w="17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14%</w:t>
            </w:r>
          </w:p>
        </w:tc>
      </w:tr>
    </w:tbl>
    <w:p>
      <w:pPr>
        <w:spacing w:after="0" w:line="3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All of the Company’s revenue is denominated in the Euro (“EUR”) since the sales of the Company are in Spain. Based upon the Company’s level of operations for the year ended December 31, 2024 and 2023, a sensitivity analysis shows that a 10% appreciation or depreciation in the EUR against the dollar would have increased or decreased, respectively, the Company’s revenue for the years ended December 31, 2024 and 2023 by approximately $18,779 and $14,505 respectively.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Revenue risk</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currently generate a significant portion of our revenue from a single agreement with La Liga from which we expect to generate most of our revenues in the near future. 100% of our revenue was derived from commission from the sale of La Liga football tickets for the year ended December 31, 2024 and 2023, respectively, and we anticipate that a significant portion of our revenue will continue to be derived from this agreement in the near future. The sudden loss of the agreement with La Liga or their decision not to renew the agreement could harm our business, results, operations and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2.21.  Income taxes</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and the related accounts in accordance with ASC 740, Income Taxes. Deferred income tax assets and liabilities are computed annually, for differences between the carrying amounts and the tax basis of assets and liabilities that will result in taxable or deductible amounts in the future based on enacted tax laws and rates applicable to the periods in which the differences are expected to affect taxable income. Valuation allowances are established when it is necessary to reduce deferred tax assets to the amount expected to be realized. The provision for income taxes includes both current taxes for the period plus or minus the change during the period in deferred tax assets and liabilities.</w:t>
      </w:r>
    </w:p>
    <w:p>
      <w:pPr>
        <w:spacing w:after="0" w:line="183"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Tax benefits from uncertain tax position are recognized for financial statement purposes only when it is more-likely-than-not that the position will be sustained with the local taxing authority. Measurement of the tax effects of positions that meet this recognition threshold is based on the largest amount of tax benefit that is greater than 50 percent likely of being realized upon settlement with the taxing authorities.</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a result of operating losses in most of the geographies where the Company operates, we concluded that our deferred tax assets on unutilized tax losses were not more likely than not to be realized in the future and a full valuation allowance has been recorded.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2.22.  Loss and earnings per share</w:t>
      </w:r>
    </w:p>
    <w:p>
      <w:pPr>
        <w:spacing w:after="0" w:line="121"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ASC 260 Earnings Per Share, basic earnings per share, 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4" w:name="page145"/>
    <w:bookmarkEnd w:id="14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 share as all potentially dilutive securities are anti-dilutive in the periods presented. For the years ended December 31, 2024 and 2023 the Company incurred net losses and therefore no potential dilutive ordinary share were utilized in the calculation of losses per share.</w:t>
      </w:r>
    </w:p>
    <w:p>
      <w:pPr>
        <w:spacing w:after="0" w:line="18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76"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176"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4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60" w:type="dxa"/>
            <w:vAlign w:val="bottom"/>
          </w:tcPr>
          <w:p>
            <w:pPr>
              <w:spacing w:after="0"/>
              <w:rPr>
                <w:sz w:val="15"/>
                <w:szCs w:val="15"/>
                <w:color w:val="auto"/>
              </w:rPr>
            </w:pPr>
          </w:p>
        </w:tc>
        <w:tc>
          <w:tcPr>
            <w:tcW w:w="11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 (note 7)</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10,944,628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3,929,566</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payable (note 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1,543,664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13,019,976</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3,521,846</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17,559,511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848,287</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2,639,169</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4,574,146</w:t>
            </w:r>
          </w:p>
        </w:tc>
        <w:tc>
          <w:tcPr>
            <w:tcW w:w="80" w:type="dxa"/>
            <w:vAlign w:val="bottom"/>
          </w:tcPr>
          <w:p>
            <w:pPr>
              <w:spacing w:after="0"/>
              <w:rPr>
                <w:sz w:val="18"/>
                <w:szCs w:val="18"/>
                <w:color w:val="auto"/>
              </w:rPr>
            </w:pPr>
          </w:p>
        </w:tc>
      </w:tr>
      <w:tr>
        <w:trPr>
          <w:trHeight w:val="21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Advisors Loans (note 7)</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2,335,092</w:t>
            </w:r>
          </w:p>
        </w:tc>
        <w:tc>
          <w:tcPr>
            <w:tcW w:w="1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48,042,040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13,013,845</w:t>
            </w:r>
          </w:p>
        </w:tc>
        <w:tc>
          <w:tcPr>
            <w:tcW w:w="8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-170815</wp:posOffset>
            </wp:positionV>
            <wp:extent cx="5143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uses the “if converted” method for calculating the dilutive effect of the convertible debt, shares payable and series A preferred shares and the treasury share method for calculating the dilutive effect of the options and warrants. The series A preferred shares are convertible at the rate of one series A preferred share into one ordinary share in the event of an initial public offering. The Company included the deferred shares as they are expected to be converted to ordinary shares in the future.</w:t>
      </w:r>
    </w:p>
    <w:p>
      <w:pPr>
        <w:spacing w:after="0" w:line="200" w:lineRule="exact"/>
        <w:rPr>
          <w:sz w:val="20"/>
          <w:szCs w:val="20"/>
          <w:color w:val="auto"/>
        </w:rPr>
      </w:pPr>
    </w:p>
    <w:p>
      <w:pPr>
        <w:spacing w:after="0" w:line="300" w:lineRule="exact"/>
        <w:rPr>
          <w:sz w:val="20"/>
          <w:szCs w:val="20"/>
          <w:color w:val="auto"/>
        </w:rPr>
      </w:pPr>
    </w:p>
    <w:p>
      <w:pPr>
        <w:ind w:left="520" w:hanging="512"/>
        <w:spacing w:after="0"/>
        <w:tabs>
          <w:tab w:leader="none" w:pos="52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March 2024, Financial Accounting Standards Board (the “FASB”) issued Accounting Standards Update (“ASU”) 2024-02, Codification Improvements—Amendments to Remove References to the Concepts Statements (“ASU 2024-02”), which is intended to simplify the Codification and draw a distinction between authoritative and non-authoritative literature. ASU 2024-02 is effective for annual reporting periods beginning after December 15, 2024, with early adoption permitted and can be applied on either a prospective or retroactive basis. The Company is currently assessing the impact of ASU 2024-02 on its consolidated financial statements.</w:t>
      </w:r>
    </w:p>
    <w:p>
      <w:pPr>
        <w:spacing w:after="0" w:line="18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No.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2023-09”). ASU 2023-09 requires additional disclosures related to rate reconciliation, income taxes paid, and other disclosures.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2023-09, for each annual periods presented, public entities are required to (1) disclose specific categories in the tabular rate reconciliation and (2) provide additional information for reconciling items that meet a quantitative threshold. In addition, ASU 2023-09 requires all reporting entities to disclose on an annual basis the amount of income taxes paid disaggregated by federal, state, and foreign taxes as well as the amount of income taxes paid by individual jurisdiction. ASU 2023-09 is effective for public business entities for annual periods beginning after December 15, 2024, and can be applied on a prospective</w:t>
      </w:r>
    </w:p>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45" w:name="page146"/>
    <w:bookmarkEnd w:id="14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basis with an option to apply the standard retrospectively. Early adoption is permitted. The Company is currently evaluating the impact of ASU 2023-09 on its consolidated financial statements and related disclosures.</w:t>
      </w:r>
    </w:p>
    <w:p>
      <w:pPr>
        <w:spacing w:after="0" w:line="16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2023-07, </w:t>
      </w:r>
      <w:r>
        <w:rPr>
          <w:rFonts w:ascii="Times New Roman" w:cs="Times New Roman" w:eastAsia="Times New Roman" w:hAnsi="Times New Roman"/>
          <w:sz w:val="18"/>
          <w:szCs w:val="18"/>
          <w:i w:val="1"/>
          <w:iCs w:val="1"/>
          <w:color w:val="auto"/>
        </w:rPr>
        <w:t>Segment Reporting—Improvements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2023-07”), which requires incremental disclosures related to a public entity’s reportable segments. Required disclosures include,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and interim basis, significant segment expenses that are regularly provided to the chief operating decision maker (“CODM”) and included within each reported measure of segment profit or loss, an amount for other segment items (which is the difference between segment revenue less segment expenses and less segment profit or loss) and a description of its composition, the title and position of the CODM, and an explanation of how the CODM uses the reported measure(s) of segment profit or loss in assessing segment performance and deciding how to allocate resources. The standard also permits disclosure of more than one measure of segment profit. ASU 2023-07 is effective for fiscal years beginning after December 15, 2023, and interim periods within fiscal years beginning after December 15, 2024.The adoption had no impact on the reportable segment the Company has identified, and additional required disclosures have been included in Note 2.16.</w:t>
      </w:r>
    </w:p>
    <w:p>
      <w:pPr>
        <w:spacing w:after="0" w:line="19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October 2023, the FASB issued Accounting Standards Update 2023-06, Disclosure Improvements (“ASU 2023-06”), to clarify or improve disclosure and presentation requirements of a variety of topics and align the requirements in the FASB ASC with the SEC’s regulations. The amendments in ASU 2023-06 will become effective on the date the related disclosures are removed from Regulation S-X or Regulation S-K by the SEC, and will no longer be effective if the SEC has not removed the applicable disclosure requirement by June 30, 2027. Early adoption is prohibited. The Company is currently evaluating the impact of ASU 2023-06 on its consolidated financial statements and disclosures.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237,462</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government authorities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Input tax credit</w:t>
            </w:r>
          </w:p>
        </w:tc>
        <w:tc>
          <w:tcPr>
            <w:tcW w:w="14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697,214</w:t>
            </w:r>
          </w:p>
        </w:tc>
        <w:tc>
          <w:tcPr>
            <w:tcW w:w="12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140,432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22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960,848</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right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299,013</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737"/>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170,954</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195,140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Less—Accumulated depreciation</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(153,912)</w:t>
            </w:r>
          </w:p>
        </w:tc>
        <w:tc>
          <w:tcPr>
            <w:tcW w:w="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(115,837)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522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17,332</w:t>
            </w:r>
          </w:p>
        </w:tc>
        <w:tc>
          <w:tcPr>
            <w:tcW w:w="12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79,593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-1422400</wp:posOffset>
            </wp:positionV>
            <wp:extent cx="431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-1405255</wp:posOffset>
            </wp:positionV>
            <wp:extent cx="431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-1422400</wp:posOffset>
            </wp:positionV>
            <wp:extent cx="514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-1405255</wp:posOffset>
            </wp:positionV>
            <wp:extent cx="514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514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2024 and 2023 was $41,673 and $44,556 respectively.</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4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1,014,967</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1,009,272</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In-development intangible asset</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6,655,623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1,862,465</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7,670,590</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2,871,737</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Less—Accumulated amortization for Software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(920,412)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(736,834)</w:t>
            </w:r>
          </w:p>
        </w:tc>
        <w:tc>
          <w:tcPr>
            <w:tcW w:w="168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6,750,178</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2,134,903</w:t>
            </w:r>
          </w:p>
        </w:tc>
        <w:tc>
          <w:tcPr>
            <w:tcW w:w="10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52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6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F-19</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3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-1156335</wp:posOffset>
            </wp:positionV>
            <wp:extent cx="5143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-1156335</wp:posOffset>
            </wp:positionV>
            <wp:extent cx="6032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-864870</wp:posOffset>
            </wp:positionV>
            <wp:extent cx="5143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-847725</wp:posOffset>
            </wp:positionV>
            <wp:extent cx="5143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-864870</wp:posOffset>
            </wp:positionV>
            <wp:extent cx="6032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-847725</wp:posOffset>
            </wp:positionV>
            <wp:extent cx="6032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6" w:name="page147"/>
    <w:bookmarkEnd w:id="14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for software for the years ended December 31, 2024 and 2023 was $183,578 and $197,800 respectively. The Company has not commenced amortizing the in-development intangible asset as it not yet ready for its intended use.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920" w:type="dxa"/>
            <w:vAlign w:val="bottom"/>
            <w:gridSpan w:val="13"/>
          </w:tcPr>
          <w:p>
            <w:pPr>
              <w:ind w:left="180"/>
              <w:spacing w:after="0"/>
              <w:rPr>
                <w:sz w:val="20"/>
                <w:szCs w:val="20"/>
                <w:color w:val="auto"/>
              </w:rPr>
            </w:pPr>
            <w:r>
              <w:rPr>
                <w:rFonts w:ascii="Times New Roman" w:cs="Times New Roman" w:eastAsia="Times New Roman" w:hAnsi="Times New Roman"/>
                <w:sz w:val="18"/>
                <w:szCs w:val="18"/>
                <w:color w:val="auto"/>
                <w:w w:val="99"/>
              </w:rPr>
              <w:t>As of December 31, 2024, expected amortization expense for Software over its remaining life is as follows: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75,960</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gridSpan w:val="2"/>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94,555</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57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Debt and other liabilities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Short-term debt and other liabilities</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 to related parties (7.1)</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5,102,211</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Ordinary shares payable (7.2)</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1,206,609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(7.3)</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10,288,123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 (7.4)</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95,309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liability (7.5)</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1,400,000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 (7.6)</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6,428,825</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Advisors loans (7.7)</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12,812,366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37,333,443</w:t>
            </w: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46,981,299</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(Gain)/loss on extinguishment</w:t>
            </w: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 (7.3)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39,658,290</w:t>
            </w:r>
          </w:p>
        </w:tc>
        <w:tc>
          <w:tcPr>
            <w:tcW w:w="80" w:type="dxa"/>
            <w:vAlign w:val="bottom"/>
          </w:tcPr>
          <w:p>
            <w:pPr>
              <w:spacing w:after="0"/>
              <w:rPr>
                <w:sz w:val="18"/>
                <w:szCs w:val="18"/>
                <w:color w:val="auto"/>
              </w:rPr>
            </w:pPr>
          </w:p>
        </w:tc>
        <w:tc>
          <w:tcPr>
            <w:tcW w:w="22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secured convertible debt (7.3)</w:t>
            </w:r>
          </w:p>
        </w:tc>
        <w:tc>
          <w:tcPr>
            <w:tcW w:w="180" w:type="dxa"/>
            <w:vAlign w:val="bottom"/>
            <w:shd w:val="clear" w:color="auto" w:fill="CFF0FC"/>
          </w:tcPr>
          <w:p>
            <w:pPr>
              <w:spacing w:after="0"/>
              <w:rPr>
                <w:sz w:val="18"/>
                <w:szCs w:val="18"/>
                <w:color w:val="auto"/>
              </w:rPr>
            </w:pPr>
          </w:p>
        </w:tc>
        <w:tc>
          <w:tcPr>
            <w:tcW w:w="16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(1,306,077)</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promissory notes (7.6)</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4,175,791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Advisors loans (7.7)</w:t>
            </w:r>
          </w:p>
        </w:tc>
        <w:tc>
          <w:tcPr>
            <w:tcW w:w="1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1,804,814</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44,332,819</w:t>
            </w:r>
          </w:p>
        </w:tc>
        <w:tc>
          <w:tcPr>
            <w:tcW w:w="80" w:type="dxa"/>
            <w:vAlign w:val="bottom"/>
          </w:tcPr>
          <w:p>
            <w:pPr>
              <w:spacing w:after="0"/>
              <w:rPr>
                <w:sz w:val="18"/>
                <w:szCs w:val="18"/>
                <w:color w:val="auto"/>
              </w:rPr>
            </w:pPr>
          </w:p>
        </w:tc>
        <w:tc>
          <w:tcPr>
            <w:tcW w:w="22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-2990850</wp:posOffset>
            </wp:positionV>
            <wp:extent cx="431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-2973705</wp:posOffset>
            </wp:positionV>
            <wp:extent cx="431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-1139190</wp:posOffset>
            </wp:positionV>
            <wp:extent cx="431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-1122045</wp:posOffset>
            </wp:positionV>
            <wp:extent cx="431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-1139190</wp:posOffset>
            </wp:positionV>
            <wp:extent cx="431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-1122045</wp:posOffset>
            </wp:positionV>
            <wp:extent cx="431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-170815</wp:posOffset>
            </wp:positionV>
            <wp:extent cx="768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857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1" w:lineRule="exact"/>
        <w:rPr>
          <w:sz w:val="20"/>
          <w:szCs w:val="20"/>
          <w:color w:val="auto"/>
        </w:rPr>
      </w:pPr>
    </w:p>
    <w:p>
      <w:pPr>
        <w:ind w:left="520" w:right="620" w:hanging="508"/>
        <w:spacing w:after="0" w:line="282"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color w:val="auto"/>
        </w:rPr>
        <w:t>Unsecured interest free loans taken from related parties DBLP Sea Cow Ltd of $447,067 and Daniel Wagner of $4,655,144 are repayable on demand.</w:t>
      </w:r>
    </w:p>
    <w:p>
      <w:pPr>
        <w:spacing w:after="0" w:line="166"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were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The loan principal and accrued borrowing fees were rounded to a sum of $8,000,000. The key terms of the loan amendment include that of the senior secured convertible notes, as noted below:</w:t>
      </w:r>
    </w:p>
    <w:p>
      <w:pPr>
        <w:spacing w:after="0" w:line="80" w:lineRule="exact"/>
        <w:rPr>
          <w:sz w:val="20"/>
          <w:szCs w:val="20"/>
          <w:color w:val="auto"/>
        </w:rPr>
      </w:pPr>
    </w:p>
    <w:p>
      <w:pPr>
        <w:ind w:left="1020" w:hanging="503"/>
        <w:spacing w:after="0" w:line="282" w:lineRule="auto"/>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7" w:name="page148"/>
    <w:bookmarkEnd w:id="147"/>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right="340" w:hanging="503"/>
        <w:spacing w:after="0" w:line="282" w:lineRule="auto"/>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113" w:lineRule="exact"/>
        <w:rPr>
          <w:sz w:val="20"/>
          <w:szCs w:val="20"/>
          <w:color w:val="auto"/>
        </w:rPr>
      </w:pPr>
    </w:p>
    <w:p>
      <w:pPr>
        <w:jc w:val="both"/>
        <w:ind w:left="520" w:hanging="508"/>
        <w:spacing w:after="0" w:line="258"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color w:val="auto"/>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(refer to note 2.1). The Company issued 11,052,716 ordinary shares in December 2024 to subscribers of the rights issue. On January 24, 2025, the Company issued a further 171,429 ordinary shares to a subscriber of the rights issue to whom they were owed ordinary shares payable as at December 31, 2024.</w:t>
      </w:r>
    </w:p>
    <w:p>
      <w:pPr>
        <w:spacing w:after="0" w:line="75" w:lineRule="exact"/>
        <w:rPr>
          <w:sz w:val="20"/>
          <w:szCs w:val="20"/>
          <w:color w:val="auto"/>
        </w:rPr>
      </w:pPr>
    </w:p>
    <w:p>
      <w:pPr>
        <w:ind w:left="520" w:right="120" w:hanging="508"/>
        <w:spacing w:after="0" w:line="258"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8"/>
          <w:szCs w:val="18"/>
          <w:color w:val="auto"/>
        </w:rPr>
        <w:t>On December 17, 2021, the Company and Armada Acquisition Corp I, a special purpose acquisition company (“SPAC”) listed on the Nasdaq Capital Market (“NASDAQ”), and certain other parties entered into a definitive agreement for a business combination that 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w:t>
      </w:r>
    </w:p>
    <w:p>
      <w:pPr>
        <w:spacing w:after="0" w:line="18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the executed subscription agreements, the investors that pre-funded the PIPE entered into an agreement to purchase secured convertible notes of the Company for a total of $20 million. Prior to amending the terms on May 23, 2023 (further below), these notes were due to mature on December 16, 2023, and were redeemable by the noteholder on the occurrence of:</w:t>
      </w:r>
    </w:p>
    <w:p>
      <w:pPr>
        <w:spacing w:after="0" w:line="68" w:lineRule="exact"/>
        <w:rPr>
          <w:sz w:val="20"/>
          <w:szCs w:val="20"/>
          <w:color w:val="auto"/>
        </w:rPr>
      </w:pPr>
    </w:p>
    <w:p>
      <w:pPr>
        <w:ind w:left="1020" w:hanging="503"/>
        <w:spacing w:after="0"/>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maturity, with interest accrued at 20% per annum, or</w:t>
      </w:r>
    </w:p>
    <w:p>
      <w:pPr>
        <w:spacing w:after="0" w:line="117" w:lineRule="exact"/>
        <w:rPr>
          <w:rFonts w:ascii="Times New Roman" w:cs="Times New Roman" w:eastAsia="Times New Roman" w:hAnsi="Times New Roman"/>
          <w:sz w:val="18"/>
          <w:szCs w:val="18"/>
          <w:color w:val="auto"/>
        </w:rPr>
      </w:pPr>
    </w:p>
    <w:p>
      <w:pPr>
        <w:jc w:val="both"/>
        <w:ind w:left="1020" w:right="180" w:hanging="503"/>
        <w:spacing w:after="0" w:line="266" w:lineRule="auto"/>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7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Immediately prior to an IPO or SPAC transaction, the principal amount and accrued interest is converted into ordinary shares at a 30% discount to the pre-close equity value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interest rate is 20% per annum, and is reduced in the following events to:</w:t>
      </w:r>
    </w:p>
    <w:p>
      <w:pPr>
        <w:spacing w:after="0" w:line="117" w:lineRule="exact"/>
        <w:rPr>
          <w:sz w:val="20"/>
          <w:szCs w:val="20"/>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per annum if the IPO or SPAC transaction occurred prior to December 16, 2022,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per annum if the IPO or SPAC transaction occurs between December 16, 2022 and June 16, 2023.</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the issuance of the notes, the amount pre-funded by each participating investor reduces their remaining respective commitment in the PIPE.</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secured convertible notes has been accounted for as a liability in accordance with ASC 470–20. The Company has adopted ASU 2020-06,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 line basis over the contractual terms of the secured convertible loan notes until May 23, 2023. The Company estimated that the difference between amortizing the debt discounts and the issuance costs using the straight line method as compared to using effective interest rate method was immaterial. As noted below, senior secured convertible note has been accounted for as a troubled debt restructuring since May 23, 2023 and as a result the effective interest rate method has been applied prospectively from this date.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incurred any significant debt issuance costs and has expensed them as incurred.</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8" w:name="page149"/>
    <w:bookmarkEnd w:id="148"/>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May 23, 2023, the Company executed a further amendment to the secured convertible loan notes.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amendments are as follows:</w:t>
      </w:r>
    </w:p>
    <w:p>
      <w:pPr>
        <w:spacing w:after="0" w:line="117" w:lineRule="exact"/>
        <w:rPr>
          <w:sz w:val="20"/>
          <w:szCs w:val="20"/>
          <w:color w:val="auto"/>
        </w:rPr>
      </w:pPr>
    </w:p>
    <w:p>
      <w:pPr>
        <w:ind w:left="1020" w:hanging="503"/>
        <w:spacing w:after="0"/>
        <w:tabs>
          <w:tab w:leader="none" w:pos="102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additional $15,625,000 commitment has been added to the principal amount of the notes, split between a</w:t>
      </w:r>
    </w:p>
    <w:p>
      <w:pPr>
        <w:spacing w:after="0" w:line="117" w:lineRule="exact"/>
        <w:rPr>
          <w:rFonts w:ascii="Times New Roman" w:cs="Times New Roman" w:eastAsia="Times New Roman" w:hAnsi="Times New Roman"/>
          <w:sz w:val="18"/>
          <w:szCs w:val="18"/>
          <w:b w:val="1"/>
          <w:bCs w:val="1"/>
          <w:color w:val="auto"/>
        </w:rPr>
      </w:pPr>
    </w:p>
    <w:p>
      <w:pPr>
        <w:ind w:left="1020" w:right="440" w:hanging="503"/>
        <w:spacing w:after="0" w:line="282" w:lineRule="auto"/>
        <w:tabs>
          <w:tab w:leader="none" w:pos="102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Conversion of accrued interest of $3,000,000 into loan principal. Additionally $1.5m of Loans for no value , plus $1,040,989 of interest foregone giving total of $4,041,989 of total interest capitalized.</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$1,250,000 of loan principal previously advanced in February 2023</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$125,000 of loan principal advanced by a director and related party in February 2023</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additional $2,750,000 of loan notes to be advanced, and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$8,500,000 in notes upon completion of the Demerger, for which no monetary consideration will be received by the Company</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line="282" w:lineRule="auto"/>
        <w:tabs>
          <w:tab w:leader="none" w:pos="102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b w:val="1"/>
          <w:bCs w:val="1"/>
          <w:color w:val="auto"/>
        </w:rPr>
      </w:pPr>
    </w:p>
    <w:p>
      <w:pPr>
        <w:ind w:left="1020" w:right="360" w:hanging="503"/>
        <w:spacing w:after="0" w:line="282" w:lineRule="auto"/>
        <w:tabs>
          <w:tab w:leader="none" w:pos="102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b w:val="1"/>
          <w:bCs w:val="1"/>
          <w:color w:val="auto"/>
        </w:rPr>
      </w:pPr>
    </w:p>
    <w:p>
      <w:pPr>
        <w:ind w:left="1020" w:right="180" w:hanging="503"/>
        <w:spacing w:after="0" w:line="261" w:lineRule="auto"/>
        <w:tabs>
          <w:tab w:leader="none" w:pos="102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71" w:lineRule="exact"/>
        <w:rPr>
          <w:rFonts w:ascii="Times New Roman" w:cs="Times New Roman" w:eastAsia="Times New Roman" w:hAnsi="Times New Roman"/>
          <w:sz w:val="18"/>
          <w:szCs w:val="18"/>
          <w:b w:val="1"/>
          <w:bCs w:val="1"/>
          <w:color w:val="auto"/>
        </w:rPr>
      </w:pPr>
    </w:p>
    <w:p>
      <w:pPr>
        <w:ind w:left="1020" w:hanging="503"/>
        <w:spacing w:after="0" w:line="255" w:lineRule="auto"/>
        <w:tabs>
          <w:tab w:leader="none" w:pos="102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May 23, 2023 amendment terms of the secured convertible notes, Rezolve has given certain covenants to the noteholders which remain in force while the convertible notes are outstanding, including that the Rezolve group shall not incur any indebtedness that would rank senior to the secured convertible notes without the prior consent of holders of more than two thirds of the aggregate principal amount of the secured convertible notes outstanding from time to time (“the “Noteholder Majority”); and for so long as one or more of Apeiron Investment Group Ltd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18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execution of the amendment the secured convertible notes are then referred to as “the senior secured convertible notes”.</w:t>
      </w:r>
    </w:p>
    <w:p>
      <w:pPr>
        <w:spacing w:after="0" w:line="22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execution of the senior secured convertible note has been accounted for as a troubled debt restructuring since May 23, 2023. No gain has been recognized.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9" w:name="page150"/>
    <w:bookmarkEnd w:id="14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carrying value of the convertible debt as at December 31, 2023 does not include the $8,500,000 of notes issuable upon completion of the Demerger. These were contingent upon completion of the Demerger therefore upon close of the Demerger on July 4, 2024, they were issued. The issuance of the Demerger notes do no result in any further cash to be received by the Company, rather they are treated as interest payable at maturity. The Demerger notes trigger a remeasurement of the senior secured convertible notes and the effective interest rate used to account for the senior secured convertible notes as a troubled debt restructuring.</w:t>
      </w:r>
    </w:p>
    <w:p>
      <w:pPr>
        <w:spacing w:after="0" w:line="18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December 5, 2024, pursuant to the terms of the Loan Note Instrument, one of the holders of the Senior Secured Convertible Notes converted all of their $8,000,000 outstanding Convertible Notes at a conversion price of $7 per ordinary share. The Company recognized a gain on extinguishment of $1,306,077, equal to the book value of the debt less the fair value of the ordinary shares issued on conversion.</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December 17, 2024, the Company, Apeiron Investment Group Ltd. and Bradley Wickens, the beneficial holders of the majority of Senior Secured Convertible Notes entered into an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amend the Loan Note Instrument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and that the beneficial holders shall procure that the registered nominees holding their Convertible Notes provide the necessary consents to the Amendment. Pursuant to the Amendment, the conversion price with respect to approximately $41,892,080 million of outstanding Senior Secured Convertible Notes was revised to equal $2 per ordinary share.</w:t>
      </w:r>
    </w:p>
    <w:p>
      <w:pPr>
        <w:spacing w:after="0" w:line="18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Pursuant to the Agreement, Apeiron Investment Group and Bradley Wickens will also procure that the registered nominees holding $41,512,877 of outstanding Convertible Notes and accrued interest of $1,851,020 (on behalf of Apeiron Investment Group Ltd. and Bradley Wickens) will exercise their option to convert all such outstanding Convertible Notes, at a conversion price of $2 per ordinary share. On December 27, 2024, 10,840,974 ordinary shares were issued to settle $20,756,439 and $925,510 of interest, respectively. The Company recorded a debt conversion expense of $39,658,290, equal to the fair value of the ordinary shares given up less the carrying value of the debt including accrued interest. On January 15, 2025 and February 13, 2025, respectively, a further 3,009,849 and 7,987,374 ordinary shares were issued to settle $20,756,439 and $925,510 of principle and interest. Following such conversions, there remains $0.4 million of Senior Secured Convertible Notes outstanding under the Loan Note Instrument.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 of the convertible debt was as follows: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4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95,309</w:t>
            </w: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8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(1,590,572)</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7,176,741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on convertible debt</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(7,401,611)</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under troubled debt restructuring</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12,103,565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80" w:type="dxa"/>
            <w:vAlign w:val="bottom"/>
          </w:tcPr>
          <w:p>
            <w:pPr>
              <w:spacing w:after="0"/>
              <w:rPr>
                <w:sz w:val="18"/>
                <w:szCs w:val="18"/>
                <w:color w:val="auto"/>
              </w:rPr>
            </w:pPr>
          </w:p>
        </w:tc>
      </w:tr>
      <w:tr>
        <w:trPr>
          <w:trHeight w:val="250"/>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convertible debt under troubled debt restructuring</w:t>
            </w:r>
          </w:p>
        </w:tc>
        <w:tc>
          <w:tcPr>
            <w:tcW w:w="5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10,383,432</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31,220,528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5143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incurred any material debt issuance costs.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table sets forth the interest expense recognized related to the senior secured convertible notes and unsecured convertible loans: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15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4,872,506</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3,067,309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5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2,113,742</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491,928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6,986,248</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3,559,237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-170815</wp:posOffset>
            </wp:positionV>
            <wp:extent cx="431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4" w:lineRule="exact"/>
        <w:rPr>
          <w:sz w:val="20"/>
          <w:szCs w:val="20"/>
          <w:color w:val="auto"/>
        </w:rPr>
      </w:pPr>
    </w:p>
    <w:p>
      <w:pPr>
        <w:ind w:left="520" w:right="20" w:hanging="37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7.4 </w:t>
      </w:r>
      <w:r>
        <w:rPr>
          <w:rFonts w:ascii="Times New Roman" w:cs="Times New Roman" w:eastAsia="Times New Roman" w:hAnsi="Times New Roman"/>
          <w:sz w:val="18"/>
          <w:szCs w:val="18"/>
          <w:color w:val="auto"/>
        </w:rPr>
        <w:t>A Short term convertible debt to a related party of $132,269 was also added to the Company’s senior secured convertible note including $125,000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convertible debt and $7,269 of interest.</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0" w:name="page151"/>
    <w:bookmarkEnd w:id="150"/>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ind w:left="520" w:right="80" w:hanging="37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7.5 </w:t>
      </w:r>
      <w:r>
        <w:rPr>
          <w:rFonts w:ascii="Times New Roman" w:cs="Times New Roman" w:eastAsia="Times New Roman" w:hAnsi="Times New Roman"/>
          <w:sz w:val="18"/>
          <w:szCs w:val="18"/>
          <w:color w:val="auto"/>
        </w:rPr>
        <w:t>On October 7, 2021, the Group acquired Jaymax International Service Inc. (“Jaymax”) (later renamed to “Rezolve Taiwan Limited”). As part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of Jaymax, the Company agreed to issue $1,400,000 in Rezolve ordinary shares to Jaymax’s former owner for completion of a 3-year noncompete period which began on the October 7, 2021. The cost of the share-based payment is considered to have vested immediately upon commencement of the non-compete period as the Company’s assumption is that it is more likely than not that the former owner will not breach the non-compete agreement. The share-based payment liability is to be settled by a fixed dollar amount of shares and therefore represents a liability in accordance with ASC 480. As at December 31, 2023, the liability has been measured at fair value using a discounted cash-flow model and a market participant borrowing rate of 10.8%. At December 31, 2024 the liability is equal its present value of $1,400,000 as the term of the non-compete agreement ended on October 7, 2024. The Company has yet to settle it in ordinary shares as at December 31, 2024.</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7.6  </w:t>
      </w:r>
      <w:r>
        <w:rPr>
          <w:rFonts w:ascii="Times New Roman" w:cs="Times New Roman" w:eastAsia="Times New Roman" w:hAnsi="Times New Roman"/>
          <w:sz w:val="18"/>
          <w:szCs w:val="18"/>
          <w:color w:val="auto"/>
        </w:rPr>
        <w:t>Convertible Promissory notes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tc>
        <w:tc>
          <w:tcPr>
            <w:tcW w:w="26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YA notes</w:t>
            </w:r>
          </w:p>
        </w:tc>
        <w:tc>
          <w:tcPr>
            <w:tcW w:w="2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2,250,245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2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1,146,966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 from sponsor</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3,031,614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49"/>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6,428,825</w:t>
            </w:r>
          </w:p>
        </w:tc>
        <w:tc>
          <w:tcPr>
            <w:tcW w:w="2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Yorkville Standby Equity Purchase Agreement (“SEPA”)</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2, 2024, the Company obtained an unsecured loan of $2,000,000 from YA II PN, LTD (“Yorkville” or “YA”)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76"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Yorkville Note is convertible into ordinary shares in Rezolve AI plc upon public listing (or if an event of default occurs or the note reaches maturity). Conversion is at the option of the noteholder at a conversion price calculated by reference to the lower of (i) a fixed price of $10 per share or (ii) a variable price based on 90% of the lowest daily daily volume weighted average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w:t>
      </w:r>
    </w:p>
    <w:p>
      <w:pPr>
        <w:spacing w:after="0" w:line="1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Other Promissory Notes are convertible into ordinary shares in Rezolve AI plc upon public listing (or if an event of default occurs or the note reaches maturity). Conversion is at the option of the noteholder at a conversion price calculated by reference to the lower of (i) a fixed price of $10 per share or (ii) a variable price based on 90% of the lowest daily volume weighted average share price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($7,500,000), which will be in three tranches, with the first tranche in an original principal amount of Two Million Five Hundred Thousand Dollars ($2,500,000) (the "First YA Note") funded upon execution of the Second A&amp;R YA Agreement, the second tranche in an original principal amount of Two Million Five Hundred Thousand Dollars ($2,500,000) funded upon filing of the Company’s F-1 registration statement, and the third tranche in an original principal amount of Two Million Five Hundred Thousand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1" w:name="page152"/>
    <w:bookmarkEnd w:id="151"/>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16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Second A&amp;R YA Agreement and upon effectiveness of the F-1 Registration Statement originally filed with U.S. Securities and Exchange Commission on September 6, 2024, and declared effective on November 27, 2024, on November 29, 2024, Rezolve issued YA a promissory note in the principal amount of $2,500,000 (the “</w:t>
      </w:r>
      <w:r>
        <w:rPr>
          <w:rFonts w:ascii="Times New Roman" w:cs="Times New Roman" w:eastAsia="Times New Roman" w:hAnsi="Times New Roman"/>
          <w:sz w:val="18"/>
          <w:szCs w:val="18"/>
          <w:b w:val="1"/>
          <w:bCs w:val="1"/>
          <w:i w:val="1"/>
          <w:iCs w:val="1"/>
          <w:color w:val="auto"/>
        </w:rPr>
        <w:t>Third YA Note</w:t>
      </w:r>
      <w:r>
        <w:rPr>
          <w:rFonts w:ascii="Times New Roman" w:cs="Times New Roman" w:eastAsia="Times New Roman" w:hAnsi="Times New Roman"/>
          <w:sz w:val="18"/>
          <w:szCs w:val="18"/>
          <w:color w:val="auto"/>
        </w:rPr>
        <w:t xml:space="preserve">”, and together with the </w:t>
      </w:r>
      <w:r>
        <w:rPr>
          <w:rFonts w:ascii="Times New Roman" w:cs="Times New Roman" w:eastAsia="Times New Roman" w:hAnsi="Times New Roman"/>
          <w:sz w:val="18"/>
          <w:szCs w:val="18"/>
          <w:b w:val="1"/>
          <w:bCs w:val="1"/>
          <w:i w:val="1"/>
          <w:iCs w:val="1"/>
          <w:color w:val="auto"/>
        </w:rPr>
        <w:t>First YA Note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Second YA Note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YA Notes</w:t>
      </w:r>
      <w:r>
        <w:rPr>
          <w:rFonts w:ascii="Times New Roman" w:cs="Times New Roman" w:eastAsia="Times New Roman" w:hAnsi="Times New Roman"/>
          <w:sz w:val="18"/>
          <w:szCs w:val="18"/>
          <w:color w:val="auto"/>
        </w:rPr>
        <w:t>"), reflecting the third tranche of the prepaid advances. The YA Notes bear interest at an annual rate of 10% of the outstanding principal balance of the YA Notes and mature on September 11, 2025. Under the YA Notes, YA may elect to convert all or part of the amount outstanding under the Note into ordinary shares of Rezolve at the Conversion Price (as defined in the Note), subject to certain limitations. Rezolve has the right to redeem early a portion or all amounts outstanding under the Note upon 10 days written notice upon the occurrence of certain events.</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2024, the Company received the Noteholder's request to convert of all of the principal and interest outstanding under the YA Notes. In connection therewith, the Company issued an aggregate of 4,310,208 Ordinary Shares (including in payment of a fee to YA) in December 2024, and a further 1,413,946 Ordinary Shares in January 2025. A loss on extinguishment of $4,175,791 was recognized. As of December 31, 2024, $2,705,929 in principal and interest was outstanding, which was subsequently settled in Ordinary Shares on February 5, 2025, and no further amounts remain outstanding.</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Promissory notes</w:t>
      </w:r>
    </w:p>
    <w:p>
      <w:pPr>
        <w:spacing w:after="0" w:line="121" w:lineRule="exact"/>
        <w:rPr>
          <w:sz w:val="20"/>
          <w:szCs w:val="20"/>
          <w:color w:val="auto"/>
        </w:rPr>
      </w:pPr>
    </w:p>
    <w:p>
      <w:pPr>
        <w:jc w:val="both"/>
        <w:ind w:right="520" w:firstLine="509"/>
        <w:spacing w:after="0" w:line="266"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the “Net Investment Amount”.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Promissory Notes were issued during the course of February, 2024, pursuant to the terms of the Promissory Note Instruments.</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were novated to Rezolve AI plc.</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(except if an event of default has occurred and is continuing, an 18% interest rate will apply). The Promissory Notes are freely transferable in whole or in part, subject to the terms of the Promissory Notes Instrument.</w:t>
      </w:r>
    </w:p>
    <w:p>
      <w:pPr>
        <w:spacing w:after="0" w:line="72"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Promissory Notes are convertible into ordinary shares in Rezolve AI plc.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Rezolve has the right to redeem early a portion or all amounts outstanding under the Promissory Notes pursuant to a Redemption Notice, provided that on the date of the Redemption Notice the VWAP of the ordinary shares in Rezolve AI plc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Following the public listing of the ordinary shares in Rezolve AI plc, if a “Promissory Note Trigger Event” occurs (being where (i) the daily VWAP is less than the Floor Price for five (5) trading days during a period of seven (7) consecutive trading days (the “Promissory Note Floor Price Trigger”), or</w:t>
      </w:r>
    </w:p>
    <w:p>
      <w:pPr>
        <w:ind w:right="20" w:firstLine="8"/>
        <w:spacing w:after="0" w:line="251" w:lineRule="auto"/>
        <w:tabs>
          <w:tab w:leader="none" w:pos="26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plc has issued in excess of 99% of the ordinary shares available under the Exchange Cap unless Rezolve AI plc shareholders have approved such issuances, or if Rezolve AI plc is permitted to follow (and has elected to do so) its home country practices instead of the stockholder approval requirements of Nasdaq Rule 5635) (the “Promissory Note Exchange Cap Trigger”), then Rezolve AI plc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plc reduces the Floor Price (in accordance with its rights to do so under the Promissory Note Instruments), or (ii) in the event of an Exchange Cap</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2" w:name="page153"/>
    <w:bookmarkEnd w:id="15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Trigger, the date Rezolve AI plc has obtained stockholder approval to increase the number of ordinary shares under the Exchange Cap (or if the Exchange Cap no longer applies), unless a subsequent Promissory Note Trigger Event occurs.</w:t>
      </w:r>
    </w:p>
    <w:p>
      <w:pPr>
        <w:spacing w:after="0" w:line="54"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On December 30, 2024, the Company repaid $1,472,231 of principal and interest to noteholders and related persons. As at December 31, 2024, certain noteholders and related parties have agreed to convert an aggregate of $1,189,096 of principal and interest into 425,288 Ordinary Shares. The outstanding balance at December 31, 2024 is $406,238, which the Company intends to settle by conversion into Ordinary Shares.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Cohen &amp; Company Financial Management LLC</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14, 2024 Rezolve AI issued a promissory note to pay to Cohen &amp; Company Financial Management LLC (“Cohen”) as an agent for Armada, in the principal sum of $3,144,883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Cohen’s request, Rezolve AI shall pay Cohen the principal amount plus all of the accrued interest in increments of 1/18 of the outstanding principal amount (the “Amortization Payment”) on a date determined by Cohen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Cohen shall have the right, at Cohen’s sole option, on any business day, to convert at the conversion price described in the note all or any portion of the outstanding principal amount of the note up to an amount described in the note. The promissory note was settled on February 10, 2025 by issuing ordinary shares, and no further amounts remain outstanding.</w:t>
      </w:r>
    </w:p>
    <w:p>
      <w:pPr>
        <w:spacing w:after="0" w:line="1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7.7  Advisors loans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the following promissory notes to financial advisors for fees payable contingent on the close of the Business Combination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Armada: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Northland Securities</w:t>
      </w:r>
    </w:p>
    <w:p>
      <w:pPr>
        <w:spacing w:after="0" w:line="11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 (a) $25,000,000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AI plc. The Company settled the promissory note with Northland on January 30, 2025 by issuing 391,681 ordinary shares and paying $3,500,000 in cash. No further amounts remain outstanding.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J.V.B. Financial Group</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volume weighted average share price ("VWP")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3" w:name="page154"/>
    <w:bookmarkEnd w:id="15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by Rezolve AI plc. On February 26, 2025, the Company issued 778,165 ordinary shares to settle $2,000,000 of principle outstanding to the JVB promissory note.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Cantor Fitzgerald</w:t>
      </w:r>
    </w:p>
    <w:p>
      <w:pPr>
        <w:spacing w:after="0" w:line="119"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18"/>
          <w:szCs w:val="18"/>
          <w:color w:val="auto"/>
        </w:rPr>
        <w:t>On November 20, 2023, the Company engaged Cantor Fitzgerald ("Cantor") to act as its financial and capital markets advisor in connection with any transactions, placement agent and arranger in connection with any financing. A fee of $16,000,000 ("the Armada fee") contingent on the close of the Business Combination with Armada was payable in ordinary shares. The number of shares issuable in connection with the Armada fee was to be calculated using the greater of 1) 1.6 million and 2) the quotient obtained by dividing (x) $16,000,000 by (y) the daily VWAP of the ordinary shares over five trading days immediately preceding the date of the initial filing of the F-1 registration statement.</w:t>
      </w:r>
    </w:p>
    <w:p>
      <w:pPr>
        <w:spacing w:after="0" w:line="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December 5, 2024 the Company issued 17,354,231 ordinary shares to Cantor to settle the Armada fee. A loss on extinguishment of $1,804,814 was recognized. No further amounts remain outstanding.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amounts for advisors loans remain outstanding as of December 31, 2024:</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Advisors loans</w:t>
            </w:r>
          </w:p>
        </w:tc>
        <w:tc>
          <w:tcPr>
            <w:tcW w:w="29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Northland Securities</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5,491,806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J.V.B Financial Group</w:t>
            </w:r>
          </w:p>
        </w:tc>
        <w:tc>
          <w:tcPr>
            <w:tcW w:w="29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7,320,560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12,812,366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0" w:hanging="512"/>
        <w:spacing w:after="0"/>
        <w:tabs>
          <w:tab w:leader="none" w:pos="52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1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Subscription Agreements</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February 1, 2024, pursuant to the Promissory notes issued to certain institutional investors (see note 7.6), each holder of a Promissory note was also granted a freely transferable warrant (“Subscription Agreement Warrants”) by Rezolve upon completion of the Business Combination. The Subscription Agreement Warrants have an exercise price of $8.00 per share and may be exercised at any time during their three year term ending on January 31, 2027.</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certain circumstances, the Company may make an offer to all holders of its Ordinary Shares for the purchase by the Company of any of its Ordinary Shares. If such as offer is made by the Company, the Company shall give each holder of a Subscription Agreement Warrants at least 21 days’ notice that they are required to exercise their Subscription Agreement Warrants. If the holders of the Subscription Agreement Warrants do not exercise their Subscription Agreement Warrants within 14 days of receiving notice, the Company are authorized to execute a transaction to exercise the Subscription Agreement Warrants, deliver the Ordinary Shares to the holder and cancel the Subscription Agreement Warrants.</w:t>
      </w:r>
    </w:p>
    <w:p>
      <w:pPr>
        <w:spacing w:after="0" w:line="7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Subscription Agreement Warrants qualify for equity classification under ASC 815-40 as it is considered indexed to the Company's stock under ASC 815-40-15 and the Subscription Agreement Warrants permit the Company to share settle it. In no event will the Company be required to net cash settle any Subscription Agreement Warrants. The Company recorded these Subscription Agreement Warrants at fair value in equity on the date of issuance. The initial carrying amount of a freestanding equity-classified instrument is not subsequently adjusted to fair value unless, in subsequent periods, the instrument no longer qualifies for equity classification and so must be reclassified as an asset or a liability. The 569,982 Subscription Agreement Warrants outstanding at December 31, 2024 continue to qualify for equity classification. The Subscription Agreement Warrants have a remaining term of two years and one month as of December 31, 2024.</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Armada warrants</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August 15, 2024, under the terms of the Business Combination (see note 2.1), each outstanding Armada Warrant was exchanged for a Rezolve Warrant that entitles the holder to purchase one Rezolve Ordinary Share, at an exercise price of $11.50 per share, in lieu of one share of Armada Common Stock and otherwise on substantially the same terms and conditions as the terms of the original Armada Warrants. The Rezolve Warrants have a term of five years from the consummation of the Business Combination.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4" w:name="page155"/>
    <w:bookmarkEnd w:id="15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Rezolve Warrants qualify for equity classification under ASC 815-40 as it is considered indexed to the Company's stock under ASC 815-40-15 and Rezolve Warrants permit the Company to share settle it. In no event will the Company be required to net cash settle any Rezolve Warrant. The Company recorded these warrants in equity on the date of issuance which was August 15, 2024 when the Business Combination was consummated (see note 2.1) as part of the accounting for the Business Combination as a reverse merger under ASC 805.</w:t>
      </w:r>
    </w:p>
    <w:p>
      <w:pPr>
        <w:spacing w:after="0" w:line="7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Rezolve Warrants trade under the symbol on the Nasdaq Stock Market LLC under the symbol RZLV.W. The initial carrying amount of a freestanding equity-classified instrument is not subsequently adjusted to fair value unless, in subsequent periods, the instrument no longer qualifies for equity classification and so must be reclassified as an asset or a liability. The 7,499,994 Rezolve Warrants outstanding at December 31, 2024 continue to qualify for equity classification. The Rezolve Warrants have a remaining term of four years and seven and a half months as of December 31, 2024.</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Warrants issued to institutional investors</w:t>
      </w:r>
    </w:p>
    <w:p>
      <w:pPr>
        <w:spacing w:after="0" w:line="119" w:lineRule="exact"/>
        <w:rPr>
          <w:sz w:val="20"/>
          <w:szCs w:val="20"/>
          <w:color w:val="auto"/>
        </w:rPr>
      </w:pPr>
    </w:p>
    <w:p>
      <w:pPr>
        <w:jc w:val="both"/>
        <w:ind w:right="580" w:firstLine="509"/>
        <w:spacing w:after="0" w:line="266" w:lineRule="auto"/>
        <w:rPr>
          <w:sz w:val="20"/>
          <w:szCs w:val="20"/>
          <w:color w:val="auto"/>
        </w:rPr>
      </w:pPr>
      <w:r>
        <w:rPr>
          <w:rFonts w:ascii="Times New Roman" w:cs="Times New Roman" w:eastAsia="Times New Roman" w:hAnsi="Times New Roman"/>
          <w:sz w:val="18"/>
          <w:szCs w:val="18"/>
          <w:color w:val="auto"/>
        </w:rPr>
        <w:t>On December 23, 2024, the Company completed a registered offering of (i) 5,000,000 Ordinary Shares, par value £0.0001 per share, and (ii) 5,000,000 warrants exercisable for an aggregate of 5,000,000 Ordinary Shares (the “Offering Warrants”), issued pursuant to the securities purchase agreement, dated December 19, 2024, between the Company and certain institutional investors.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offering price of each Ordinary Share and accompanying Offering Warrant was $3.00.</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Offering Warrants have an exercise price of $3.00 per share, are exercisable immediately upon issuance and will expire on the earlier of (i) thirty days after the volume weighted average price of the Ordinary Shares is at or above $6.00 for five consecutive trading days and (ii) five years from the date of issuance.</w:t>
      </w:r>
    </w:p>
    <w:p>
      <w:pPr>
        <w:spacing w:after="0" w:line="68"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consideration of H.C. Wainwright &amp; Co., LLC serving as the placement agent of this offering, the Company paid the H.C. Wainwright &amp; Co., LLC a cash fee equal to 5.5% of the aggregate gross proceeds of the Offering, and reimbursed the H.C. Wainwright &amp; Co., LLC for certain expenses and legal fees.</w:t>
      </w:r>
    </w:p>
    <w:p>
      <w:pPr>
        <w:spacing w:after="0" w:line="68"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Ordinary Shares and Offering Warrants were offered pursuant to a registration statement on Form F-1 (File No. 333-283622), as amended, which was declared effective by the Securities and Exchange Commission on December 19, 2024.</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received net proceeds of approximately $13.8 million from this offering, after deducting offering expenses payable by the Company, including H.C. Wainwright &amp; Co., LLC’s commissions and fees. The Company intends to use the net proceeds from the Offering for working capital, repayment of convertible debt and for general corporate purposes.</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Offering Warrants qualify for equity classification under ASC 815-40 as it is considered indexed to the Company's stock under ASC 815-40-15 and the Offering Warrants permit the Company to share settle it. In no event will the Company be required to net cash settle any Offering Warrants. The Company recorded these Offering Warrants at fair value in equity on the date of issuance. The initial carrying amount of a freestanding equity-classified instrument is not subsequently adjusted to fair value unless, in subsequent periods, the instrument no longer qualifies for equity classification and so must be reclassified as an asset or a liability. The 5,000,000 Offering Warrants outstanding at December 31, 2024 continue to qualify for equity classification. The Offering Warrants have a remaining term of five years as of December 31, 2024.</w:t>
      </w:r>
    </w:p>
    <w:p>
      <w:pPr>
        <w:spacing w:after="0" w:line="200" w:lineRule="exact"/>
        <w:rPr>
          <w:sz w:val="20"/>
          <w:szCs w:val="20"/>
          <w:color w:val="auto"/>
        </w:rPr>
      </w:pPr>
    </w:p>
    <w:p>
      <w:pPr>
        <w:spacing w:after="0" w:line="307" w:lineRule="exact"/>
        <w:rPr>
          <w:sz w:val="20"/>
          <w:szCs w:val="20"/>
          <w:color w:val="auto"/>
        </w:rPr>
      </w:pPr>
    </w:p>
    <w:p>
      <w:pPr>
        <w:ind w:left="520" w:hanging="512"/>
        <w:spacing w:after="0"/>
        <w:tabs>
          <w:tab w:leader="none" w:pos="52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 issued in lieu of cash payment for services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February 2024, the Company issued 4,514 ordinary shares to Sales Force in lieu of a cash payment for customer relationship platform services provided to the Company.</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December 2024, the Company issued 50,000 shares to D. Boral Capital LLC in lieu of a cash payment for financial and capital raising advisory services provided to the Company.</w:t>
      </w:r>
    </w:p>
    <w:p>
      <w:pPr>
        <w:spacing w:after="0" w:line="54"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In December 2024, the Company issued 50,000 shares to the Maxim Group in lieu of a cash payment for advisory services provided to the Company.</w:t>
      </w:r>
    </w:p>
    <w:p>
      <w:pPr>
        <w:spacing w:after="0" w:line="5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accordance with the guidance in ASC 505, the ordinary shares issued in lieu of cash payment for services were measured based on the fair value of services received or the ordinary shares granted, whichever was more reliably determinable. As the ordinary shares are publicly traded, the market price of the ordinary shares were readily and reliably determinable. The Company recognized expense and equity equal to the number of ordinary shares issued multiplied by the fair value per share on date of issuance. The equity impact consisted of ordinary shares at par value and the remaining proceeds in additional paid-in capital.</w:t>
      </w:r>
    </w:p>
    <w:p>
      <w:pPr>
        <w:spacing w:after="0" w:line="287" w:lineRule="exact"/>
        <w:rPr>
          <w:sz w:val="20"/>
          <w:szCs w:val="20"/>
          <w:color w:val="auto"/>
        </w:rPr>
      </w:pPr>
    </w:p>
    <w:p>
      <w:pPr>
        <w:ind w:left="520" w:hanging="512"/>
        <w:spacing w:after="0"/>
        <w:tabs>
          <w:tab w:leader="none" w:pos="52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5" w:name="page156"/>
    <w:bookmarkEnd w:id="15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LTIP Plan</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Company’s Board approved the 2022 Long-Term Incentive Plan (the “2022 LTIP”). Under the 2022 LTIP, the Company was authorized to issue a maximum number of 8,596,486 ordinary shares before any grants made in the year to directors, shareholders, consultants or financers to purchase or acquire ordinary shares. After awarding 277,325 warrants (note 8), 815,661 and 4,444,773 ordinary shares to financers, a consultant and its principal shareholder and founder, respectively, the Company had 3,058,728 ordinary shares available to grant. The Company granted 2,569,331 share options under the 2022 LTIP.</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share options under the terms of the 2022 LTIP have an exercise price equal to the nominal value of £0.0001 per option. Most share options granted have service-based vesting conditions with the exception of only two employees whose combined 407,830 share options vest at the earlier of a 3-year requisite service period and an IPO. The Company’s Board was required to approve the grant of the Company’s Share options and therefore as a result of some grantees who had completed their requisite service period prior to the Board’s approval, a number of grantee’s options fully vested on the grant date, while the remainder of grantees have partially completed their requisite service period. Option holders have a 5-year period to exercise the options before they expire. Forfeitures are recognized in the period of occurrence. No share options were granted by the Company prior to 2022.</w:t>
      </w:r>
    </w:p>
    <w:p>
      <w:pPr>
        <w:spacing w:after="0" w:line="16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Grants in 2022 under the 2022</w:t>
            </w:r>
          </w:p>
        </w:tc>
      </w:tr>
      <w:tr>
        <w:trPr>
          <w:trHeight w:val="173"/>
        </w:trPr>
        <w:tc>
          <w:tcPr>
            <w:tcW w:w="3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LTIP</w:t>
            </w:r>
          </w:p>
        </w:tc>
      </w:tr>
      <w:tr>
        <w:trPr>
          <w:trHeight w:val="209"/>
        </w:trPr>
        <w:tc>
          <w:tcPr>
            <w:tcW w:w="32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Expected term—years </w:t>
            </w:r>
            <w:r>
              <w:rPr>
                <w:rFonts w:ascii="Times New Roman" w:cs="Times New Roman" w:eastAsia="Times New Roman" w:hAnsi="Times New Roman"/>
                <w:sz w:val="24"/>
                <w:szCs w:val="24"/>
                <w:color w:val="auto"/>
                <w:vertAlign w:val="superscript"/>
              </w:rPr>
              <w:t>(1)</w:t>
            </w: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center"/>
              <w:ind w:left="115"/>
              <w:spacing w:after="0"/>
              <w:rPr>
                <w:sz w:val="20"/>
                <w:szCs w:val="20"/>
                <w:color w:val="auto"/>
              </w:rPr>
            </w:pPr>
            <w:r>
              <w:rPr>
                <w:rFonts w:ascii="Times New Roman" w:cs="Times New Roman" w:eastAsia="Times New Roman" w:hAnsi="Times New Roman"/>
                <w:sz w:val="18"/>
                <w:szCs w:val="18"/>
                <w:color w:val="auto"/>
              </w:rPr>
              <w:t>2.5 – 5.1</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center"/>
              <w:ind w:left="115"/>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4"/>
                <w:szCs w:val="24"/>
                <w:color w:val="auto"/>
                <w:vertAlign w:val="superscript"/>
              </w:rPr>
              <w:t>(2)</w:t>
            </w: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- 63.5%</w:t>
            </w:r>
          </w:p>
        </w:tc>
      </w:tr>
      <w:tr>
        <w:trPr>
          <w:trHeight w:val="216"/>
        </w:trPr>
        <w:tc>
          <w:tcPr>
            <w:tcW w:w="3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4"/>
                <w:szCs w:val="24"/>
                <w:color w:val="auto"/>
                <w:vertAlign w:val="superscript"/>
              </w:rPr>
              <w:t>(3)</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- 4.2%</w:t>
            </w: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4"/>
                <w:szCs w:val="24"/>
                <w:color w:val="auto"/>
                <w:vertAlign w:val="superscript"/>
              </w:rPr>
              <w:t>(4)</w:t>
            </w: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center"/>
              <w:ind w:left="115"/>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198" w:lineRule="exact"/>
        <w:rPr>
          <w:sz w:val="20"/>
          <w:szCs w:val="20"/>
          <w:color w:val="auto"/>
        </w:rPr>
      </w:pPr>
    </w:p>
    <w:p>
      <w:pPr>
        <w:ind w:left="1020" w:right="60" w:hanging="503"/>
        <w:spacing w:after="0" w:line="282" w:lineRule="auto"/>
        <w:tabs>
          <w:tab w:leader="none" w:pos="1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225"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LTIP Plan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September 2023, the Company’s Board approved the 2023 Long-Term Incentive Plan (the “2023 LTIP”). Under the 2023 LTIP, the Company was authorized to issue a maximum number of 8,043,318 ordinary shares before any grants made in the year to directors, shareholders, consultants or financers to purchase or acquire ordinary shares. The Company granted 8,043,318 share options in the year ended December 31, 2023 including 4,078,303 share options issued to DBLP Sea Cow Ltd. (principal shareholder, and company owned by founder, chairman and CEO Dan Wagner).</w:t>
      </w:r>
    </w:p>
    <w:p>
      <w:pPr>
        <w:spacing w:after="0" w:line="7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granted 13,611,563 share options in the year ended December 31, 2024 including 4,876,969 share options issued to DBLP Sea Cow Ltd. (principal shareholder, and company owned by founder, chairman and CEO Dan Wagner).</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2023 LTIP also amends the 2022 LTIP (issued in November 2022) to:</w:t>
      </w:r>
    </w:p>
    <w:p>
      <w:pPr>
        <w:spacing w:after="0" w:line="117" w:lineRule="exact"/>
        <w:rPr>
          <w:sz w:val="20"/>
          <w:szCs w:val="20"/>
          <w:color w:val="auto"/>
        </w:rPr>
      </w:pPr>
    </w:p>
    <w:p>
      <w:pPr>
        <w:ind w:left="1020" w:right="540" w:hanging="503"/>
        <w:spacing w:after="0" w:line="282" w:lineRule="auto"/>
        <w:tabs>
          <w:tab w:leader="none" w:pos="10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who grantees whose requisite service period completes in the year 2024 to complete in the month of September 2024, and therefore consolidate the end vesting date to the month of September,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whose share options whose requisite service period was meant to complete in 2025 and 2026, vest in September of those years,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vesting profile from a cliff vesting to a graded vesting.</w:t>
      </w:r>
    </w:p>
    <w:p>
      <w:pPr>
        <w:spacing w:after="0" w:line="22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6" w:name="page157"/>
    <w:bookmarkEnd w:id="15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share options under the terms of the 2023 LTIP have an exercise price equal to the nominal value of £0.0001 per option. Option holders have a 5-year period to exercise the options before they expire. Forfeitures are recognized in the period of occurrence.</w:t>
      </w:r>
    </w:p>
    <w:p>
      <w:pPr>
        <w:spacing w:after="0" w:line="143"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Grants in 2023 and 2024 under</w:t>
            </w:r>
          </w:p>
        </w:tc>
      </w:tr>
      <w:tr>
        <w:trPr>
          <w:trHeight w:val="173"/>
        </w:trPr>
        <w:tc>
          <w:tcPr>
            <w:tcW w:w="3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the 2023 LTIP</w:t>
            </w:r>
          </w:p>
        </w:tc>
        <w:tc>
          <w:tcPr>
            <w:tcW w:w="60" w:type="dxa"/>
            <w:vAlign w:val="bottom"/>
          </w:tcPr>
          <w:p>
            <w:pPr>
              <w:spacing w:after="0"/>
              <w:rPr>
                <w:sz w:val="15"/>
                <w:szCs w:val="15"/>
                <w:color w:val="auto"/>
              </w:rPr>
            </w:pPr>
          </w:p>
        </w:tc>
      </w:tr>
      <w:tr>
        <w:trPr>
          <w:trHeight w:val="209"/>
        </w:trPr>
        <w:tc>
          <w:tcPr>
            <w:tcW w:w="32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Expected term—years </w:t>
            </w:r>
            <w:r>
              <w:rPr>
                <w:rFonts w:ascii="Times New Roman" w:cs="Times New Roman" w:eastAsia="Times New Roman" w:hAnsi="Times New Roman"/>
                <w:sz w:val="24"/>
                <w:szCs w:val="24"/>
                <w:color w:val="auto"/>
                <w:vertAlign w:val="superscript"/>
              </w:rPr>
              <w:t>(1)</w:t>
            </w:r>
          </w:p>
        </w:tc>
        <w:tc>
          <w:tcPr>
            <w:tcW w:w="1420" w:type="dxa"/>
            <w:vAlign w:val="bottom"/>
            <w:shd w:val="clear" w:color="auto" w:fill="CFF0FC"/>
          </w:tcPr>
          <w:p>
            <w:pPr>
              <w:spacing w:after="0"/>
              <w:rPr>
                <w:sz w:val="18"/>
                <w:szCs w:val="18"/>
                <w:color w:val="auto"/>
              </w:rPr>
            </w:pPr>
          </w:p>
        </w:tc>
        <w:tc>
          <w:tcPr>
            <w:tcW w:w="2120" w:type="dxa"/>
            <w:vAlign w:val="bottom"/>
            <w:gridSpan w:val="3"/>
            <w:shd w:val="clear" w:color="auto" w:fill="CFF0FC"/>
          </w:tcPr>
          <w:p>
            <w:pPr>
              <w:jc w:val="center"/>
              <w:ind w:left="102"/>
              <w:spacing w:after="0"/>
              <w:rPr>
                <w:sz w:val="20"/>
                <w:szCs w:val="20"/>
                <w:color w:val="auto"/>
              </w:rPr>
            </w:pPr>
            <w:r>
              <w:rPr>
                <w:rFonts w:ascii="Times New Roman" w:cs="Times New Roman" w:eastAsia="Times New Roman" w:hAnsi="Times New Roman"/>
                <w:sz w:val="18"/>
                <w:szCs w:val="18"/>
                <w:color w:val="auto"/>
              </w:rPr>
              <w:t>1 – 5.1</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2520" w:type="dxa"/>
            <w:vAlign w:val="bottom"/>
            <w:gridSpan w:val="2"/>
          </w:tcPr>
          <w:p>
            <w:pPr>
              <w:jc w:val="right"/>
              <w:ind w:right="94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4"/>
                <w:szCs w:val="24"/>
                <w:color w:val="auto"/>
                <w:vertAlign w:val="superscript"/>
              </w:rPr>
              <w:t>(2)</w:t>
            </w:r>
          </w:p>
        </w:tc>
        <w:tc>
          <w:tcPr>
            <w:tcW w:w="2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- 63.5%</w:t>
            </w:r>
          </w:p>
        </w:tc>
        <w:tc>
          <w:tcPr>
            <w:tcW w:w="60" w:type="dxa"/>
            <w:vAlign w:val="bottom"/>
            <w:shd w:val="clear" w:color="auto" w:fill="CFF0FC"/>
          </w:tcPr>
          <w:p>
            <w:pPr>
              <w:spacing w:after="0"/>
              <w:rPr>
                <w:sz w:val="18"/>
                <w:szCs w:val="18"/>
                <w:color w:val="auto"/>
              </w:rPr>
            </w:pPr>
          </w:p>
        </w:tc>
      </w:tr>
      <w:tr>
        <w:trPr>
          <w:trHeight w:val="216"/>
        </w:trPr>
        <w:tc>
          <w:tcPr>
            <w:tcW w:w="3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4"/>
                <w:szCs w:val="24"/>
                <w:color w:val="auto"/>
                <w:vertAlign w:val="superscript"/>
              </w:rPr>
              <w:t>(3)</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- 4.2%</w:t>
            </w:r>
          </w:p>
        </w:tc>
        <w:tc>
          <w:tcPr>
            <w:tcW w:w="6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4"/>
                <w:szCs w:val="24"/>
                <w:color w:val="auto"/>
                <w:vertAlign w:val="superscript"/>
              </w:rPr>
              <w:t>(4)</w:t>
            </w:r>
          </w:p>
        </w:tc>
        <w:tc>
          <w:tcPr>
            <w:tcW w:w="3480" w:type="dxa"/>
            <w:vAlign w:val="bottom"/>
            <w:gridSpan w:val="3"/>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1020" w:hanging="503"/>
        <w:spacing w:after="0" w:line="282" w:lineRule="auto"/>
        <w:tabs>
          <w:tab w:leader="none" w:pos="10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225"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option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share option activity for the year ended December 31, 2024 was as follows: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6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16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9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10,612,649</w:t>
            </w:r>
          </w:p>
        </w:tc>
        <w:tc>
          <w:tcPr>
            <w:tcW w:w="3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6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13,611,563</w:t>
            </w: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(587,296)</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23,636,916</w:t>
            </w:r>
          </w:p>
        </w:tc>
        <w:tc>
          <w:tcPr>
            <w:tcW w:w="3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17,559,511</w:t>
            </w:r>
          </w:p>
        </w:tc>
        <w:tc>
          <w:tcPr>
            <w:tcW w:w="3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0.0001</w:t>
            </w:r>
          </w:p>
        </w:tc>
        <w:tc>
          <w:tcPr>
            <w:tcW w:w="26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23,636,916</w:t>
            </w:r>
          </w:p>
        </w:tc>
        <w:tc>
          <w:tcPr>
            <w:tcW w:w="3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-333375</wp:posOffset>
            </wp:positionV>
            <wp:extent cx="603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-316865</wp:posOffset>
            </wp:positionV>
            <wp:extent cx="6032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-333375</wp:posOffset>
            </wp:positionV>
            <wp:extent cx="6032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-316865</wp:posOffset>
            </wp:positionV>
            <wp:extent cx="6032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-333375</wp:posOffset>
            </wp:positionV>
            <wp:extent cx="596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-316865</wp:posOffset>
            </wp:positionV>
            <wp:extent cx="596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-333375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-316865</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6032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6032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032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032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fair-value per share of the options granted during the year December 31, 2024 and December 31, 2023 was $5.10 and $0.61, respectively. The total fair value of the options that vested during the year ended December 31, 2024 and December 31, 2023 was $68.8 million and $8,725,218, respectively.</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31,2024, the Company had $6.1 million of unrecognized share-based compensation expense related to share options. This cost is expected to be recognized over a weighted-average period of 3 years and 9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hanging="512"/>
        <w:spacing w:after="0"/>
        <w:tabs>
          <w:tab w:leader="none" w:pos="52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payables</w:t>
      </w: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157" w:name="page158"/>
    <w:bookmarkEnd w:id="157"/>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r>
      <w:tr>
        <w:trPr>
          <w:trHeight w:val="20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related payables</w:t>
            </w:r>
          </w:p>
        </w:tc>
        <w:tc>
          <w:tcPr>
            <w:tcW w:w="17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2,225,906</w:t>
            </w:r>
          </w:p>
        </w:tc>
        <w:tc>
          <w:tcPr>
            <w:tcW w:w="3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2,632,334</w:t>
            </w:r>
          </w:p>
        </w:tc>
        <w:tc>
          <w:tcPr>
            <w:tcW w:w="8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5,694,788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1,323,842</w:t>
            </w:r>
          </w:p>
        </w:tc>
        <w:tc>
          <w:tcPr>
            <w:tcW w:w="80" w:type="dxa"/>
            <w:vAlign w:val="bottom"/>
          </w:tcPr>
          <w:p>
            <w:pPr>
              <w:spacing w:after="0"/>
              <w:rPr>
                <w:sz w:val="18"/>
                <w:szCs w:val="18"/>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VAT, duty and excise tax liability</w:t>
            </w: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1,557,733</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188,766</w:t>
            </w:r>
          </w:p>
        </w:tc>
        <w:tc>
          <w:tcPr>
            <w:tcW w:w="8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35,505</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347,848</w:t>
            </w:r>
          </w:p>
        </w:tc>
        <w:tc>
          <w:tcPr>
            <w:tcW w:w="80" w:type="dxa"/>
            <w:vAlign w:val="bottom"/>
          </w:tcPr>
          <w:p>
            <w:pPr>
              <w:spacing w:after="0"/>
              <w:rPr>
                <w:sz w:val="18"/>
                <w:szCs w:val="18"/>
                <w:color w:val="auto"/>
              </w:rPr>
            </w:pPr>
          </w:p>
        </w:tc>
      </w:tr>
      <w:tr>
        <w:trPr>
          <w:trHeight w:val="249"/>
        </w:trPr>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9,513,932</w:t>
            </w:r>
          </w:p>
        </w:tc>
        <w:tc>
          <w:tcPr>
            <w:tcW w:w="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4,492,790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-25400</wp:posOffset>
            </wp:positionV>
            <wp:extent cx="431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431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22" w:lineRule="exact"/>
        <w:rPr>
          <w:sz w:val="20"/>
          <w:szCs w:val="20"/>
          <w:color w:val="auto"/>
        </w:rPr>
      </w:pPr>
    </w:p>
    <w:p>
      <w:pPr>
        <w:ind w:left="520" w:right="6400" w:hanging="512"/>
        <w:spacing w:after="0" w:line="412" w:lineRule="auto"/>
        <w:tabs>
          <w:tab w:leader="none" w:pos="52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and other non-operating income/(expense), net </w:t>
      </w:r>
      <w:r>
        <w:rPr>
          <w:rFonts w:ascii="Times New Roman" w:cs="Times New Roman" w:eastAsia="Times New Roman" w:hAnsi="Times New Roman"/>
          <w:sz w:val="18"/>
          <w:szCs w:val="18"/>
          <w:i w:val="1"/>
          <w:iCs w:val="1"/>
          <w:color w:val="auto"/>
        </w:rPr>
        <w:t>Sales and marketing expenses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Advertisement and publicity expenses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887,333</w:t>
            </w:r>
          </w:p>
        </w:tc>
        <w:tc>
          <w:tcPr>
            <w:tcW w:w="8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144,584</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423,710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1,371,468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4,076,671</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1,602,332</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508,288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2,649,012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389,444</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963,858</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6,285,446</w:t>
            </w: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6,731,254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20" w:type="dxa"/>
            <w:vAlign w:val="bottom"/>
          </w:tcPr>
          <w:p>
            <w:pPr>
              <w:spacing w:after="0"/>
              <w:rPr>
                <w:sz w:val="24"/>
                <w:szCs w:val="24"/>
                <w:color w:val="auto"/>
              </w:rPr>
            </w:pPr>
          </w:p>
        </w:tc>
        <w:tc>
          <w:tcPr>
            <w:tcW w:w="61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IT expenses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782,665</w:t>
            </w:r>
          </w:p>
        </w:tc>
        <w:tc>
          <w:tcPr>
            <w:tcW w:w="3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1,135,355</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Legal and professional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36,486,915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2,274,891</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4,750,430</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777,161</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17,511,920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4,340,558</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3,662,209</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3,249,635</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3,806,361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2,543,621</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62,611,948</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2,306,182</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payments for consultancy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217,365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485,080</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gridSpan w:val="2"/>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1,600,599</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874,045</w:t>
            </w:r>
          </w:p>
        </w:tc>
        <w:tc>
          <w:tcPr>
            <w:tcW w:w="80" w:type="dxa"/>
            <w:vAlign w:val="bottom"/>
            <w:tcBorders>
              <w:bottom w:val="single" w:sz="8" w:color="CFF0FC"/>
            </w:tcBorders>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131,430,412</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17,986,528</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Other non-operating income (expense), net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 w:type="dxa"/>
            <w:vAlign w:val="bottom"/>
          </w:tcPr>
          <w:p>
            <w:pPr>
              <w:spacing w:after="0"/>
              <w:rPr>
                <w:sz w:val="24"/>
                <w:szCs w:val="24"/>
                <w:color w:val="auto"/>
              </w:rPr>
            </w:pPr>
          </w:p>
        </w:tc>
        <w:tc>
          <w:tcPr>
            <w:tcW w:w="61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gain/(loss)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1,329,775</w:t>
            </w:r>
          </w:p>
        </w:tc>
        <w:tc>
          <w:tcPr>
            <w:tcW w:w="8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(375,298)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R&amp;D credits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497,978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1,329,781</w:t>
            </w: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125,366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13.</w:t>
            </w:r>
          </w:p>
        </w:tc>
        <w:tc>
          <w:tcPr>
            <w:tcW w:w="6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Related party disclosures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520" w:type="dxa"/>
            <w:vAlign w:val="bottom"/>
            <w:vMerge w:val="continue"/>
          </w:tcPr>
          <w:p>
            <w:pPr>
              <w:spacing w:after="0"/>
              <w:rPr>
                <w:sz w:val="24"/>
                <w:szCs w:val="24"/>
                <w:color w:val="auto"/>
              </w:rPr>
            </w:pPr>
          </w:p>
        </w:tc>
        <w:tc>
          <w:tcPr>
            <w:tcW w:w="61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20" w:type="dxa"/>
            <w:vAlign w:val="bottom"/>
          </w:tcPr>
          <w:p>
            <w:pPr>
              <w:spacing w:after="0"/>
              <w:rPr>
                <w:sz w:val="24"/>
                <w:szCs w:val="24"/>
                <w:color w:val="auto"/>
              </w:rPr>
            </w:pPr>
          </w:p>
        </w:tc>
        <w:tc>
          <w:tcPr>
            <w:tcW w:w="5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Key managerial personnel (KMP) and Members of their immediate families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8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rPr>
              <w:t>F-31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-5031105</wp:posOffset>
            </wp:positionV>
            <wp:extent cx="431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-5031105</wp:posOffset>
            </wp:positionV>
            <wp:extent cx="431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-2973705</wp:posOffset>
            </wp:positionV>
            <wp:extent cx="5143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-2973705</wp:posOffset>
            </wp:positionV>
            <wp:extent cx="5143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-1876425</wp:posOffset>
            </wp:positionV>
            <wp:extent cx="431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-1876425</wp:posOffset>
            </wp:positionV>
            <wp:extent cx="5143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870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tc>
      </w:tr>
      <w:tr>
        <w:trPr>
          <w:trHeight w:val="238"/>
        </w:trPr>
        <w:tc>
          <w:tcPr>
            <w:tcW w:w="2540" w:type="dxa"/>
            <w:vAlign w:val="bottom"/>
          </w:tcPr>
          <w:p>
            <w:pPr>
              <w:spacing w:after="0"/>
              <w:rPr>
                <w:sz w:val="20"/>
                <w:szCs w:val="20"/>
                <w:color w:val="auto"/>
              </w:rPr>
            </w:pPr>
          </w:p>
        </w:tc>
        <w:tc>
          <w:tcPr>
            <w:tcW w:w="870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r>
      <w:tr>
        <w:trPr>
          <w:trHeight w:val="243"/>
        </w:trPr>
        <w:tc>
          <w:tcPr>
            <w:tcW w:w="2540" w:type="dxa"/>
            <w:vAlign w:val="bottom"/>
          </w:tcPr>
          <w:p>
            <w:pPr>
              <w:spacing w:after="0"/>
              <w:rPr>
                <w:sz w:val="21"/>
                <w:szCs w:val="21"/>
                <w:color w:val="auto"/>
              </w:rPr>
            </w:pPr>
          </w:p>
        </w:tc>
        <w:tc>
          <w:tcPr>
            <w:tcW w:w="8700" w:type="dxa"/>
            <w:vAlign w:val="bottom"/>
          </w:tcPr>
          <w:p>
            <w:pPr>
              <w:spacing w:after="0"/>
              <w:rPr>
                <w:sz w:val="21"/>
                <w:szCs w:val="21"/>
                <w:color w:val="auto"/>
              </w:rPr>
            </w:pP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Dan Wagner</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Director and chief executive officer</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Richard Burchill</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Sauvik Banerjjee</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Chief executive officer, products, technology and digital services</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Salman Ahmad</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Chief technical officer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Peter Vesco</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Chief commercial officer</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Arthur Yao (1)</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Chief executive officer, Rezolve China</w:t>
            </w:r>
          </w:p>
        </w:tc>
      </w:tr>
      <w:tr>
        <w:trPr>
          <w:trHeight w:val="202"/>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Anthony Sharp</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Non-executive deputy chairman</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Sir David Wright</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Non-executive director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Steve Perry</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Non-executive director</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Derek Smith</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Non-executive director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Igor Lychagov</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Non-Executive director (resigned May 19, 2023)</w:t>
            </w:r>
          </w:p>
        </w:tc>
      </w:tr>
      <w:tr>
        <w:trPr>
          <w:trHeight w:val="210"/>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Susan Wagner</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Transactions and outstanding balances of related parties were as follows: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during the year</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9" w:name="page160"/>
    <w:bookmarkEnd w:id="15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42"/>
        </w:trPr>
        <w:tc>
          <w:tcPr>
            <w:tcW w:w="71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Share Capital Issued at nominal value</w:t>
            </w:r>
          </w:p>
        </w:tc>
        <w:tc>
          <w:tcPr>
            <w:tcW w:w="140" w:type="dxa"/>
            <w:vAlign w:val="bottom"/>
            <w:tcBorders>
              <w:top w:val="single" w:sz="8" w:color="auto"/>
            </w:tcBorders>
            <w:shd w:val="clear" w:color="auto" w:fill="CFF0FC"/>
          </w:tcPr>
          <w:p>
            <w:pPr>
              <w:spacing w:after="0"/>
              <w:rPr>
                <w:sz w:val="12"/>
                <w:szCs w:val="12"/>
                <w:color w:val="auto"/>
              </w:rPr>
            </w:pPr>
          </w:p>
        </w:tc>
        <w:tc>
          <w:tcPr>
            <w:tcW w:w="1680" w:type="dxa"/>
            <w:vAlign w:val="bottom"/>
            <w:tcBorders>
              <w:top w:val="single" w:sz="8" w:color="auto"/>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7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Brooks Newmark</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2,977</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Igor Lychagov</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Convertible promissory notes repaid</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Adam Wagner</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31,250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John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19,844</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Arthur Yao</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93,750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Loans Repaid</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Convertible promissory notes taken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DBLP Sea Cow Ltd.</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Adam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31,250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John Wagner</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19,844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Arthur Yao</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93,750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Debt converted into shares, including interest</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Igor Lychagov</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3,559,380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Convertible Loans taken</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Steve Perry</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132,269</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Loans Taken</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Dan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4,463,322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191,405</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Igor Lychagov</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5,587,343</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Managerial remuneration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Key Management Personnel</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Dan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306,725</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296,067</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Salman Ahmad</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230,044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222,535</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Richard Burchill</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281,164</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271,395</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Sauvik Banerjee</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393,440</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817,933</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1,183,437</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393,440</w:t>
            </w:r>
          </w:p>
        </w:tc>
        <w:tc>
          <w:tcPr>
            <w:tcW w:w="120" w:type="dxa"/>
            <w:vAlign w:val="bottom"/>
          </w:tcPr>
          <w:p>
            <w:pPr>
              <w:spacing w:after="0"/>
              <w:rPr>
                <w:sz w:val="12"/>
                <w:szCs w:val="12"/>
                <w:color w:val="auto"/>
              </w:rPr>
            </w:pPr>
          </w:p>
        </w:tc>
      </w:tr>
      <w:tr>
        <w:trPr>
          <w:trHeight w:val="148"/>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817,933</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789,997</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817,933</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1,183,437</w:t>
            </w: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Share-based compensation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61,230,453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756,944</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Richard Burchill</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1,153,439</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1,326,703</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Salman Ahmad</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228,056</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222,535</w:t>
            </w: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Peter Vesco</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194,722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60,556</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Arthur Yao (1)</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194,722</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60,556</w:t>
            </w:r>
          </w:p>
        </w:tc>
        <w:tc>
          <w:tcPr>
            <w:tcW w:w="120" w:type="dxa"/>
            <w:vAlign w:val="bottom"/>
          </w:tcPr>
          <w:p>
            <w:pPr>
              <w:spacing w:after="0"/>
              <w:rPr>
                <w:sz w:val="12"/>
                <w:szCs w:val="12"/>
                <w:color w:val="auto"/>
              </w:rPr>
            </w:pPr>
          </w:p>
        </w:tc>
      </w:tr>
      <w:tr>
        <w:trPr>
          <w:trHeight w:val="148"/>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Sauvik Banerjee</w:t>
            </w:r>
          </w:p>
        </w:tc>
        <w:tc>
          <w:tcPr>
            <w:tcW w:w="140" w:type="dxa"/>
            <w:vAlign w:val="bottom"/>
            <w:tcBorders>
              <w:bottom w:val="single" w:sz="8" w:color="CFF0FC"/>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842,746</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63,001,392</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3,270,040</w:t>
            </w: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389,444</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963,858</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62,611,948</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2,306,182</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63,001,392</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3,270,040</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Consulting fees</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Peter Vesco</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321,675</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414,926</w:t>
            </w:r>
          </w:p>
        </w:tc>
        <w:tc>
          <w:tcPr>
            <w:tcW w:w="120" w:type="dxa"/>
            <w:vAlign w:val="bottom"/>
          </w:tcPr>
          <w:p>
            <w:pPr>
              <w:spacing w:after="0"/>
              <w:rPr>
                <w:sz w:val="12"/>
                <w:szCs w:val="12"/>
                <w:color w:val="auto"/>
              </w:rPr>
            </w:pPr>
          </w:p>
        </w:tc>
      </w:tr>
      <w:tr>
        <w:trPr>
          <w:trHeight w:val="148"/>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Arthur Yao (1)</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921,675</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1,014,926</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621,675</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714,926</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921,675</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1,014,926</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Director remuneration</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Sir David Wright</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95,852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92,521</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Anthony Sharp</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383,406</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380,084</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Steve Perry</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95,852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92,521</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Derek Smith</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95,852</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92,521</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670,961</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657,647</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670,961</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657,647</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670,961</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657,647</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Management remuneration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1,011,119</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2,072,224</w:t>
            </w:r>
          </w:p>
        </w:tc>
        <w:tc>
          <w:tcPr>
            <w:tcW w:w="120" w:type="dxa"/>
            <w:vAlign w:val="bottom"/>
          </w:tcPr>
          <w:p>
            <w:pPr>
              <w:spacing w:after="0"/>
              <w:rPr>
                <w:sz w:val="12"/>
                <w:szCs w:val="12"/>
                <w:color w:val="auto"/>
              </w:rPr>
            </w:pPr>
          </w:p>
        </w:tc>
      </w:tr>
      <w:tr>
        <w:trPr>
          <w:trHeight w:val="149"/>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64,400,841</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4,053,826</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65,411,960</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6,126,050</w:t>
            </w: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Business development expenses</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74"/>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Rezolve China (3)</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4,750,430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777,161</w:t>
            </w:r>
          </w:p>
        </w:tc>
        <w:tc>
          <w:tcPr>
            <w:tcW w:w="1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-3384550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-3384550</wp:posOffset>
            </wp:positionV>
            <wp:extent cx="7747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-2621915</wp:posOffset>
            </wp:positionV>
            <wp:extent cx="685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-2621915</wp:posOffset>
            </wp:positionV>
            <wp:extent cx="7747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-1850390</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-1850390</wp:posOffset>
            </wp:positionV>
            <wp:extent cx="7747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-692785</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-692785</wp:posOffset>
            </wp:positionV>
            <wp:extent cx="7747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-307340</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-307340</wp:posOffset>
            </wp:positionV>
            <wp:extent cx="7747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0" w:name="page161"/>
    <w:bookmarkEnd w:id="160"/>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right="220" w:hanging="503"/>
        <w:spacing w:after="0" w:line="282" w:lineRule="auto"/>
        <w:tabs>
          <w:tab w:leader="none" w:pos="10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to Arthur Yao were paid out of Rezolve Limited in the UK. The Company’s operations in China have since been liquidated through the Demerger (Refer to Note 2.1—Basis of presentation).</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expensed all cash transferred to its former subsidiary Rezolve China (Refer to Note 2.1—Basis of presentation).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balances as at reporting date</w:t>
      </w:r>
    </w:p>
    <w:p>
      <w:pPr>
        <w:spacing w:after="0" w:line="22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Short term debt to related party</w:t>
            </w:r>
          </w:p>
        </w:tc>
        <w:tc>
          <w:tcPr>
            <w:tcW w:w="3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DBLP Sea Cow (2)</w:t>
            </w: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447,067</w:t>
            </w:r>
          </w:p>
        </w:tc>
        <w:tc>
          <w:tcPr>
            <w:tcW w:w="540" w:type="dxa"/>
            <w:vAlign w:val="bottom"/>
            <w:gridSpan w:val="2"/>
          </w:tcPr>
          <w:p>
            <w:pPr>
              <w:jc w:val="right"/>
              <w:ind w:right="18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447,067</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Daniel Wagner</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4,655,144</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191,405</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Igor Lychagov</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5,587,343</w:t>
            </w:r>
          </w:p>
        </w:tc>
        <w:tc>
          <w:tcPr>
            <w:tcW w:w="80" w:type="dxa"/>
            <w:vAlign w:val="bottom"/>
          </w:tcPr>
          <w:p>
            <w:pPr>
              <w:spacing w:after="0"/>
              <w:rPr>
                <w:sz w:val="17"/>
                <w:szCs w:val="17"/>
                <w:color w:val="auto"/>
              </w:rPr>
            </w:pPr>
          </w:p>
        </w:tc>
      </w:tr>
      <w:tr>
        <w:trPr>
          <w:trHeight w:val="196"/>
        </w:trPr>
        <w:tc>
          <w:tcPr>
            <w:tcW w:w="5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5,102,211</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6,225,815</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Due to related party</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DBLP Sea Cow (2)</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Daniel Wagner</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899,978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147,605</w:t>
            </w:r>
          </w:p>
        </w:tc>
        <w:tc>
          <w:tcPr>
            <w:tcW w:w="80" w:type="dxa"/>
            <w:vAlign w:val="bottom"/>
          </w:tcPr>
          <w:p>
            <w:pPr>
              <w:spacing w:after="0"/>
              <w:rPr>
                <w:sz w:val="17"/>
                <w:szCs w:val="17"/>
                <w:color w:val="auto"/>
              </w:rPr>
            </w:pPr>
          </w:p>
        </w:tc>
      </w:tr>
      <w:tr>
        <w:trPr>
          <w:trHeight w:val="202"/>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Arthur Yao</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137,019</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61,945</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Peter Vesco</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31,248</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Steve Perry</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17,433</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Sauvik Banerjjee</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58,320</w:t>
            </w:r>
          </w:p>
        </w:tc>
        <w:tc>
          <w:tcPr>
            <w:tcW w:w="80" w:type="dxa"/>
            <w:vAlign w:val="bottom"/>
          </w:tcPr>
          <w:p>
            <w:pPr>
              <w:spacing w:after="0"/>
              <w:rPr>
                <w:sz w:val="17"/>
                <w:szCs w:val="17"/>
                <w:color w:val="auto"/>
              </w:rPr>
            </w:pPr>
          </w:p>
        </w:tc>
      </w:tr>
      <w:tr>
        <w:trPr>
          <w:trHeight w:val="203"/>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Anthony Sharp</w:t>
            </w:r>
          </w:p>
        </w:tc>
        <w:tc>
          <w:tcPr>
            <w:tcW w:w="3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127,325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1,054,429</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777,576</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Short term convertible debt</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Steve Perry</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95,309</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132,269</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Share Subscription Receivables</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Daniel Wagner</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111,845</w:t>
            </w:r>
          </w:p>
        </w:tc>
        <w:tc>
          <w:tcPr>
            <w:tcW w:w="80" w:type="dxa"/>
            <w:vAlign w:val="bottom"/>
          </w:tcPr>
          <w:p>
            <w:pPr>
              <w:spacing w:after="0"/>
              <w:rPr>
                <w:sz w:val="17"/>
                <w:szCs w:val="17"/>
                <w:color w:val="auto"/>
              </w:rPr>
            </w:pPr>
          </w:p>
        </w:tc>
      </w:tr>
      <w:tr>
        <w:trPr>
          <w:trHeight w:val="203"/>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DBLP Sea Cow (2)</w:t>
            </w:r>
          </w:p>
        </w:tc>
        <w:tc>
          <w:tcPr>
            <w:tcW w:w="3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4"/>
        </w:trPr>
        <w:tc>
          <w:tcPr>
            <w:tcW w:w="5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119,844</w:t>
            </w: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-921385</wp:posOffset>
            </wp:positionV>
            <wp:extent cx="431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-921385</wp:posOffset>
            </wp:positionV>
            <wp:extent cx="5143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-141605</wp:posOffset>
            </wp:positionV>
            <wp:extent cx="431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-141605</wp:posOffset>
            </wp:positionV>
            <wp:extent cx="5143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78" w:lineRule="exact"/>
        <w:rPr>
          <w:sz w:val="20"/>
          <w:szCs w:val="20"/>
          <w:color w:val="auto"/>
        </w:rPr>
      </w:pPr>
    </w:p>
    <w:p>
      <w:pPr>
        <w:ind w:left="1020" w:right="580" w:hanging="503"/>
        <w:spacing w:after="0" w:line="282" w:lineRule="auto"/>
        <w:tabs>
          <w:tab w:leader="none" w:pos="102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 as lessee</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of the Company's lease arrangements in place during the years ended December 31, 2024 and 2023 are short-term leases as they have lease</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terms of 12 months or less and do not include options to purchase the underlying assets. Upon adoption of ASC 842, the Company elected not to record short-term leases on its consolidated balance sheet and instead recognize lease payments in its consolidated statement of operations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 w:hanging="512"/>
        <w:spacing w:after="0"/>
        <w:tabs>
          <w:tab w:leader="none" w:pos="52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files its primary tax return in the United Kingdom (“the UK”). Its subsidiaries file income tax returns in the United States (“the US”), Spain, India and Taiwan. The income taxes of the Company are presented on a separate return basis for each tax-paying entity.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Company's loss (income) before income taxes are as follows: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161" w:name="page162"/>
    <w:bookmarkEnd w:id="161"/>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7"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UK</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171,670,156</w:t>
            </w:r>
          </w:p>
        </w:tc>
        <w:tc>
          <w:tcPr>
            <w:tcW w:w="8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29,427,631</w:t>
            </w:r>
          </w:p>
        </w:tc>
        <w:tc>
          <w:tcPr>
            <w:tcW w:w="1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696,137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994,933</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Spain</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262,064</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298,927</w:t>
            </w:r>
          </w:p>
        </w:tc>
        <w:tc>
          <w:tcPr>
            <w:tcW w:w="1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1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(88,448)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(92,982)</w:t>
            </w: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61,948</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44,181</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172,601,857</w:t>
            </w: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30,672,690</w:t>
            </w:r>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-153670</wp:posOffset>
            </wp:positionV>
            <wp:extent cx="7747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-153670</wp:posOffset>
            </wp:positionV>
            <wp:extent cx="11112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Current and deferred income tax expense consist of:</w:t>
      </w:r>
    </w:p>
    <w:p>
      <w:pPr>
        <w:spacing w:after="0" w:line="219" w:lineRule="exact"/>
        <w:rPr>
          <w:sz w:val="20"/>
          <w:szCs w:val="20"/>
          <w:color w:val="auto"/>
        </w:rPr>
      </w:pPr>
    </w:p>
    <w:tbl>
      <w:tblPr>
        <w:tblLayout w:type="fixed"/>
        <w:tblInd w:w="142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r>
      <w:tr>
        <w:trPr>
          <w:trHeight w:val="42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24"/>
                <w:szCs w:val="24"/>
                <w:color w:val="auto"/>
              </w:rPr>
            </w:pPr>
          </w:p>
        </w:tc>
      </w:tr>
      <w:tr>
        <w:trPr>
          <w:trHeight w:val="209"/>
        </w:trPr>
        <w:tc>
          <w:tcPr>
            <w:tcW w:w="2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44,933</w:t>
            </w:r>
          </w:p>
        </w:tc>
        <w:tc>
          <w:tcPr>
            <w:tcW w:w="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18"/>
                <w:szCs w:val="18"/>
                <w:color w:val="auto"/>
              </w:rPr>
            </w:pPr>
          </w:p>
        </w:tc>
      </w:tr>
      <w:tr>
        <w:trPr>
          <w:trHeight w:val="209"/>
        </w:trPr>
        <w:tc>
          <w:tcPr>
            <w:tcW w:w="2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44,933</w:t>
            </w:r>
          </w:p>
        </w:tc>
        <w:tc>
          <w:tcPr>
            <w:tcW w:w="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-299720</wp:posOffset>
            </wp:positionV>
            <wp:extent cx="514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-299720</wp:posOffset>
            </wp:positionV>
            <wp:extent cx="514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5143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5143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Income tax benefit attributable to our loss before income taxes differs from the amounts computed using the applicable income tax rate as a result of the following factors:</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(172,601,857)</w:t>
            </w:r>
          </w:p>
        </w:tc>
        <w:tc>
          <w:tcPr>
            <w:tcW w:w="220" w:type="dxa"/>
            <w:vAlign w:val="bottom"/>
            <w:tcBorders>
              <w:lef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(30,672,690)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at statutory tax rates (a)</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43,150,464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7,208,082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or non-taxable foreign currency exchange results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rate differences (b)</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(29,893,933)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(2,050,426)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(12,858,776)</w:t>
            </w: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(4,996,208)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44,933</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-153670</wp:posOffset>
            </wp:positionV>
            <wp:extent cx="5143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-153670</wp:posOffset>
            </wp:positionV>
            <wp:extent cx="5143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8" w:lineRule="exact"/>
        <w:rPr>
          <w:sz w:val="20"/>
          <w:szCs w:val="20"/>
          <w:color w:val="auto"/>
        </w:rPr>
      </w:pPr>
    </w:p>
    <w:p>
      <w:pPr>
        <w:ind w:left="520" w:hanging="377"/>
        <w:spacing w:after="0" w:line="266" w:lineRule="auto"/>
        <w:tabs>
          <w:tab w:leader="none" w:pos="5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or “expected” tax rates are the U.K. rates of 25% for 2024 and 23.5% for 2023. The 2023 statutory rate represents that blended rate in effect for the year ended December 31, 2023 based on the 19.0% statutory rate that was in effect for the first quarter of 2023 and the 25.0% statutory rate that was in effect for the remainder of 2023.</w:t>
      </w:r>
    </w:p>
    <w:p>
      <w:pPr>
        <w:spacing w:after="0" w:line="67" w:lineRule="exact"/>
        <w:rPr>
          <w:rFonts w:ascii="Times New Roman" w:cs="Times New Roman" w:eastAsia="Times New Roman" w:hAnsi="Times New Roman"/>
          <w:sz w:val="18"/>
          <w:szCs w:val="18"/>
          <w:color w:val="auto"/>
        </w:rPr>
      </w:pPr>
    </w:p>
    <w:p>
      <w:pPr>
        <w:ind w:left="520" w:right="460" w:hanging="377"/>
        <w:spacing w:after="0" w:line="282" w:lineRule="auto"/>
        <w:tabs>
          <w:tab w:leader="none" w:pos="5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adjustments (either a benefit or expense) to the “expected” tax expense for statutory rates in jurisdictions in which we operate outside of the UK.</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and its subsidiaries are liable to income taxes in their respective jurisdiction. The Company has unused tax losses as follows as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Tax loss</w:t>
            </w:r>
          </w:p>
        </w:tc>
        <w:tc>
          <w:tcPr>
            <w:tcW w:w="180" w:type="dxa"/>
            <w:vAlign w:val="bottom"/>
          </w:tcPr>
          <w:p>
            <w:pPr>
              <w:spacing w:after="0"/>
              <w:rPr>
                <w:sz w:val="13"/>
                <w:szCs w:val="13"/>
                <w:color w:val="auto"/>
              </w:rPr>
            </w:pPr>
          </w:p>
        </w:tc>
        <w:tc>
          <w:tcPr>
            <w:tcW w:w="126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carryforward</w:t>
            </w:r>
          </w:p>
        </w:tc>
        <w:tc>
          <w:tcPr>
            <w:tcW w:w="180" w:type="dxa"/>
            <w:vAlign w:val="bottom"/>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UK (1)</w:t>
            </w:r>
          </w:p>
        </w:tc>
        <w:tc>
          <w:tcPr>
            <w:tcW w:w="2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41,980,917</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US</w:t>
            </w: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6,238,596</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Indefinite</w:t>
            </w:r>
          </w:p>
        </w:tc>
        <w:tc>
          <w:tcPr>
            <w:tcW w:w="0" w:type="dxa"/>
            <w:vAlign w:val="bottom"/>
          </w:tcPr>
          <w:p>
            <w:pPr>
              <w:spacing w:after="0"/>
              <w:rPr>
                <w:sz w:val="1"/>
                <w:szCs w:val="1"/>
                <w:color w:val="auto"/>
              </w:rPr>
            </w:pPr>
          </w:p>
        </w:tc>
      </w:tr>
      <w:tr>
        <w:trPr>
          <w:trHeight w:val="203"/>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Spain</w:t>
            </w:r>
          </w:p>
        </w:tc>
        <w:tc>
          <w:tcPr>
            <w:tcW w:w="2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1,106,475</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Indefinite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India</w:t>
            </w: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3"/>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Taiwan</w:t>
            </w:r>
          </w:p>
        </w:tc>
        <w:tc>
          <w:tcPr>
            <w:tcW w:w="2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2,421,606</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 years</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20" w:right="540" w:hanging="512"/>
        <w:spacing w:after="0" w:line="266" w:lineRule="auto"/>
        <w:tabs>
          <w:tab w:leader="none" w:pos="5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losses carried forward in Rezolve Limited were not transferred to Rezolve AI plc in the Pre-Closing Demerger. As a result, all tax losses previously created in the UK was lost upon completion of the Pre-Closing Demerger, see note 2.1. Tax losses incurred subsequent to the Pre-Closing Demerger have an indefinite life.</w:t>
      </w:r>
    </w:p>
    <w:p>
      <w:pPr>
        <w:spacing w:after="0" w:line="67"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created a valuation allowance against the deferred tax asset resulting from such losses due to the Company’s history of past losses and lack of conclusive evidence to support the view that sufficient taxable profit will be generated in the future by the operating entities to offset such losses.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62" w:name="page163"/>
    <w:bookmarkEnd w:id="16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our unrecognized tax benefits for the indicated periods are summarized below:</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1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6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24,388,433</w:t>
            </w:r>
          </w:p>
        </w:tc>
        <w:tc>
          <w:tcPr>
            <w:tcW w:w="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Effect of rate changes: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10,719,324</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6,882,336</w:t>
            </w:r>
          </w:p>
        </w:tc>
        <w:tc>
          <w:tcPr>
            <w:tcW w:w="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Return to provision (based on tax return)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16,505,726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losses lost on demerger</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(47,942,752)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588,135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2,483,300</w:t>
            </w:r>
          </w:p>
        </w:tc>
        <w:tc>
          <w:tcPr>
            <w:tcW w:w="80" w:type="dxa"/>
            <w:vAlign w:val="bottom"/>
          </w:tcPr>
          <w:p>
            <w:pPr>
              <w:spacing w:after="0"/>
              <w:rPr>
                <w:sz w:val="18"/>
                <w:szCs w:val="18"/>
                <w:color w:val="auto"/>
              </w:rPr>
            </w:pPr>
          </w:p>
        </w:tc>
      </w:tr>
      <w:tr>
        <w:trPr>
          <w:trHeight w:val="209"/>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6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13,624,502</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-7620</wp:posOffset>
            </wp:positionV>
            <wp:extent cx="5143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assurance can be given that any of these tax benefits will be recognized or realized.</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2025, we do not expect any material reductions to our unrecognized tax benefits related to tax positions taken as of December 31, 2024. No assurance can be given as to the nature or impact of any changes in our unrecognized tax positions during 2024.</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the significant portions of our deferred tax assets and liabilities are presented below:</w:t>
      </w:r>
    </w:p>
    <w:p>
      <w:pPr>
        <w:spacing w:after="0" w:line="219"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5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and other carryforwards</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13,624,502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PP&amp;E</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to related party</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1,556,454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5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7,382,329</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8,110,222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22,001,800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43,748,501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Derivative asset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(646,895)</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(485,477)</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(1,132,372)</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20,869,428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(20,869,428)</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 net of valuation allowance</w:t>
            </w: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-1148080</wp:posOffset>
            </wp:positionV>
            <wp:extent cx="5143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-1148080</wp:posOffset>
            </wp:positionV>
            <wp:extent cx="431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-582295</wp:posOffset>
            </wp:positionV>
            <wp:extent cx="5143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-582295</wp:posOffset>
            </wp:positionV>
            <wp:extent cx="431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5143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431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files income tax returns as prescribed by the tax laws of its operating jurisdictions. In the normal course of business, the Company is subject to examination by tax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recognized any uncertain tax position for the year ended December 31,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w:t>
      </w:r>
    </w:p>
    <w:p>
      <w:pPr>
        <w:spacing w:after="0" w:line="33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On October 3, 2024, the Company announced that it entered into a commercial agreement with Microsoft Corporation. Through this collaboration, Rezolve’s Brain Suite, including Brain Commerce, Brain Checkout, and Brain Assistant, will be powered by</w:t>
      </w:r>
    </w:p>
    <w:p>
      <w:pPr>
        <w:spacing w:after="0" w:line="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5" w:right="459" w:bottom="1440" w:gutter="0" w:footer="0" w:header="0"/>
        </w:sectPr>
      </w:pPr>
    </w:p>
    <w:bookmarkStart w:id="163" w:name="page164"/>
    <w:bookmarkEnd w:id="16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Microsoft Azure and available globally via Microsoft’s Azure Marketplace and co-sell channels. The Company is committed to spend £117.98 million (approximately $147.66 million at December 31, 2024) under this agreement to purchase eligible services and offerings from Microsoft over the next 5 years.</w:t>
      </w:r>
    </w:p>
    <w:p>
      <w:pPr>
        <w:spacing w:after="0" w:line="68"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On November 20, 2024, the Company announced that it entered into a commercial agreement with Google Cloud EMEA Ltd (“Google”). Through this collaboration, Google will resell Rezolve AI’s Brain Suite. The Company’s commitments to purchase eligible services and offerings from Google is summarized in the table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Commitment amount</w:t>
            </w:r>
          </w:p>
        </w:tc>
        <w:tc>
          <w:tcPr>
            <w:tcW w:w="100" w:type="dxa"/>
            <w:vAlign w:val="bottom"/>
          </w:tcPr>
          <w:p>
            <w:pPr>
              <w:spacing w:after="0"/>
              <w:rPr>
                <w:sz w:val="15"/>
                <w:szCs w:val="15"/>
                <w:color w:val="auto"/>
              </w:rPr>
            </w:pPr>
          </w:p>
        </w:tc>
      </w:tr>
      <w:tr>
        <w:trPr>
          <w:trHeight w:val="209"/>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1</w:t>
            </w:r>
          </w:p>
        </w:tc>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3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FF0FC"/>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Commitment period 2</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Pr>
          <w:p>
            <w:pPr>
              <w:spacing w:after="0"/>
              <w:rPr>
                <w:sz w:val="18"/>
                <w:szCs w:val="18"/>
                <w:color w:val="auto"/>
              </w:rPr>
            </w:pPr>
          </w:p>
        </w:tc>
      </w:tr>
      <w:tr>
        <w:trPr>
          <w:trHeight w:val="216"/>
        </w:trPr>
        <w:tc>
          <w:tcPr>
            <w:tcW w:w="1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3</w:t>
            </w:r>
          </w:p>
        </w:tc>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34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Commitment</w:t>
            </w:r>
          </w:p>
        </w:tc>
        <w:tc>
          <w:tcPr>
            <w:tcW w:w="3720" w:type="dxa"/>
            <w:vAlign w:val="bottom"/>
          </w:tcPr>
          <w:p>
            <w:pPr>
              <w:spacing w:after="0"/>
              <w:rPr>
                <w:sz w:val="18"/>
                <w:szCs w:val="18"/>
                <w:color w:val="auto"/>
              </w:rPr>
            </w:pPr>
          </w:p>
        </w:tc>
        <w:tc>
          <w:tcPr>
            <w:tcW w:w="3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w:t>
            </w:r>
          </w:p>
        </w:tc>
        <w:tc>
          <w:tcPr>
            <w:tcW w:w="100" w:type="dxa"/>
            <w:vAlign w:val="bottom"/>
          </w:tcPr>
          <w:p>
            <w:pPr>
              <w:spacing w:after="0"/>
              <w:rPr>
                <w:sz w:val="18"/>
                <w:szCs w:val="18"/>
                <w:color w:val="auto"/>
              </w:rPr>
            </w:pPr>
          </w:p>
        </w:tc>
      </w:tr>
      <w:tr>
        <w:trPr>
          <w:trHeight w:val="20"/>
        </w:trPr>
        <w:tc>
          <w:tcPr>
            <w:tcW w:w="1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760" w:hanging="243"/>
        <w:spacing w:after="0"/>
        <w:tabs>
          <w:tab w:leader="none" w:pos="76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on November 15, 2024 and continuing for 12 months.</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1 and continuing for 12 months.</w:t>
      </w:r>
    </w:p>
    <w:p>
      <w:pPr>
        <w:spacing w:after="0" w:line="117" w:lineRule="exact"/>
        <w:rPr>
          <w:rFonts w:ascii="Times New Roman" w:cs="Times New Roman" w:eastAsia="Times New Roman" w:hAnsi="Times New Roman"/>
          <w:sz w:val="18"/>
          <w:szCs w:val="18"/>
          <w:color w:val="auto"/>
        </w:rPr>
      </w:pPr>
    </w:p>
    <w:p>
      <w:pPr>
        <w:ind w:left="760" w:hanging="243"/>
        <w:spacing w:after="0"/>
        <w:tabs>
          <w:tab w:leader="none" w:pos="76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2 and continuing for 12 months.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For financial statements as of December 31, 2024, we have evaluated subsequent events through April 23, 2025, which is the date such financial statements are available to be issued.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Senior-secured term-loan facility</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January 23, 2025, the Company entered into a senior-secured term-loan facility (the “Facility”) with Joh. Berenberg, Gossler &amp; Co. KG, a financial institution established under the laws of the Federal Republic of Germany (the “Lender”). Capitalized terms used but not defined herein shall have the meanings ascribed to them in the Facility.</w:t>
      </w:r>
    </w:p>
    <w:p>
      <w:pPr>
        <w:spacing w:after="0" w:line="68" w:lineRule="exact"/>
        <w:rPr>
          <w:sz w:val="20"/>
          <w:szCs w:val="20"/>
          <w:color w:val="auto"/>
        </w:rPr>
      </w:pPr>
    </w:p>
    <w:p>
      <w:pPr>
        <w:ind w:right="100" w:firstLine="554"/>
        <w:spacing w:after="0" w:line="282" w:lineRule="auto"/>
        <w:rPr>
          <w:sz w:val="20"/>
          <w:szCs w:val="20"/>
          <w:color w:val="auto"/>
        </w:rPr>
      </w:pPr>
      <w:r>
        <w:rPr>
          <w:rFonts w:ascii="Times New Roman" w:cs="Times New Roman" w:eastAsia="Times New Roman" w:hAnsi="Times New Roman"/>
          <w:sz w:val="18"/>
          <w:szCs w:val="18"/>
          <w:color w:val="auto"/>
        </w:rPr>
        <w:t>The committed amount of the Facility is $30,000,000 (the “Committed Amount”). The Company may draw the Committed Amount, in full but not in part, until February 20, 2025 upon the satisfaction or waiver of certain customary conditions precedent.</w:t>
      </w:r>
    </w:p>
    <w:p>
      <w:pPr>
        <w:spacing w:after="0" w:line="54" w:lineRule="exact"/>
        <w:rPr>
          <w:sz w:val="20"/>
          <w:szCs w:val="20"/>
          <w:color w:val="auto"/>
        </w:rPr>
      </w:pPr>
    </w:p>
    <w:p>
      <w:pPr>
        <w:ind w:right="20" w:firstLine="554"/>
        <w:spacing w:after="0" w:line="266" w:lineRule="auto"/>
        <w:rPr>
          <w:sz w:val="20"/>
          <w:szCs w:val="20"/>
          <w:color w:val="auto"/>
        </w:rPr>
      </w:pPr>
      <w:r>
        <w:rPr>
          <w:rFonts w:ascii="Times New Roman" w:cs="Times New Roman" w:eastAsia="Times New Roman" w:hAnsi="Times New Roman"/>
          <w:sz w:val="18"/>
          <w:szCs w:val="18"/>
          <w:color w:val="auto"/>
        </w:rPr>
        <w:t>Following a draw of the Committed Amount, the Company must repay the Facility in five (5) monthly installments of $6,000,000 beginning on August 15, 2025. If the Company fails to make a scheduled repayment, a 5% fee will be added to the outstanding balance remaining under the Facility. The Company may, in its sole discretion, make prepayments of at least $3,000,000.</w:t>
      </w:r>
    </w:p>
    <w:p>
      <w:pPr>
        <w:spacing w:after="0" w:line="68" w:lineRule="exact"/>
        <w:rPr>
          <w:sz w:val="20"/>
          <w:szCs w:val="20"/>
          <w:color w:val="auto"/>
        </w:rPr>
      </w:pPr>
    </w:p>
    <w:p>
      <w:pPr>
        <w:ind w:right="20" w:firstLine="554"/>
        <w:spacing w:after="0" w:line="266" w:lineRule="auto"/>
        <w:rPr>
          <w:sz w:val="20"/>
          <w:szCs w:val="20"/>
          <w:color w:val="auto"/>
        </w:rPr>
      </w:pPr>
      <w:r>
        <w:rPr>
          <w:rFonts w:ascii="Times New Roman" w:cs="Times New Roman" w:eastAsia="Times New Roman" w:hAnsi="Times New Roman"/>
          <w:sz w:val="18"/>
          <w:szCs w:val="18"/>
          <w:color w:val="auto"/>
        </w:rPr>
        <w:t>The Facility bears no interest. However, the Company will pay a $3,000,000 arrangement fee to the Lender on the earlier of (i) the drawing the Committed Amount and (ii) February 21, 2025. The arrangement fee will be deducted from the Committed Amount disbursed to the Company. As set forth in the Facility, the arrangement fee will be reduced in connection with any prepayments made by the Company.</w:t>
      </w:r>
    </w:p>
    <w:p>
      <w:pPr>
        <w:spacing w:after="0" w:line="68" w:lineRule="exact"/>
        <w:rPr>
          <w:sz w:val="20"/>
          <w:szCs w:val="20"/>
          <w:color w:val="auto"/>
        </w:rPr>
      </w:pPr>
    </w:p>
    <w:p>
      <w:pPr>
        <w:ind w:right="40" w:firstLine="554"/>
        <w:spacing w:after="0" w:line="261" w:lineRule="auto"/>
        <w:rPr>
          <w:sz w:val="20"/>
          <w:szCs w:val="20"/>
          <w:color w:val="auto"/>
        </w:rPr>
      </w:pPr>
      <w:r>
        <w:rPr>
          <w:rFonts w:ascii="Times New Roman" w:cs="Times New Roman" w:eastAsia="Times New Roman" w:hAnsi="Times New Roman"/>
          <w:sz w:val="18"/>
          <w:szCs w:val="18"/>
          <w:color w:val="auto"/>
        </w:rPr>
        <w:t>In connection with the Facility, the Company has made certain customary representations and warranties and is required to comply with various covenants, reporting requirements and other customary requirements for similar facilities. The Company has also agreed to repay the Facility in accordance with the amortization schedule described above, beginning on August 15, 2025, and may use the proceeds it receives under or in connection with that certain Second Amended and Restated Standby Equity Purchase Agreement entered with YA II PN, Ltd. on September 6, 2024 to do so.</w:t>
      </w:r>
    </w:p>
    <w:p>
      <w:pPr>
        <w:spacing w:after="0" w:line="72" w:lineRule="exact"/>
        <w:rPr>
          <w:sz w:val="20"/>
          <w:szCs w:val="20"/>
          <w:color w:val="auto"/>
        </w:rPr>
      </w:pPr>
    </w:p>
    <w:p>
      <w:pPr>
        <w:ind w:right="120" w:firstLine="554"/>
        <w:spacing w:after="0" w:line="266" w:lineRule="auto"/>
        <w:rPr>
          <w:sz w:val="20"/>
          <w:szCs w:val="20"/>
          <w:color w:val="auto"/>
        </w:rPr>
      </w:pPr>
      <w:r>
        <w:rPr>
          <w:rFonts w:ascii="Times New Roman" w:cs="Times New Roman" w:eastAsia="Times New Roman" w:hAnsi="Times New Roman"/>
          <w:sz w:val="18"/>
          <w:szCs w:val="18"/>
          <w:color w:val="auto"/>
        </w:rPr>
        <w:t>The Facility contains customary events of default for similar financing transactions, including, among other things, if a change of control of the Company occurs. At any time after an event of default, the Lender may accelerate and make payable all or part of the Facility. The Facility is governed by the laws of Germany, and the courts of Hamburg have exclusive jurisdiction over any disputes arising out of or in connection with the Facility.</w:t>
      </w:r>
    </w:p>
    <w:p>
      <w:pPr>
        <w:spacing w:after="0" w:line="68"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Lender or its affiliates have in the past provided and may from time to time in the future provide, investment banking and other services to the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4" w:name="page165"/>
    <w:bookmarkEnd w:id="16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February 4, 2025, the Company entered into a purchase agreement with DBLP Sea Cow Ltd (“DBLP”), to acquire the entire issued and to be issued share capital of each of Bluedot Industries, Inc. and Bluedot Industries Pty. Ltd. As consideration for this acquisition, the Company issued 819,737 ordinary shares of the Company to DBLP.</w:t>
      </w:r>
    </w:p>
    <w:p>
      <w:pPr>
        <w:spacing w:after="0" w:line="176"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and beneficially owned by John Wagner. Both Daniel Wagner and John Wagner are directors of DBLP.</w:t>
      </w:r>
    </w:p>
    <w:p>
      <w:pPr>
        <w:spacing w:after="0" w:line="5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March 17, 2025, the Company entered into a share purchase agreement with Tanist Group Limited (“Tanist Group”) pursuant to which the Company acquired 100% of the issued and outstanding shares of Bluedot Innovation Pty. Ltd. As consideration for this acquisition, the Company issued 1,941,111 ordinary shares of the Company to the Tanist Group.</w:t>
      </w:r>
    </w:p>
    <w:p>
      <w:pPr>
        <w:spacing w:after="0" w:line="68"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Bluedot Industries, Inc., Bluedot Industries Pty. Ltd.and Bluedot Innovation Pty. Ltd, together “Bluedot”, is a developer of mobile location technology to enhance customer experiences.</w:t>
      </w:r>
    </w:p>
    <w:p>
      <w:pPr>
        <w:spacing w:after="0" w:line="54"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On February 20, 2025 and March 17, 2025, the Company closed the Bluedot Acquisition and issued the above mentioned ordinary shares as consideration to DBLP and the Tanist Group, respectively.</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utilizes the services of an independent valuation consultant, along with estimates and assumptions determined by management, to estimate the fair value of the assets acquired and liabilities assumed. Given the timing of the Bluedot Acquisition, the assets acquired are still in process of being valued by an independent valuation consultant. The liabilities assumed are also preliminary until the contractual post-closing adjustments are finalized. The final determination of the fair value of assets acquired and liabilities assumed will be completed within the one-year measurement period as allowed by ASC 805. Therefore the initial accounting for this acquisition is incomplete as of the date of issuance of these consolidated financial statements.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acquisition of Bluedot was not deemed significant under Rule 3-05 of Regulation S-X (“Rule 3-05”).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purchase agreement with GroupBy Inc., GroupBy International Ltd., and Fortis Advisors LLC, as the representative of the sellers party thereto (“the Sellers”), to acquire the entire issued and to be issued share capital of each of GroupBy Inc., GroupBy International Ltd., GroupBy USA Inc., and GroupBy UK Ltd (together “GroupBy”).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GroupBy is an eCommerce Search and Product Discovery SaaS technology provider that powers some of the largest B2B and B2C brands.</w:t>
      </w:r>
    </w:p>
    <w:p>
      <w:pPr>
        <w:spacing w:after="0" w:line="22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utilizes the services of an independent valuation consultant, along with estimates and assumptions determined by management, to estimate the fair value of the assets acquired and liabilities assumed. Given the timing of the GroupBy Acquisition, the assets acquired are still in process of being valued by an independent valuation consultant. The liabilities assumed are also preliminary until the contractual post-closing adjustments are finalized. The final determination of the fair value of assets acquired and liabilities assumed will be completed within the one-year measurement period as allowed by ASC 805. Therefore the initial accounting for this acquisition is incomplete as of the date of issuance of these consolidated financial statements.</w:t>
      </w:r>
    </w:p>
    <w:p>
      <w:pPr>
        <w:spacing w:after="0" w:line="183"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acquisition of GroupBy was deemed significant under Rule 3-05 and separate financial statements for GroupBy are included elsewhere in this prospectus.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1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On February 21, 2025, the Company entered into a Securities Purchase Agreement (the “SPA”) with each of the investors listed on the Schedule of Buyers attached thereto (the “Buyers”). Capitalized terms used but not defined herein shall have the meanings ascribed to them in the SPA or the form of Convertible Note (as defined below), as applicable.</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Pursuant to the SPA, the Company has agreed to sell to the Buyers up to $1 billion of Convertible Notes. The Company has agreed to use all of the proceeds it receives from the sale of the Convertible Notes to cause a newly formed, wholly owned subsidiary of the Company (the “New SPV Subsidiary”), to purchase and hold Bitcoin, subject to certain conditions being met, as set out in the terms of the Convertible Notes.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65" w:name="page166"/>
    <w:bookmarkEnd w:id="16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Subject to the satisfaction or waiver of certain conditions to closing set forth in the SPA, the Company will initially sell $100 million of Convertible Notes (the “Initial Notes”) to the Buyers (the “Initial Closing”). In connection with the Initial Closing, the Company will also issue a number of ordinary shares (“Closing Commitment Shares”) of the Company, par value £0.0001 (“Ordinary Shares”) equal to the applicable Commitment Shares Calculation set forth in the SPA. The Closing Commitment Shares shall be purchased for a price of £0.0001 per Closing Commitment Share and shall be delivered to the Buyers as set forth in the Schedule of Buyers on the date the Closing Commitment Shares are registered for resale under the Securities Exchange Act of 1934, as amended.</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Subject to the satisfaction or waiver of certain conditions to closing set forth in the SPA, beginning on June 25, 2025 and until February 21, 2028, the Lead Buyer may cause the Company to participate in additional closings (each, an “Additional Closing”) for up to $900 million of additional Convertible Notes (the “Additional Notes” and, together with the Initial Notes, the “Convertible Notes”) with a conversion price equal to the 20-day VWAP of the Ordinary Shares on the date of the applicable Additional Closing. In connection with each Additional Closing, the Company will sell Additional Notes to the Buyers and issue a number of Ordinary Shares (“Additional Commitment Shares” and, together with Closing Commitment Shares, “Commitment Shares”) to the Buyers equal to the applicable Commitment Shares Calculation set forth in the SPA. The Additional Commitment Shares shall be purchased for a price of £0.0001 per Additional Commitment Share and shall be delivered to the Buyers on a pro rata basis upon the delivery of the Conversion Notice associated with the Additional Notes purchased at the respective Additional Closing.</w:t>
      </w:r>
    </w:p>
    <w:p>
      <w:pPr>
        <w:spacing w:after="0" w:line="19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Notwithstanding the foregoing, in the event that the Lead Buyer does not purchase any Additional Notes on or prior to the earlier of (i) the Company meeting the Equity Conditions or (ii) December 24, 2025, the Company may reduce the maximum number Additional Notes purchasable by the Buyers from $900 million to $500 million.</w:t>
      </w:r>
    </w:p>
    <w:p>
      <w:pPr>
        <w:spacing w:after="0" w:line="17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Each Convertible Note shall mature on the fifth anniversary of its issuance date, subject to acceleration through full redemption or conversion pursuant to its terms, and shall accrue interest at the Effective Federal Funds Rate. Upon the option of the Buyers, (i) the Initial Notes will be convertible into Ordinary Shares at a conversion price of $3 per share and (ii) the Additional Notes will be convertible into Ordinary Shares at a conversion price equal to the 20-day VWAP of the Ordinary Shares as of the date of the applicable Additional Closing on which such Additional Notes were purchased. The conversion price will be subject to adjustment as provided in the Convertible Notes if, so long as any Convertible Notes remain outstanding, the Company issues or sells, or is deemed to have issued or sold, any Ordinary Shares or other instruments convertible into Ordinary Shares at an Effective Issuance Price Per Ordinary Share less than the Conversion Price of the then-outstanding Convertible Notes.</w:t>
      </w:r>
    </w:p>
    <w:p>
      <w:pPr>
        <w:spacing w:after="0" w:line="189" w:lineRule="exact"/>
        <w:rPr>
          <w:sz w:val="20"/>
          <w:szCs w:val="20"/>
          <w:color w:val="auto"/>
        </w:rPr>
      </w:pPr>
    </w:p>
    <w:p>
      <w:pPr>
        <w:jc w:val="both"/>
        <w:ind w:right="640" w:firstLine="509"/>
        <w:spacing w:after="0" w:line="266" w:lineRule="auto"/>
        <w:rPr>
          <w:sz w:val="20"/>
          <w:szCs w:val="20"/>
          <w:color w:val="auto"/>
        </w:rPr>
      </w:pPr>
      <w:r>
        <w:rPr>
          <w:rFonts w:ascii="Times New Roman" w:cs="Times New Roman" w:eastAsia="Times New Roman" w:hAnsi="Times New Roman"/>
          <w:sz w:val="18"/>
          <w:szCs w:val="18"/>
          <w:color w:val="auto"/>
        </w:rPr>
        <w:t>The Convertible Notes will be guaranteed by the Company and all of its direct and indirect subsidiaries, including the New SPV Subsidiary. Additionally, the Convertible Notes will be secured by a first priority perfected security interest in (i) all of the Bitcoin purchased by the New SPV Subsidiary and (i) all remaining cash proceeds from the sale of the Convertible Notes held by the New SPV Subsidiary.</w:t>
      </w:r>
    </w:p>
    <w:p>
      <w:pPr>
        <w:spacing w:after="0" w:line="17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Initial Closing, the Company will enter into a Pledge Agreement and Registration Rights Agreement in favor of the Buyers. The Registration Rights Agreement will register for resale all of the Ordinary Shares issued upon conversion of the Convertible Notes and all of the Commitment Shares.</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Convertible Notes contain customary events of default for similar financing transactions, but with sole recourse (save in the case of certain major events of default set forth in the Note) to the segregated accounts held by the New SPV Subsidiary and irrespective to the market price of Bitcoin. In the event Bitcoin trades above the value of the Convertible Notes, the value in excess of the Convertible Notes will be for the account of the Company. At any time after an event of default, the Convertible Notes will accrue interest at a rate equal to the then applicable interest rate plus 5.0% and the Buyers may accelerate or redeem the Convertible Notes, as set forth in the Convertible Notes.</w:t>
      </w:r>
    </w:p>
    <w:p>
      <w:pPr>
        <w:spacing w:after="0" w:line="183"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Certain of the Buyers or their affiliates have in the past provided and may from time to time in the future provide investment banking and other services to the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Reduction of additional paid-in-capital</w:t>
      </w:r>
    </w:p>
    <w:p>
      <w:pPr>
        <w:spacing w:after="0" w:line="11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On February 26, 2025, the board of the directors of the Company passed a resolution to reduce the additional paid-in-capital of the Company by $200,000,000. A recapitalization occurred capitalizing $200,000,000 to accumulated deficit.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and other liabilities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6" w:name="page167"/>
    <w:bookmarkEnd w:id="16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first quarter of 2025, the Company settled certain of its outstanding convertible debt through the issuance of ordinary shares and also issued additional ordinary shares to a subscriber under its advanced subscription agreement for ordinary shares. See note 7 for more information.</w:t>
      </w:r>
    </w:p>
    <w:p>
      <w:pPr>
        <w:spacing w:after="0" w:line="2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765" w:right="679" w:bottom="1440" w:gutter="0" w:footer="0" w:header="0"/>
        </w:sectPr>
      </w:pPr>
    </w:p>
    <w:bookmarkStart w:id="167" w:name="page168"/>
    <w:bookmarkEnd w:id="16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 Board of Directors and Shareholders of GroupBy Group of Companies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combined consolidated financial statements of GroupBy Group of Companies, which comprise the balance sheets as of December 31, 2024 and December 31, 2023, and the related statements of loss and other comprehensive loss, changes in deficit, and cash flows for the years then ended, and the related notes to the combined consolidated financial statements, including a summary of material accounting policies.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combined consolidated financial statements referred to above present fairly, in all material respects, the financial position of GroupBy Group of Companies as of December 31, 2024 and December 31, 2023, and the results of its operations and its cash flows for the years then ended in accordance with IFRS® Accounting Standards as issued by the International Accounting Standards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Our responsibilities under those standards are further described in the Auditor’s Responsibilities for the Audit of the Combined Consolidated Financial Statements section of our report. We are required to be independent of GroupBy Group of Companies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Uncertainty Related to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draw attention to Note 3 in the combined consolidated financial statements, which indicated that GroupBy Group of Companies incurred a net loss during the years ended December 31, 2024 and December 31, 2023, and as of those dates, GroupBy Group of Companies’ current liabilities exceeded its total assets. As stated in Note 3, these events or conditions, along with other matters as set forth in Note 3, indicate that material uncertainty exists that casts significant doubt on GroupBy Group of Companies’ ability to continue as a going concern. Our opinion is not modified in respect of this matter.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Combined Consolidated Financial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combined consolidated financial statements in accordance with IFRS Accounting Standards as issued by the International Accounting Standards Board, and for the design, implementation, and maintenance of internal control relevant to the preparation and fair presentation of combined consolidated financial statements that are free from material misstatement, whether due to fraud or error.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preparing the combined consolidated financial statements, management is required to evaluate whether there are conditions or events, considered in the aggregate, that raise substantial doubt about GroupBy Group of Companies’ ability to continue as a going concern within one year after the date that the combined consolidated financial statements are available to be 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Responsibilities for the Audit of the Combined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combined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generally accepted auditing standards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combined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performing an audit in accordance with generally accepted auditing standards, we:</w:t>
      </w:r>
    </w:p>
    <w:p>
      <w:pPr>
        <w:spacing w:after="0" w:line="117" w:lineRule="exact"/>
        <w:rPr>
          <w:sz w:val="20"/>
          <w:szCs w:val="20"/>
          <w:color w:val="auto"/>
        </w:rPr>
      </w:pPr>
    </w:p>
    <w:p>
      <w:pPr>
        <w:ind w:left="5460" w:right="3640" w:hanging="4943"/>
        <w:spacing w:after="0" w:line="407" w:lineRule="auto"/>
        <w:tabs>
          <w:tab w:leader="none" w:pos="107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 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68" w:name="page169"/>
    <w:bookmarkEnd w:id="168"/>
    <w:p>
      <w:pPr>
        <w:ind w:left="1020" w:right="220" w:hanging="503"/>
        <w:spacing w:after="0" w:line="266" w:lineRule="auto"/>
        <w:tabs>
          <w:tab w:leader="none" w:pos="10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combined consolidated financial statements, whether due to fraud or error, and design and perform audit procedures responsive to those risks. Such procedures include examining, on a test basis, evidence regarding the amounts and disclosures in the combined consolidated financial statements.</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GroupBy Group of Companies’ internal control. Accordingly, no such opinion is expressed.</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combined consolidated financial statements.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GroupBy Group of Companies’ ability to continue as a going concern for a reasonable period of time.We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MNP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Public Accountants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2025</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6,482,298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3,376,896</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Accounts receivable </w:t>
            </w:r>
            <w:r>
              <w:rPr>
                <w:rFonts w:ascii="Times New Roman" w:cs="Times New Roman" w:eastAsia="Times New Roman" w:hAnsi="Times New Roman"/>
                <w:sz w:val="18"/>
                <w:szCs w:val="18"/>
                <w:i w:val="1"/>
                <w:iCs w:val="1"/>
                <w:color w:val="auto"/>
              </w:rPr>
              <w:t>(Note 5, Note 15)</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1,148,861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1,594,710</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Investment tax credits receivable </w:t>
            </w:r>
            <w:r>
              <w:rPr>
                <w:rFonts w:ascii="Times New Roman" w:cs="Times New Roman" w:eastAsia="Times New Roman" w:hAnsi="Times New Roman"/>
                <w:sz w:val="18"/>
                <w:szCs w:val="18"/>
                <w:i w:val="1"/>
                <w:iCs w:val="1"/>
                <w:color w:val="auto"/>
              </w:rPr>
              <w:t>(Note 7)</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148,630</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Prepaid expenses and deposits </w:t>
            </w:r>
            <w:r>
              <w:rPr>
                <w:rFonts w:ascii="Times New Roman" w:cs="Times New Roman" w:eastAsia="Times New Roman" w:hAnsi="Times New Roman"/>
                <w:sz w:val="18"/>
                <w:szCs w:val="18"/>
                <w:i w:val="1"/>
                <w:iCs w:val="1"/>
                <w:color w:val="auto"/>
              </w:rPr>
              <w:t>(Note 19)</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1,146,327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1,153,536</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222,222</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8,999,708</w:t>
            </w: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6,273,772</w:t>
            </w:r>
          </w:p>
        </w:tc>
        <w:tc>
          <w:tcPr>
            <w:tcW w:w="100" w:type="dxa"/>
            <w:vAlign w:val="bottom"/>
            <w:tcBorders>
              <w:top w:val="single" w:sz="8" w:color="CFF0FC"/>
            </w:tcBorders>
          </w:tcPr>
          <w:p>
            <w:pPr>
              <w:spacing w:after="0"/>
              <w:rPr>
                <w:sz w:val="18"/>
                <w:szCs w:val="18"/>
                <w:color w:val="auto"/>
              </w:rPr>
            </w:pPr>
          </w:p>
        </w:tc>
      </w:tr>
      <w:tr>
        <w:trPr>
          <w:trHeight w:val="210"/>
        </w:trPr>
        <w:tc>
          <w:tcPr>
            <w:tcW w:w="6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Property and equipment </w:t>
            </w:r>
            <w:r>
              <w:rPr>
                <w:rFonts w:ascii="Times New Roman" w:cs="Times New Roman" w:eastAsia="Times New Roman" w:hAnsi="Times New Roman"/>
                <w:sz w:val="18"/>
                <w:szCs w:val="18"/>
                <w:i w:val="1"/>
                <w:iCs w:val="1"/>
                <w:color w:val="auto"/>
              </w:rPr>
              <w:t>(Note 6)</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153,818</w:t>
            </w:r>
          </w:p>
        </w:tc>
        <w:tc>
          <w:tcPr>
            <w:tcW w:w="100" w:type="dxa"/>
            <w:vAlign w:val="bottom"/>
          </w:tcPr>
          <w:p>
            <w:pPr>
              <w:spacing w:after="0"/>
              <w:rPr>
                <w:sz w:val="18"/>
                <w:szCs w:val="18"/>
                <w:color w:val="auto"/>
              </w:rPr>
            </w:pPr>
          </w:p>
        </w:tc>
      </w:tr>
      <w:tr>
        <w:trPr>
          <w:trHeight w:val="216"/>
        </w:trPr>
        <w:tc>
          <w:tcPr>
            <w:tcW w:w="61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Right-of-use asset </w:t>
            </w:r>
            <w:r>
              <w:rPr>
                <w:rFonts w:ascii="Times New Roman" w:cs="Times New Roman" w:eastAsia="Times New Roman" w:hAnsi="Times New Roman"/>
                <w:sz w:val="18"/>
                <w:szCs w:val="18"/>
                <w:i w:val="1"/>
                <w:iCs w:val="1"/>
                <w:color w:val="auto"/>
              </w:rPr>
              <w:t>(Note 8)</w:t>
            </w:r>
          </w:p>
        </w:tc>
        <w:tc>
          <w:tcPr>
            <w:tcW w:w="1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174,568</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174,568</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374,938</w:t>
            </w:r>
          </w:p>
        </w:tc>
        <w:tc>
          <w:tcPr>
            <w:tcW w:w="100" w:type="dxa"/>
            <w:vAlign w:val="bottom"/>
          </w:tcPr>
          <w:p>
            <w:pPr>
              <w:spacing w:after="0"/>
              <w:rPr>
                <w:sz w:val="18"/>
                <w:szCs w:val="18"/>
                <w:color w:val="auto"/>
              </w:rPr>
            </w:pPr>
          </w:p>
        </w:tc>
      </w:tr>
      <w:tr>
        <w:trPr>
          <w:trHeight w:val="25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9,174,276</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6,648,710</w:t>
            </w:r>
          </w:p>
        </w:tc>
        <w:tc>
          <w:tcPr>
            <w:tcW w:w="100" w:type="dxa"/>
            <w:vAlign w:val="bottom"/>
            <w:shd w:val="clear" w:color="auto" w:fill="CFF0FC"/>
          </w:tcPr>
          <w:p>
            <w:pPr>
              <w:spacing w:after="0"/>
              <w:rPr>
                <w:sz w:val="21"/>
                <w:szCs w:val="21"/>
                <w:color w:val="auto"/>
              </w:rPr>
            </w:pPr>
          </w:p>
        </w:tc>
      </w:tr>
      <w:tr>
        <w:trPr>
          <w:trHeight w:val="196"/>
        </w:trPr>
        <w:tc>
          <w:tcPr>
            <w:tcW w:w="61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Bank indebtedness </w:t>
            </w:r>
            <w:r>
              <w:rPr>
                <w:rFonts w:ascii="Times New Roman" w:cs="Times New Roman" w:eastAsia="Times New Roman" w:hAnsi="Times New Roman"/>
                <w:sz w:val="18"/>
                <w:szCs w:val="18"/>
                <w:i w:val="1"/>
                <w:iCs w:val="1"/>
                <w:color w:val="auto"/>
              </w:rPr>
              <w:t>(Note 9)</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Accounts Payable and accrued liabilities </w:t>
            </w:r>
            <w:r>
              <w:rPr>
                <w:rFonts w:ascii="Times New Roman" w:cs="Times New Roman" w:eastAsia="Times New Roman" w:hAnsi="Times New Roman"/>
                <w:sz w:val="18"/>
                <w:szCs w:val="18"/>
                <w:i w:val="1"/>
                <w:iCs w:val="1"/>
                <w:color w:val="auto"/>
              </w:rPr>
              <w:t>(Note 10, Note 15)</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21,598,041</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10,416,166</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216,876</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Deferred revenue </w:t>
            </w:r>
            <w:r>
              <w:rPr>
                <w:rFonts w:ascii="Times New Roman" w:cs="Times New Roman" w:eastAsia="Times New Roman" w:hAnsi="Times New Roman"/>
                <w:sz w:val="18"/>
                <w:szCs w:val="18"/>
                <w:i w:val="1"/>
                <w:iCs w:val="1"/>
                <w:color w:val="auto"/>
              </w:rPr>
              <w:t>(Note 19)</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8,584,886</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8,118,419</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Current portion of lease liabilities </w:t>
            </w:r>
            <w:r>
              <w:rPr>
                <w:rFonts w:ascii="Times New Roman" w:cs="Times New Roman" w:eastAsia="Times New Roman" w:hAnsi="Times New Roman"/>
                <w:sz w:val="18"/>
                <w:szCs w:val="18"/>
                <w:i w:val="1"/>
                <w:iCs w:val="1"/>
                <w:color w:val="auto"/>
              </w:rPr>
              <w:t>(Note 8)</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43,069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36,137</w:t>
            </w:r>
          </w:p>
        </w:tc>
        <w:tc>
          <w:tcPr>
            <w:tcW w:w="100" w:type="dxa"/>
            <w:vAlign w:val="bottom"/>
          </w:tcPr>
          <w:p>
            <w:pPr>
              <w:spacing w:after="0"/>
              <w:rPr>
                <w:sz w:val="18"/>
                <w:szCs w:val="18"/>
                <w:color w:val="auto"/>
              </w:rPr>
            </w:pPr>
          </w:p>
        </w:tc>
      </w:tr>
      <w:tr>
        <w:trPr>
          <w:trHeight w:val="216"/>
        </w:trPr>
        <w:tc>
          <w:tcPr>
            <w:tcW w:w="61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Warrant liability </w:t>
            </w:r>
            <w:r>
              <w:rPr>
                <w:rFonts w:ascii="Times New Roman" w:cs="Times New Roman" w:eastAsia="Times New Roman" w:hAnsi="Times New Roman"/>
                <w:sz w:val="18"/>
                <w:szCs w:val="18"/>
                <w:i w:val="1"/>
                <w:iCs w:val="1"/>
                <w:color w:val="auto"/>
              </w:rPr>
              <w:t>(Note 11)</w:t>
            </w:r>
          </w:p>
        </w:tc>
        <w:tc>
          <w:tcPr>
            <w:tcW w:w="1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20,149</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42,246,145</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30,823,750</w:t>
            </w:r>
          </w:p>
        </w:tc>
        <w:tc>
          <w:tcPr>
            <w:tcW w:w="100" w:type="dxa"/>
            <w:vAlign w:val="bottom"/>
          </w:tcPr>
          <w:p>
            <w:pPr>
              <w:spacing w:after="0"/>
              <w:rPr>
                <w:sz w:val="18"/>
                <w:szCs w:val="18"/>
                <w:color w:val="auto"/>
              </w:rPr>
            </w:pP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Lease liabilities </w:t>
            </w:r>
            <w:r>
              <w:rPr>
                <w:rFonts w:ascii="Times New Roman" w:cs="Times New Roman" w:eastAsia="Times New Roman" w:hAnsi="Times New Roman"/>
                <w:sz w:val="18"/>
                <w:szCs w:val="18"/>
                <w:i w:val="1"/>
                <w:iCs w:val="1"/>
                <w:color w:val="auto"/>
              </w:rPr>
              <w:t>(Note 8)</w:t>
            </w: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148,945</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188,969</w:t>
            </w:r>
          </w:p>
        </w:tc>
        <w:tc>
          <w:tcPr>
            <w:tcW w:w="100" w:type="dxa"/>
            <w:vAlign w:val="bottom"/>
          </w:tcPr>
          <w:p>
            <w:pPr>
              <w:spacing w:after="0"/>
              <w:rPr>
                <w:sz w:val="18"/>
                <w:szCs w:val="18"/>
                <w:color w:val="auto"/>
              </w:rPr>
            </w:pPr>
          </w:p>
        </w:tc>
      </w:tr>
      <w:tr>
        <w:trPr>
          <w:trHeight w:val="25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42,395,090</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31,012,719</w:t>
            </w:r>
          </w:p>
        </w:tc>
        <w:tc>
          <w:tcPr>
            <w:tcW w:w="100" w:type="dxa"/>
            <w:vAlign w:val="bottom"/>
            <w:shd w:val="clear" w:color="auto" w:fill="CFF0FC"/>
          </w:tcPr>
          <w:p>
            <w:pPr>
              <w:spacing w:after="0"/>
              <w:rPr>
                <w:sz w:val="21"/>
                <w:szCs w:val="21"/>
                <w:color w:val="auto"/>
              </w:rPr>
            </w:pPr>
          </w:p>
        </w:tc>
      </w:tr>
      <w:tr>
        <w:trPr>
          <w:trHeight w:val="197"/>
        </w:trPr>
        <w:tc>
          <w:tcPr>
            <w:tcW w:w="61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Contingencies </w:t>
            </w:r>
            <w:r>
              <w:rPr>
                <w:rFonts w:ascii="Times New Roman" w:cs="Times New Roman" w:eastAsia="Times New Roman" w:hAnsi="Times New Roman"/>
                <w:sz w:val="18"/>
                <w:szCs w:val="18"/>
                <w:i w:val="1"/>
                <w:iCs w:val="1"/>
                <w:color w:val="auto"/>
              </w:rPr>
              <w:t>(Note 21)</w:t>
            </w:r>
          </w:p>
        </w:tc>
        <w:tc>
          <w:tcPr>
            <w:tcW w:w="16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Share capital </w:t>
            </w:r>
            <w:r>
              <w:rPr>
                <w:rFonts w:ascii="Times New Roman" w:cs="Times New Roman" w:eastAsia="Times New Roman" w:hAnsi="Times New Roman"/>
                <w:sz w:val="18"/>
                <w:szCs w:val="18"/>
                <w:i w:val="1"/>
                <w:iCs w:val="1"/>
                <w:color w:val="auto"/>
              </w:rPr>
              <w:t>(Note 13)</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14,005,728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14,005,728</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Warrants </w:t>
            </w:r>
            <w:r>
              <w:rPr>
                <w:rFonts w:ascii="Times New Roman" w:cs="Times New Roman" w:eastAsia="Times New Roman" w:hAnsi="Times New Roman"/>
                <w:sz w:val="18"/>
                <w:szCs w:val="18"/>
                <w:i w:val="1"/>
                <w:iCs w:val="1"/>
                <w:color w:val="auto"/>
              </w:rPr>
              <w:t>(Note 14)</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4,678,728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4,678,728</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Deficit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(58,196,350)</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(49,263,493)</w:t>
            </w:r>
          </w:p>
        </w:tc>
      </w:tr>
      <w:tr>
        <w:trPr>
          <w:trHeight w:val="216"/>
        </w:trPr>
        <w:tc>
          <w:tcPr>
            <w:tcW w:w="61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Contributed surplus </w:t>
            </w:r>
            <w:r>
              <w:rPr>
                <w:rFonts w:ascii="Times New Roman" w:cs="Times New Roman" w:eastAsia="Times New Roman" w:hAnsi="Times New Roman"/>
                <w:sz w:val="18"/>
                <w:szCs w:val="18"/>
                <w:i w:val="1"/>
                <w:iCs w:val="1"/>
                <w:color w:val="auto"/>
              </w:rPr>
              <w:t>(Note 20)</w:t>
            </w:r>
          </w:p>
        </w:tc>
        <w:tc>
          <w:tcPr>
            <w:tcW w:w="1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6,291,080</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6,215,028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(33,220,814)</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(24,364,009)</w:t>
            </w:r>
          </w:p>
        </w:tc>
      </w:tr>
      <w:tr>
        <w:trPr>
          <w:trHeight w:val="20"/>
        </w:trPr>
        <w:tc>
          <w:tcPr>
            <w:tcW w:w="6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9,174,276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6,648,710</w:t>
            </w:r>
          </w:p>
        </w:tc>
        <w:tc>
          <w:tcPr>
            <w:tcW w:w="100" w:type="dxa"/>
            <w:vAlign w:val="bottom"/>
            <w:shd w:val="clear" w:color="auto" w:fill="CFF0FC"/>
          </w:tcPr>
          <w:p>
            <w:pPr>
              <w:spacing w:after="0"/>
              <w:rPr>
                <w:sz w:val="19"/>
                <w:szCs w:val="19"/>
                <w:color w:val="auto"/>
              </w:rPr>
            </w:pPr>
          </w:p>
        </w:tc>
      </w:tr>
      <w:tr>
        <w:trPr>
          <w:trHeight w:val="20"/>
        </w:trPr>
        <w:tc>
          <w:tcPr>
            <w:tcW w:w="612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-3719830</wp:posOffset>
            </wp:positionV>
            <wp:extent cx="7747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-3719830</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-3154045</wp:posOffset>
            </wp:positionV>
            <wp:extent cx="7747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-2862580</wp:posOffset>
            </wp:positionV>
            <wp:extent cx="7747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-2845435</wp:posOffset>
            </wp:positionV>
            <wp:extent cx="7747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-1739265</wp:posOffset>
            </wp:positionV>
            <wp:extent cx="7747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-1165225</wp:posOffset>
            </wp:positionV>
            <wp:extent cx="7747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-1148080</wp:posOffset>
            </wp:positionV>
            <wp:extent cx="7747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-316865</wp:posOffset>
            </wp:positionV>
            <wp:extent cx="7747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7747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7747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70" w:name="page171"/>
    <w:bookmarkEnd w:id="170"/>
    <w:p>
      <w:pPr>
        <w:ind w:left="4100"/>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COMBINED 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i w:val="1"/>
                <w:iCs w:val="1"/>
                <w:color w:val="auto"/>
              </w:rPr>
              <w:t>(Note 19)</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18,890,934</w:t>
            </w: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19,848,821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Costs of sales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11,874,137</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9,596,739</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7,016,797</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10,252,082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18"/>
                <w:szCs w:val="18"/>
                <w:i w:val="1"/>
                <w:iCs w:val="1"/>
                <w:color w:val="auto"/>
              </w:rPr>
              <w:t>(Note 7)</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6,835,367</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7,096,165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18"/>
                <w:szCs w:val="18"/>
                <w:i w:val="1"/>
                <w:iCs w:val="1"/>
                <w:color w:val="auto"/>
              </w:rPr>
              <w:t>(Note 19)</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4,906,824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4,158,183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General and administration </w:t>
            </w:r>
            <w:r>
              <w:rPr>
                <w:rFonts w:ascii="Times New Roman" w:cs="Times New Roman" w:eastAsia="Times New Roman" w:hAnsi="Times New Roman"/>
                <w:sz w:val="18"/>
                <w:szCs w:val="18"/>
                <w:i w:val="1"/>
                <w:iCs w:val="1"/>
                <w:color w:val="auto"/>
              </w:rPr>
              <w:t>(Note 12, Note 15, Note 16)</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2,789,811</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3,010,741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8"/>
                <w:szCs w:val="18"/>
                <w:i w:val="1"/>
                <w:iCs w:val="1"/>
                <w:color w:val="auto"/>
              </w:rPr>
              <w:t>(Note 6, Note 8)</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200,370</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136,194</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14,732,372</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14,401,283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the undernoted</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(7,715,575)</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(4,149,201)</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expenses (income)</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and accretion </w:t>
            </w:r>
            <w:r>
              <w:rPr>
                <w:rFonts w:ascii="Times New Roman" w:cs="Times New Roman" w:eastAsia="Times New Roman" w:hAnsi="Times New Roman"/>
                <w:sz w:val="18"/>
                <w:szCs w:val="18"/>
                <w:i w:val="1"/>
                <w:iCs w:val="1"/>
                <w:color w:val="auto"/>
              </w:rPr>
              <w:t>(Note 8, Note 9)</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1,152,396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1,147,970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47,365</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87,320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Gain on revaluation of warrant liability </w:t>
            </w:r>
            <w:r>
              <w:rPr>
                <w:rFonts w:ascii="Times New Roman" w:cs="Times New Roman" w:eastAsia="Times New Roman" w:hAnsi="Times New Roman"/>
                <w:sz w:val="18"/>
                <w:szCs w:val="18"/>
                <w:i w:val="1"/>
                <w:iCs w:val="1"/>
                <w:color w:val="auto"/>
              </w:rPr>
              <w:t>(Note 11)</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(16,003)</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(7,474)</w:t>
            </w: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1,183,758</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1,227,816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(8,899,333)</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(5,377,017)</w:t>
            </w: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Provision for income taxes </w:t>
            </w:r>
            <w:r>
              <w:rPr>
                <w:rFonts w:ascii="Times New Roman" w:cs="Times New Roman" w:eastAsia="Times New Roman" w:hAnsi="Times New Roman"/>
                <w:sz w:val="18"/>
                <w:szCs w:val="18"/>
                <w:i w:val="1"/>
                <w:iCs w:val="1"/>
                <w:color w:val="auto"/>
              </w:rPr>
              <w:t>(Note 18)</w:t>
            </w: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33,524</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(8,932,857)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(5,697,931)</w:t>
            </w:r>
          </w:p>
        </w:tc>
      </w:tr>
      <w:tr>
        <w:trPr>
          <w:trHeight w:val="20"/>
        </w:trPr>
        <w:tc>
          <w:tcPr>
            <w:tcW w:w="7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-2134235</wp:posOffset>
            </wp:positionV>
            <wp:extent cx="7683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-2134235</wp:posOffset>
            </wp:positionV>
            <wp:extent cx="6858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-1293495</wp:posOffset>
            </wp:positionV>
            <wp:extent cx="7683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-454025</wp:posOffset>
            </wp:positionV>
            <wp:extent cx="7683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7683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CONSOLIDATED 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Contributed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14,005,728</w:t>
            </w:r>
          </w:p>
        </w:tc>
        <w:tc>
          <w:tcPr>
            <w:tcW w:w="30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4,678,728</w:t>
            </w:r>
          </w:p>
        </w:tc>
        <w:tc>
          <w:tcPr>
            <w:tcW w:w="32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6,085,161</w:t>
            </w:r>
          </w:p>
        </w:tc>
        <w:tc>
          <w:tcPr>
            <w:tcW w:w="3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(43,565,562)</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(18,795,945)</w:t>
            </w: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(5,697,931)</w:t>
            </w:r>
          </w:p>
        </w:tc>
        <w:tc>
          <w:tcPr>
            <w:tcW w:w="10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(5,697,931)</w:t>
            </w:r>
          </w:p>
        </w:tc>
        <w:tc>
          <w:tcPr>
            <w:tcW w:w="0" w:type="dxa"/>
            <w:vAlign w:val="bottom"/>
          </w:tcPr>
          <w:p>
            <w:pPr>
              <w:spacing w:after="0"/>
              <w:rPr>
                <w:sz w:val="1"/>
                <w:szCs w:val="1"/>
                <w:color w:val="auto"/>
              </w:rPr>
            </w:pPr>
          </w:p>
        </w:tc>
      </w:tr>
      <w:tr>
        <w:trPr>
          <w:trHeight w:val="149"/>
        </w:trPr>
        <w:tc>
          <w:tcPr>
            <w:tcW w:w="53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 xml:space="preserve">Recognition of share-based payments </w:t>
            </w:r>
            <w:r>
              <w:rPr>
                <w:rFonts w:ascii="Times New Roman" w:cs="Times New Roman" w:eastAsia="Times New Roman" w:hAnsi="Times New Roman"/>
                <w:sz w:val="14"/>
                <w:szCs w:val="14"/>
                <w:i w:val="1"/>
                <w:iCs w:val="1"/>
                <w:color w:val="auto"/>
              </w:rPr>
              <w:t>(Note 12)</w:t>
            </w:r>
          </w:p>
        </w:tc>
        <w:tc>
          <w:tcPr>
            <w:tcW w:w="18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129,867</w:t>
            </w: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129,867</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14,005,728</w:t>
            </w:r>
          </w:p>
        </w:tc>
        <w:tc>
          <w:tcPr>
            <w:tcW w:w="3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4,678,728</w:t>
            </w:r>
          </w:p>
        </w:tc>
        <w:tc>
          <w:tcPr>
            <w:tcW w:w="32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6,215,028</w:t>
            </w:r>
          </w:p>
        </w:tc>
        <w:tc>
          <w:tcPr>
            <w:tcW w:w="3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(49,263,493)</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(24,364,009)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(8,932,857)</w:t>
            </w: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(8,932,857)</w:t>
            </w: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 xml:space="preserve">Recognition of share-based payments </w:t>
            </w:r>
            <w:r>
              <w:rPr>
                <w:rFonts w:ascii="Times New Roman" w:cs="Times New Roman" w:eastAsia="Times New Roman" w:hAnsi="Times New Roman"/>
                <w:sz w:val="14"/>
                <w:szCs w:val="14"/>
                <w:i w:val="1"/>
                <w:iCs w:val="1"/>
                <w:color w:val="auto"/>
              </w:rPr>
              <w:t>(Note 12)</w:t>
            </w: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76,052</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76,052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14,005,728</w:t>
            </w:r>
          </w:p>
        </w:tc>
        <w:tc>
          <w:tcPr>
            <w:tcW w:w="30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4,678,728</w:t>
            </w:r>
          </w:p>
        </w:tc>
        <w:tc>
          <w:tcPr>
            <w:tcW w:w="32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6,291,080</w:t>
            </w:r>
          </w:p>
        </w:tc>
        <w:tc>
          <w:tcPr>
            <w:tcW w:w="3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(58,196,350)</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(33,220,814)</w:t>
            </w: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-410845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-410845</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-410845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-410845</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7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for) the following activities</w:t>
            </w:r>
          </w:p>
        </w:tc>
        <w:tc>
          <w:tcPr>
            <w:tcW w:w="17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(8,932,857)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(5,697,931)</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76,052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129,867</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lease liabilities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200,369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136,194</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foreign exchange loss (gain)</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(3,044)</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Gain on revaluation of warrant liability</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(16,004)</w:t>
            </w:r>
          </w:p>
        </w:tc>
        <w:tc>
          <w:tcPr>
            <w:tcW w:w="1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(7,474)</w:t>
            </w: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working capital accounts: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445,850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2,383,829</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tax credits receivable</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148,630</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(122,766)</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 (net)</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(439,098)</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192,488</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7,209</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(147,724)</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10,415,075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720,304</w:t>
            </w:r>
          </w:p>
        </w:tc>
        <w:tc>
          <w:tcPr>
            <w:tcW w:w="120" w:type="dxa"/>
            <w:vAlign w:val="bottom"/>
          </w:tcPr>
          <w:p>
            <w:pPr>
              <w:spacing w:after="0"/>
              <w:rPr>
                <w:sz w:val="18"/>
                <w:szCs w:val="18"/>
                <w:color w:val="auto"/>
              </w:rPr>
            </w:pPr>
          </w:p>
        </w:tc>
      </w:tr>
      <w:tr>
        <w:trPr>
          <w:trHeight w:val="216"/>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7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1,233,267</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3,264,176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3,135,449</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853,653</w:t>
            </w:r>
          </w:p>
        </w:tc>
        <w:tc>
          <w:tcPr>
            <w:tcW w:w="120" w:type="dxa"/>
            <w:vAlign w:val="bottom"/>
          </w:tcPr>
          <w:p>
            <w:pPr>
              <w:spacing w:after="0"/>
              <w:rPr>
                <w:sz w:val="18"/>
                <w:szCs w:val="18"/>
                <w:color w:val="auto"/>
              </w:rPr>
            </w:pP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Advances of bank indebtedness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of lease liabilities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(30,047)</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(90,630)</w:t>
            </w:r>
          </w:p>
        </w:tc>
      </w:tr>
      <w:tr>
        <w:trPr>
          <w:trHeight w:val="20"/>
        </w:trPr>
        <w:tc>
          <w:tcPr>
            <w:tcW w:w="5700" w:type="dxa"/>
            <w:vAlign w:val="bottom"/>
            <w:shd w:val="clear" w:color="auto" w:fill="CFF0FC"/>
          </w:tcPr>
          <w:p>
            <w:pPr>
              <w:spacing w:after="0" w:line="20" w:lineRule="exact"/>
              <w:rPr>
                <w:sz w:val="1"/>
                <w:szCs w:val="1"/>
                <w:color w:val="auto"/>
              </w:rPr>
            </w:pPr>
          </w:p>
        </w:tc>
        <w:tc>
          <w:tcPr>
            <w:tcW w:w="17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(30,047)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1,909,370</w:t>
            </w:r>
          </w:p>
        </w:tc>
        <w:tc>
          <w:tcPr>
            <w:tcW w:w="120" w:type="dxa"/>
            <w:vAlign w:val="bottom"/>
          </w:tcPr>
          <w:p>
            <w:pPr>
              <w:spacing w:after="0"/>
              <w:rPr>
                <w:sz w:val="18"/>
                <w:szCs w:val="18"/>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(32,373)</w:t>
            </w:r>
          </w:p>
        </w:tc>
      </w:tr>
      <w:tr>
        <w:trPr>
          <w:trHeight w:val="216"/>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7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(32,093)</w:t>
            </w: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Increase in cash</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3,105,402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2,730,930</w:t>
            </w: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year</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3,376,896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645,966</w:t>
            </w:r>
          </w:p>
        </w:tc>
        <w:tc>
          <w:tcPr>
            <w:tcW w:w="120" w:type="dxa"/>
            <w:vAlign w:val="bottom"/>
          </w:tcPr>
          <w:p>
            <w:pPr>
              <w:spacing w:after="0"/>
              <w:rPr>
                <w:sz w:val="18"/>
                <w:szCs w:val="18"/>
                <w:color w:val="auto"/>
              </w:rPr>
            </w:pPr>
          </w:p>
        </w:tc>
      </w:tr>
      <w:tr>
        <w:trPr>
          <w:trHeight w:val="210"/>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end of year</w:t>
            </w:r>
          </w:p>
        </w:tc>
        <w:tc>
          <w:tcPr>
            <w:tcW w:w="19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6,482,298</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3,376,896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additions to right-of-use assets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(232,758)</w:t>
            </w:r>
          </w:p>
        </w:tc>
      </w:tr>
      <w:tr>
        <w:trPr>
          <w:trHeight w:val="238"/>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Non-cash additions to lease liabilities</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232,758</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-2139315</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-2139315</wp:posOffset>
            </wp:positionV>
            <wp:extent cx="7747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-1573530</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-1573530</wp:posOffset>
            </wp:positionV>
            <wp:extent cx="7747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-1007745</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-1007745</wp:posOffset>
            </wp:positionV>
            <wp:extent cx="7747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-433705</wp:posOffset>
            </wp:positionV>
            <wp:extent cx="6858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-433705</wp:posOffset>
            </wp:positionV>
            <wp:extent cx="7747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73" w:name="page174"/>
    <w:bookmarkEnd w:id="17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COMBINED CONSOLIDIDATED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For the year ended December 31, 2024</w:t>
      </w:r>
    </w:p>
    <w:p>
      <w:pPr>
        <w:spacing w:after="0" w:line="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218" w:lineRule="exact"/>
        <w:rPr>
          <w:sz w:val="20"/>
          <w:szCs w:val="20"/>
          <w:color w:val="auto"/>
        </w:rPr>
      </w:pPr>
    </w:p>
    <w:p>
      <w:pPr>
        <w:ind w:left="520" w:hanging="512"/>
        <w:spacing w:after="0"/>
        <w:tabs>
          <w:tab w:leader="none" w:pos="52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GroupBy Group of Companies (the “Group”) provides e-commerce software solutions that help their customers better connect with their customers by creating a more relevant user experience.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principal and registered address of the Group’s registered office is 250 The Esplanade, Suite 500, Toronto, ON M5A 4J6.</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0" w:hanging="512"/>
        <w:spacing w:after="0"/>
        <w:tabs>
          <w:tab w:leader="none" w:pos="52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of Compliance</w:t>
      </w:r>
    </w:p>
    <w:p>
      <w:pPr>
        <w:spacing w:after="0" w:line="22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combined consolidated financial statements have been prepared in accordance with International Financial Reporting Standards (“IFRS”) and interpretations adopted by the International Accounting Standards Board (“IASB”). The combined consolidated financial statements have been prepared on a historical cost basis, except for certain financial instruments that are measured at fair value as described in the accounting policies.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combined consolidated financial statements were approved by the Group’s board of directors on April 12, 2025.</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0" w:hanging="512"/>
        <w:spacing w:after="0"/>
        <w:tabs>
          <w:tab w:leader="none" w:pos="52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combined consolidated financial statements were prepared on a going concern basis under the historical cost basis except for the revaluation of certain financial instruments. The principal accounting policies are set out in Note 4.</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These combined consolidated financial statements have been presented on a going concern basis assuming that the Group will be able to realize its assets and to discharge its liabilities in the normal course of its operations. The Group has yet to achieve profitable operations.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 ended December 31, 2024, the Group incurred a net loss before other expenses and income taxes of $ 7,715,575 (2023 - $4,149,201</w:t>
      </w:r>
    </w:p>
    <w:p>
      <w:pPr>
        <w:spacing w:after="0" w:line="27" w:lineRule="exact"/>
        <w:rPr>
          <w:sz w:val="20"/>
          <w:szCs w:val="20"/>
          <w:color w:val="auto"/>
        </w:rPr>
      </w:pPr>
    </w:p>
    <w:p>
      <w:pPr>
        <w:ind w:right="160" w:firstLine="8"/>
        <w:spacing w:after="0" w:line="253" w:lineRule="auto"/>
        <w:tabs>
          <w:tab w:leader="none" w:pos="10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 net loss and comprehensive loss of $$8,932,857 (2023 - $$5,697,931). As at December 31,2024 , the Group has a deficit of $$58,196,350 (2023 - $$49,263,493), negative working capital of $33,212,913 (2023 - $24,648,395) and was not in compliance with their financial covenants (Note 9). These conditions, among others,create substantial doubt about the Group's ability to continue as a going concern. The Group is actively seeking new equity financing to relieve its debt load and provide sufficient capital to allow the Group to achieve positive operating cash flows. There can be no assurance the Group will be able to secure new financing or achieve its projected sales targets.</w:t>
      </w:r>
    </w:p>
    <w:p>
      <w:pPr>
        <w:spacing w:after="0" w:line="18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Management believes that the going concern assumption is appropriate for these combined consolidated financial statements. If the Group were unable to continue operations, material adjustments to the carrying amounts and classification of assets and liabilities would be necessary.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Functional and presentation currency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financial statements are presented in United States dollars, which is the functional currency of each entity within the Group.</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judgments, estimates and assumptions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the Group’s combined consolidated financial statements requires management to make judgments,estimates and assumptions that affect the reported amounts of revenues, expenses, assets and liabilities, and the disclosure of contingent liabilities, at the reporting date. These estimates and assumptions have been made using careful judgment; however, uncertainties could result in outcomes that would require a material adjustment to the carrying amount of the asset or liability affected in the future. The most significant estimates are as follows: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74" w:name="page175"/>
    <w:bookmarkEnd w:id="174"/>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Judgments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Group examines the contracts with their customers to determine the individual performance obligations and then allocates the consideration of the contract to each performance obligation. The Group's services are to give customers access to cloud-based search-enhancing and data curation algorithms. The Group has determined that performance of this service obligation occurs over the time that the contract is outstanding and as such, has recognized the revenue from each contract on a straight-line basis.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and warrant liability</w:t>
      </w:r>
    </w:p>
    <w:p>
      <w:pPr>
        <w:spacing w:after="0" w:line="22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Estimating the fair value of warrants and conversion features requires determining the most appropriate valuation model,which is dependent on the terms and conditions of the grant. This estimate also requires determining the most appropriate inputs to the valuation model including the expected life of the warrants and conversion feature, volatility and dividend yield and making assumptions about them.</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Functional currency</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Group's functional currency is dependent on which currency the Group primarily operates in. The Group has assessed its revenues and expenditures, financing, and cash balances, and determined that the primary revenues and expenditures of each entity within the Group are denominated in United States dollars.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Recoverability of the carrying values of property and equipment</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Group assesses its property and equipment for indications of impairment at the end of each reporting period. Such indicators include, but are not limited to, changes in the Group's business plans, changes in market conditions and evidence of physical damage.</w:t>
      </w:r>
    </w:p>
    <w:p>
      <w:pPr>
        <w:spacing w:after="0" w:line="16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Determination as to whether and to what degree property and equipment are impaired, involves management's application of judgment on highly uncertain matters such as future selling and purchasing prices, projected revenues and expenses, the effect of inflation on operating expenses, the Group's weighted average cost of capital and the economics of the industry.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Identification of cash-generating units</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Group has allocated its tangible assets to the smallest identifiable group of assets that generate cash inflows and that are largely independent of the cash inflows from other assets. The Group has applied judgment to determine its cash generating units.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 assesses its current liquidity and operational environment to determine if the going concern assumption is appropriate.</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Key sources of estimation uncertainty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Depreciation of the Group's property and equipment involves estimating their useful lives and residual values. These estimates may change as more experience is obtained, thereby impacting the value of the Group's property and equipment.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Black-Scholes option pricing model was developed for use in estimating the fair value of traded options, which are fully transferable with no vesting restrictions. This option valuation model requires the input of highly subjective assumptions,including the expected stock price volatility, expected lives of the options, expected dividends to be paid by the Group and risk-free interest rates. Because the Group’s stock options have characteristics significantly different from those of traded options and because changes in the input assumptions can materially affect the fair value estimate, such value is subject to measurement uncertainty. The effect on the combined consolidated financial statements from changes in such estimates in future years could be significant.</w:t>
      </w:r>
    </w:p>
    <w:p>
      <w:pPr>
        <w:spacing w:after="0" w:line="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175" w:name="page176"/>
    <w:bookmarkEnd w:id="17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calculation of deferred taxes is based on assumptions, which are subject to uncertainty as to timing and which tax rates are expected to apply when temporary differences reverse. Deferred taxes recorded are also subject to uncertainty regarding the magnitude on non-capital losses available for carry forward and of the balances in various tax pools as the corporate tax return have not been prepared as of the date of financial statement preparation.</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These estimates and assumptions are reviewed periodically and as adjustments become necessary, they are reported in net loss in the years in which they become known. Actual results may differ significantly from management estimates.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 tax credits</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Investment tax credits are accrued when the Group has made the qualifying expenditures, provided there is reasonable assurance that the credits will be realized. When the investment tax credits are not accrued in the year in which the qualifying expenditures are made due to no reasonable assurance that the credits will be realized, such credits are accrued in the subsequent year in which reasonable assurance of realization is first obtained. This is accounted for as a change in accounting estimate.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Valuation of financial instruments</w:t>
      </w:r>
    </w:p>
    <w:p>
      <w:pPr>
        <w:spacing w:after="0" w:line="22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Group uses valuation techniques that include inputs that are not based on observable market data to estimate the fair value of certain types of financial instruments. Management believes that the chosen valuation techniques and assumptions used are appropriate in determining the fair value of financial instruments.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Expected credit losses</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Group recognizes an allowance for expected credit losses associated with its financial assets, other than those financial assets measured at fair value through profit and loss. Expected credit losses are measured to reflect a probability weighted amount, the time value of money, and reasonable and supportable information regarding past events, current conditions and forecasts of future economic conditions. The Group assesses credit-impairment at each reporting date. The expected credit losses are presented in the combined consolidated statement of financial position as a deduction from the gross carrying amount of the financial asset.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Material accounting policy information</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principle accounting policies adopted in the preparation of the combined consolidated financial statements are set out below. The policies have been consistently applied to all the years presented, unless otherwise stated.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combination</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combined consolidated financial statements incorporate the financial statements of GroupBy Inc. and the consolidated financial statements of GroupBy International Ltd. and its subsidiaries. GroupBy Inc. and GroupBy International Ltd. are companies under common control and were incorporated on November 15, 2012 and November 18, 2013, respectively,under the laws of the Province of Ontario. GroupBy International Ltd.'s wholly owned subsidiary, GroupBy USA Inc., was incorporated under the laws of the State of Delaware on November 18, 2013. GroupBy International Ltd.'s other wholly owned subsidiary, GroupBy UK Ltd., was incorporated on November 23, 2018 under the Companies Act 2006 of England and Wales.</w:t>
      </w:r>
    </w:p>
    <w:p>
      <w:pPr>
        <w:spacing w:after="0" w:line="183"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Subsidiaries are entities controlled by the Group. Control is achieved where the Group is exposed, or has rights, to variable returns from its involvement with the entities and has the ability to affect those returns through its power over the entities. In assessing control, only rights that give the Group the current ability to direct the relevant activities and that the Group has the practical ability to exercise, are considered.</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results of subsidiaries are included in these combined consolidated financial statements from the effective date of acquisition, as appropriate. Where necessary, adjustments are made to the combined consolidated financial statements of acquired subsidiaries to conform their accounting policies to the Group's accounting policies. All inter-Group transactions,balances, income and expenses are eliminated on consolidation and combination.</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176" w:name="page177"/>
    <w:bookmarkEnd w:id="176"/>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combined consolidated financial statements have been prepared using uniform accounting policies for like transactions and other events in similar circumstances. Where necessary, adjustments are made to the financial statements of subsidiaries to ensure consistency with those used by other members of the Group.</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Any balances, unrealized gains and losses or income and expenses arising from inter-Group transactions, are eliminated upon consolidation and combination. Unrealized gains arising from transactions with equity accounted investees are eliminated against the investment to the extent of the Group’s interest in the investee. Unrealized losses are eliminated in the same manner as unrealized gains, but only to the extent that there is no evidence of impairment.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These combined consolidated financial statements have been presented in United States ("US") dollars, the functional currency of the Group's operations.</w:t>
      </w:r>
    </w:p>
    <w:p>
      <w:pPr>
        <w:spacing w:after="0" w:line="162"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Transactions denominated in foreign currencies are translated into the functional currency of the Group at exchange rates prevailing at the transaction dates (spot exchange rates). Monetary assets and liabilities are retranslated at the exchange rates at the combined consolidated statement of financial position date. Exchange gains and losses on translation or settlement are recognized in net loss for the year.</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Non-monetary items that are measured at historical cost are translated using the exchange rates at the date of the transaction and non-monetary items that are measured at fair value are translated using the exchange rates at the date when the items’ fair values were determined. Translation gains and losses are included in net loss and comprehensive loss for the year.</w:t>
      </w:r>
    </w:p>
    <w:p>
      <w:pPr>
        <w:spacing w:after="0" w:line="3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Group recognizes revenue when it transfers control of its services to the customer. As the Group has the right to bill customers in advance of providing the services, the Group recognizes the amount receivable with a corresponding deferred revenue. The Group follows a 5-step process to determine whether to recognize revenue:</w:t>
      </w:r>
    </w:p>
    <w:p>
      <w:pPr>
        <w:spacing w:after="0" w:line="176" w:lineRule="exact"/>
        <w:rPr>
          <w:sz w:val="20"/>
          <w:szCs w:val="20"/>
          <w:color w:val="auto"/>
        </w:rPr>
      </w:pPr>
    </w:p>
    <w:p>
      <w:pPr>
        <w:ind w:left="700" w:hanging="183"/>
        <w:spacing w:after="0"/>
        <w:tabs>
          <w:tab w:leader="none" w:pos="7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with a customer</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the performance obligations.</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performance obligations are satisfied.</w:t>
      </w:r>
    </w:p>
    <w:p>
      <w:pPr>
        <w:spacing w:after="0" w:line="22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Group's principal service involves cloud-based software solutions, which include the "Searchandiser" and "Edgecase Enrich" products. These services provide customers with e-commerce curation and intelligent search tools along with available support. Additional server time can be purchased separately and most contracts span multiple years. The Group recognizes revenue on a straight-line basis over the contract term as access to the software is provided. Additional server time is billed on a data-consumption basis and is recognized at the time the additional server time is provided. The Group recognizes sales commissions incurred to obtain new contracts as an asset which is amortized into expense on a straight-line basis over the term of the related contract.</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Group recognizes an asset, included in prepaid expenses and deposits, for the incremental costs of obtaining a contract with a customer if it expects the costs to be recoverable and has determined that such costs meet the requirements to be capitalized. Capitalized contract acquisition costs are amortized consistent with the pattern of transfer to the customer for the services to which the asset relates. The Group does not capitalize incremental costs of obtaining contracts if the amortization period is one year or less.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deferred taxes</w:t>
      </w:r>
    </w:p>
    <w:p>
      <w:pPr>
        <w:spacing w:after="0" w:line="22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Income taxes are comprised of current and deferred taxes. Income taxes are recognized in the combined consolidated statement of loss and comprehensive loss except to the extent that it relates to items recognized directly in equity, in which case the income tax is also recognized directly in equity.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77" w:name="page178"/>
    <w:bookmarkEnd w:id="177"/>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Current tax is the expected taxes payable on the taxable income for the year, using tax rates enacted, or substantively enacted, at the end of the reporting period, and any adjustment to tax payable in respect of previous years.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Deferred tax is recognized in respect of temporary differences arising between the tax bases of assets and liabilities and their carrying amounts in the financial statements. Deferred tax is determined on a non-discounted basis using tax rates and laws that have been enacted or substantively enacted at the end of the reporting period and are expected to apply when the asset is realized, or liability is settled. Deferred tax assets are recognized for deductible temporary differences, unused tax losses and other income tax deductions to the extent that it is probable the Group will have taxable income against which those deductible temporary differences, unused tax losses and other income tax deductions can be utilized. The extent to which deductible temporary differences, unused tax losses and other income tax deductions are expected to be realized is reassessed at the end of each reporting period.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 tax credits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Investment tax credits (“ITCs”) are recognized where there is reasonable assurance that the ITCs will be received and all attached conditions will be complied with. When the ITCs relate to an expense item, it is recognized in revenue. Where the ITCs relate to an asset, it reduces the carrying amount of the asset. The ITCs are then recognized as income over the useful life of a depreciable asset by way of a reduced depreciation charge. The Group is actively engaged in scientific research and development (“R&amp;D”) and, accordingly, has previously filed for ITC refunds under both the Canadian federal and Ontario provincial Scientific Research and Experimental Development (“SR&amp;ED”) tax incentive programs. The ITCs recorded in the accounts are based on management’s interpretation of the Income Tax Act of Canada, provisions which govern the eligibility of R&amp;D costs. The claims are subject to review by the Canada Revenue Agency and the Minister of Revenue for Ontario before the refunds can be released.</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losses. Cost includes expenditures that are directly attributable to the acquisition of the asset. Subsequent costs are included in the asset’s carrying amount or recognized as a separate asset, as appropriate, only when it is probable that future economic benefits associated with the item will flow to the Group and the cost can be measured reliably. The carrying amount of a replaced asset is derecognized when replaced. Repairs and maintenance costs are charged to the combined consolidated statement of loss and comprehensive loss during the period in which they are incurred.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Depreciation is provided using the declining balance method at rates intended to depreciate the cost of assets over their estimated useful lives.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methods of depreciation and depreciation rates applicable for each class of asset during the current and comparative years are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4920" w:type="dxa"/>
            <w:vAlign w:val="bottom"/>
          </w:tcPr>
          <w:p>
            <w:pPr>
              <w:ind w:left="364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1660" w:type="dxa"/>
            <w:vAlign w:val="bottom"/>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4920" w:type="dxa"/>
            <w:vAlign w:val="bottom"/>
            <w:shd w:val="clear" w:color="auto" w:fill="CFF0FC"/>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492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920" w:type="dxa"/>
            <w:vAlign w:val="bottom"/>
            <w:shd w:val="clear" w:color="auto" w:fill="CFF0FC"/>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492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3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Residual values, method of depreciation and useful lives of the assets are reviewed annually and adjusted, if required.</w:t>
      </w:r>
    </w:p>
    <w:p>
      <w:pPr>
        <w:spacing w:after="0" w:line="22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Gains and losses on disposals of property and equipment are determined by comparing the proceeds with the carrying amount of the asset and are included in the combined consolidated statement of loss and comprehensive loss.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22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Directors, officers, consultants, and employees of the Group receive remuneration in the form of share-based payment transactions, whereby directors, officers, consultants, and employees render services as consideration for equity instruments ("equity-settled share-based payments").</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Where equity instruments are issued and some or all of the goods or services received by the Group as consideration cannot be specifically identified, these non-identifiable goods or services are measured as the difference between the fair value of the share-based payment and the fair value of any identifiable goods or services received at the grant date.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78" w:name="page179"/>
    <w:bookmarkEnd w:id="178"/>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Equity-settled share-based payments to employees and others providing similar services are measured at the fair value of the equity instruments at the grant date. The fair value of the equity instruments granted is estimated using the Black-Scholes option pricing model, taking into account amounts that are believed to approximate the expected volatility of the trading price of the Group's stock, the expected lives of the awards of stock-based compensation, the fair value of the Group's stock and the risk-free interest rate, as determined at the grant date.</w:t>
      </w:r>
    </w:p>
    <w:p>
      <w:pPr>
        <w:spacing w:after="0" w:line="180"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the equity instruments granted is recognized as an expense over the vesting period, based on the Group's estimate of the number of equity instruments that will eventually vest, with a corresponding increase to contributed surplus.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The Group’s financial assets, upon initial recognition, are measured at fair value and are classified as Fair Value through Profit or Loss (“FVTPL”), Fair Value through Other Comprehensive Income (“FVOCI”), or amortized cost. The classification is determined at initial recognition and is dependent on the business model in which a financial asset is managed and the characteristics of the contractual cash flows. Subsequent reclassification may only occur on the first day of the reporting period following a change to the business model.</w:t>
      </w:r>
    </w:p>
    <w:p>
      <w:pPr>
        <w:spacing w:after="0" w:line="1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Group’s financial liabilities, upon initial recognition, are measured at fair value and are classified as amortized cost or FVTPL. A financial liability is classified as amortized cost at initial recognition unless it is classified as held-for-trading, is a derivative instrument or is specifically designated as FVTPL. Financial liabilities classified as amortized cost are subsequently measured using the effective interest method while financial liabilities at FVTPL are subsequently measured at fair value with changes in fair value recognized in the combined consolidated statement of loss and comprehensive loss in the period in which such changes arise.</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Group applies the simplified approach for trade receivables. The Group records an allowance for expected credit losses for financial assets that are measured at amortized cost. At each reporting date, the Group measures the allowance at an amount equal to the lifetime expected credit losses if the credit risk on its financial assets has increased significantly since initial recognition. If credit risk has not significantly increased since initial recognition, the Group measures the loss allowance at an amount equal to the 12-month expected credit losses.</w:t>
      </w:r>
    </w:p>
    <w:p>
      <w:pPr>
        <w:spacing w:after="0" w:line="180"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Transaction costs, other than those related to financial instruments classified as FVTPL, which are expensed as incurred,are capitalized to the carrying amount of the instrument and amortized using the effective interest method.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Group's classification of their financial instruments is disclosed below:</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60" w:type="dxa"/>
            <w:vAlign w:val="bottom"/>
            <w:tcBorders>
              <w:bottom w:val="single" w:sz="8" w:color="auto"/>
            </w:tcBorders>
          </w:tcPr>
          <w:p>
            <w:pPr>
              <w:ind w:left="3660"/>
              <w:spacing w:after="0"/>
              <w:rPr>
                <w:sz w:val="20"/>
                <w:szCs w:val="20"/>
                <w:color w:val="auto"/>
              </w:rPr>
            </w:pPr>
            <w:r>
              <w:rPr>
                <w:rFonts w:ascii="Times New Roman" w:cs="Times New Roman" w:eastAsia="Times New Roman" w:hAnsi="Times New Roman"/>
                <w:sz w:val="14"/>
                <w:szCs w:val="14"/>
                <w:b w:val="1"/>
                <w:bCs w:val="1"/>
                <w:color w:val="auto"/>
              </w:rPr>
              <w:t>Financial Asset/Liability</w:t>
            </w:r>
          </w:p>
        </w:tc>
        <w:tc>
          <w:tcPr>
            <w:tcW w:w="20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20" w:type="dxa"/>
            <w:vAlign w:val="bottom"/>
          </w:tcPr>
          <w:p>
            <w:pPr>
              <w:spacing w:after="0"/>
              <w:rPr>
                <w:sz w:val="15"/>
                <w:szCs w:val="15"/>
                <w:color w:val="auto"/>
              </w:rPr>
            </w:pPr>
          </w:p>
        </w:tc>
      </w:tr>
      <w:tr>
        <w:trPr>
          <w:trHeight w:val="210"/>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FVTPL</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tax credits and receivable</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Bank indebtedness</w:t>
            </w:r>
          </w:p>
        </w:tc>
        <w:tc>
          <w:tcPr>
            <w:tcW w:w="20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FVTPL</w:t>
            </w: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bl>
    <w:p>
      <w:pPr>
        <w:spacing w:after="0" w:line="3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Compound financial instruments and embedded derivatives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Group examines the terms of its preferred shares for the correct classification in shareholders' deficit or liabilities. The Class A preferred shares have a conversion feature that includes a price-based antidilution adjustment. The price-based antidilution adjustment ensures Class A preferred shareholders are made whole in the event of a down financing round at the expense of common shareholders; therefore, the conversion feature was assessed to be a derivative liability, and measured at fair value. The residual amount was classified as equity. The derivative liability was determined to have a value of $nil (2023 - $nil) as at December 31, 2024. The derivative liability is revalued using the option pricing model at the end of each reporting period, with any changes recognized on the combined consolidated statement of loss and other comprehensive loss.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79" w:name="page180"/>
    <w:bookmarkEnd w:id="17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At inception of a contract, the Group assesses whether a contract is, or contains, a lease based on whether the contract conveys the right to control the use of identified asset for a period of time in exchange for consideration. The Group recognizes a right-of-use asset and a lease liability at the lease commencement date. The right-of-use assets are initially measured based on the initial amount of the lease liability adjusted for any lease payments made at or before the commencement date, plus any initial direct costs incurred and an estimate of the costs to dismantle and remove the underlying assets or to restore the underlying assets or the site on which it is located, less any lease incentives received.The right-of-use assets are depreciated to the earlier of the end of their useful life or the lease term using the straight-line method as this most closely reflects the expected pattern of the consumption of the future economic benefits. The lease term includes periods covered by an option to extend if the Group is reasonably certain to exercise that option. In addition,the right-of-use assets can be periodically reduced by impairment losses, if any, and adjusted for certain remeasurements of the lease liability. The lease liabilities are initially measured at the present value of the lease payments that are not paid at the commencement date, discounted using the interest rate implicit in the lease or, if that rate cannot be readily determined, the Group’s incremental borrowing rate.</w:t>
      </w:r>
    </w:p>
    <w:p>
      <w:pPr>
        <w:spacing w:after="0" w:line="19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lease liabilities are measured at amortized cost using the effective interest method. It is remeasured when there is a change in future lease payments arising from the change in an index or rate, if there is a change in the Group’s estimate of the amount expected to be payable under a residual value guarantee, or if the Group changes its assessment of whether it will exercise a purchase, extension or termination option. When the lease liability is remeasured in this way, a corresponding adjustment is made to the carrying amount of the right-of-use asset, unless it has been reduced to zero.</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Group has elected to apply the practical expedient not to recognize right-of-use assets and lease liabilities for short-term leases that have a lease term of 12 months or less or to leases of low value assets when applicable. The lease payments associated with those leases are recognized as an expense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0" w:hanging="512"/>
        <w:spacing w:after="0"/>
        <w:tabs>
          <w:tab w:leader="none" w:pos="52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had the following receivables at the end of each reporting year: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7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2,094,161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2,567,563</w:t>
            </w:r>
          </w:p>
        </w:tc>
        <w:tc>
          <w:tcPr>
            <w:tcW w:w="2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Harmonized sales tax receivable</w:t>
            </w:r>
          </w:p>
        </w:tc>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304,206</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326,459</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w:t>
            </w:r>
          </w:p>
        </w:tc>
        <w:tc>
          <w:tcPr>
            <w:tcW w:w="1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2,398,367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2,894,022</w:t>
            </w:r>
          </w:p>
        </w:tc>
        <w:tc>
          <w:tcPr>
            <w:tcW w:w="2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Less: provision for expected credit losses (Note 15)</w:t>
            </w:r>
          </w:p>
        </w:tc>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1,249,506</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1,299,312</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1,148,861</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1,594,710</w:t>
            </w:r>
          </w:p>
        </w:tc>
        <w:tc>
          <w:tcPr>
            <w:tcW w:w="20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737"/>
        </w:trPr>
        <w:tc>
          <w:tcPr>
            <w:tcW w:w="1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2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color w:val="auto"/>
                <w:w w:val="99"/>
              </w:rPr>
              <w:t>F-53</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-1293495</wp:posOffset>
            </wp:positionV>
            <wp:extent cx="4318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-1293495</wp:posOffset>
            </wp:positionV>
            <wp:extent cx="4318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-1002030</wp:posOffset>
            </wp:positionV>
            <wp:extent cx="431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-985520</wp:posOffset>
            </wp:positionV>
            <wp:extent cx="4318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-1002030</wp:posOffset>
            </wp:positionV>
            <wp:extent cx="431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-985520</wp:posOffset>
            </wp:positionV>
            <wp:extent cx="4318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80" w:name="page181"/>
    <w:bookmarkEnd w:id="180"/>
    <w:p>
      <w:pPr>
        <w:ind w:left="520" w:hanging="512"/>
        <w:spacing w:after="0"/>
        <w:tabs>
          <w:tab w:leader="none" w:pos="52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4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Funiture and</w:t>
            </w:r>
          </w:p>
        </w:tc>
        <w:tc>
          <w:tcPr>
            <w:tcW w:w="12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140" w:type="dxa"/>
            <w:vAlign w:val="bottom"/>
          </w:tcPr>
          <w:p>
            <w:pPr>
              <w:spacing w:after="0"/>
              <w:rPr>
                <w:sz w:val="13"/>
                <w:szCs w:val="13"/>
                <w:color w:val="auto"/>
              </w:rPr>
            </w:pPr>
          </w:p>
        </w:tc>
        <w:tc>
          <w:tcPr>
            <w:tcW w:w="11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5"/>
                <w:szCs w:val="15"/>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sofware</w:t>
            </w:r>
          </w:p>
        </w:tc>
        <w:tc>
          <w:tcPr>
            <w:tcW w:w="14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fixtures</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56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419,028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187,975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32,373</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Disposals</w:t>
            </w:r>
          </w:p>
        </w:tc>
        <w:tc>
          <w:tcPr>
            <w:tcW w:w="15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0"/>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451,351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187,745</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38,239</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688,404</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15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Disposals</w:t>
            </w:r>
          </w:p>
        </w:tc>
        <w:tc>
          <w:tcPr>
            <w:tcW w:w="15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(451,351)</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(11,069)</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(187,745)</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(38,239)</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(688,404)</w:t>
            </w:r>
          </w:p>
        </w:tc>
        <w:tc>
          <w:tcPr>
            <w:tcW w:w="0" w:type="dxa"/>
            <w:vAlign w:val="bottom"/>
          </w:tcPr>
          <w:p>
            <w:pPr>
              <w:spacing w:after="0"/>
              <w:rPr>
                <w:sz w:val="1"/>
                <w:szCs w:val="1"/>
                <w:color w:val="auto"/>
              </w:rPr>
            </w:pPr>
          </w:p>
        </w:tc>
      </w:tr>
      <w:tr>
        <w:trPr>
          <w:trHeight w:val="210"/>
        </w:trPr>
        <w:tc>
          <w:tcPr>
            <w:tcW w:w="376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5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483,097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51,489</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5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343,323</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143,723</w:t>
            </w: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36,471</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534,586</w:t>
            </w: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111,902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153,818</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Disposals</w:t>
            </w:r>
          </w:p>
        </w:tc>
        <w:tc>
          <w:tcPr>
            <w:tcW w:w="15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(455,225)</w:t>
            </w:r>
          </w:p>
        </w:tc>
        <w:tc>
          <w:tcPr>
            <w:tcW w:w="1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(11,048)</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(183,893)</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(38,239)</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(688,404)</w:t>
            </w:r>
          </w:p>
        </w:tc>
        <w:tc>
          <w:tcPr>
            <w:tcW w:w="0" w:type="dxa"/>
            <w:vAlign w:val="bottom"/>
          </w:tcPr>
          <w:p>
            <w:pPr>
              <w:spacing w:after="0"/>
              <w:rPr>
                <w:sz w:val="1"/>
                <w:szCs w:val="1"/>
                <w:color w:val="auto"/>
              </w:rPr>
            </w:pPr>
          </w:p>
        </w:tc>
      </w:tr>
      <w:tr>
        <w:trPr>
          <w:trHeight w:val="210"/>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5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108,028</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44,022</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153,818</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-1859280</wp:posOffset>
            </wp:positionV>
            <wp:extent cx="7683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-1859280</wp:posOffset>
            </wp:positionV>
            <wp:extent cx="7747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-1859280</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-1859280</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-1859280</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-1576705</wp:posOffset>
            </wp:positionV>
            <wp:extent cx="7683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-1576705</wp:posOffset>
            </wp:positionV>
            <wp:extent cx="7747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-1576705</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-1576705</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-1576705</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-1010920</wp:posOffset>
            </wp:positionV>
            <wp:extent cx="7683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-1010920</wp:posOffset>
            </wp:positionV>
            <wp:extent cx="7747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-1010920</wp:posOffset>
            </wp:positionV>
            <wp:extent cx="685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-1010920</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-1010920</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-436245</wp:posOffset>
            </wp:positionV>
            <wp:extent cx="7683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-436245</wp:posOffset>
            </wp:positionV>
            <wp:extent cx="7747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-436245</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-436245</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-436245</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-153670</wp:posOffset>
            </wp:positionV>
            <wp:extent cx="7683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-153670</wp:posOffset>
            </wp:positionV>
            <wp:extent cx="7747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-153670</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-153670</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-153670</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hanging="512"/>
        <w:spacing w:after="0"/>
        <w:tabs>
          <w:tab w:leader="none" w:pos="52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Tax Credits</w:t>
      </w:r>
    </w:p>
    <w:p>
      <w:pPr>
        <w:spacing w:after="0" w:line="22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Group undertakes certain scientific research and experimental development ("SR&amp;ED") activities. As at December 31,2024, the Group accrued $nil (2023 - $148,630) of investment tax credits ("ITCs") receivable. During the year, ITCs of $nil (2023 - $148,630) have been included as a reduction in research and development costs in relation to its current year claim.</w:t>
      </w:r>
    </w:p>
    <w:p>
      <w:pPr>
        <w:spacing w:after="0" w:line="200" w:lineRule="exact"/>
        <w:rPr>
          <w:sz w:val="20"/>
          <w:szCs w:val="20"/>
          <w:color w:val="auto"/>
        </w:rPr>
      </w:pPr>
    </w:p>
    <w:p>
      <w:pPr>
        <w:spacing w:after="0" w:line="296" w:lineRule="exact"/>
        <w:rPr>
          <w:sz w:val="20"/>
          <w:szCs w:val="20"/>
          <w:color w:val="auto"/>
        </w:rPr>
      </w:pPr>
    </w:p>
    <w:p>
      <w:pPr>
        <w:ind w:left="520" w:hanging="512"/>
        <w:spacing w:after="0"/>
        <w:tabs>
          <w:tab w:leader="none" w:pos="52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Right-of-use assets and lease liabilities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December 31, 2024, the Group's right-of-use assets and lease liabilities include a lease agreement for office premises in Toronto, Ontario.</w:t>
      </w:r>
    </w:p>
    <w:p>
      <w:pPr>
        <w:spacing w:after="0" w:line="2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Right-of-use assets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illustrates the right-of-use assets balance during the year: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173"/>
        </w:trPr>
        <w:tc>
          <w:tcPr>
            <w:tcW w:w="7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Office premises</w:t>
            </w:r>
          </w:p>
        </w:tc>
        <w:tc>
          <w:tcPr>
            <w:tcW w:w="0" w:type="dxa"/>
            <w:vAlign w:val="bottom"/>
          </w:tcPr>
          <w:p>
            <w:pPr>
              <w:spacing w:after="0"/>
              <w:rPr>
                <w:sz w:val="1"/>
                <w:szCs w:val="1"/>
                <w:color w:val="auto"/>
              </w:rPr>
            </w:pPr>
          </w:p>
        </w:tc>
      </w:tr>
      <w:tr>
        <w:trPr>
          <w:trHeight w:val="210"/>
        </w:trPr>
        <w:tc>
          <w:tcPr>
            <w:tcW w:w="75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539,232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Disposals</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(539,232)</w:t>
            </w:r>
          </w:p>
        </w:tc>
        <w:tc>
          <w:tcPr>
            <w:tcW w:w="0" w:type="dxa"/>
            <w:vAlign w:val="bottom"/>
          </w:tcPr>
          <w:p>
            <w:pPr>
              <w:spacing w:after="0"/>
              <w:rPr>
                <w:sz w:val="1"/>
                <w:szCs w:val="1"/>
                <w:color w:val="auto"/>
              </w:rPr>
            </w:pPr>
          </w:p>
        </w:tc>
      </w:tr>
      <w:tr>
        <w:trPr>
          <w:trHeight w:val="210"/>
        </w:trPr>
        <w:tc>
          <w:tcPr>
            <w:tcW w:w="752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232,758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Disposals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232,758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Derecognition</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(539,232)</w:t>
            </w:r>
          </w:p>
        </w:tc>
        <w:tc>
          <w:tcPr>
            <w:tcW w:w="0" w:type="dxa"/>
            <w:vAlign w:val="bottom"/>
          </w:tcPr>
          <w:p>
            <w:pPr>
              <w:spacing w:after="0"/>
              <w:rPr>
                <w:sz w:val="1"/>
                <w:szCs w:val="1"/>
                <w:color w:val="auto"/>
              </w:rPr>
            </w:pPr>
          </w:p>
        </w:tc>
      </w:tr>
      <w:tr>
        <w:trPr>
          <w:trHeight w:val="210"/>
        </w:trPr>
        <w:tc>
          <w:tcPr>
            <w:tcW w:w="752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11,638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Derecognition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58,190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Additions to the right-of-use assets during the year were $nil (2023 - $232,758).</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The right-of-use assets are depreciated on a straight-line basis over the term of the respective leases.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 liabilities</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table sets out the maturity analysis of the lease liabilities:</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752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4"/>
                <w:szCs w:val="14"/>
                <w:b w:val="1"/>
                <w:bCs w:val="1"/>
                <w:color w:val="auto"/>
              </w:rPr>
              <w:t>Maturity analysis - contractual undiscounted cash flows</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51,264</w:t>
            </w:r>
          </w:p>
        </w:tc>
        <w:tc>
          <w:tcPr>
            <w:tcW w:w="6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One to five years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159,320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More than five years</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undiscounted lease liabilities as at December 31</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210,584</w:t>
            </w:r>
          </w:p>
        </w:tc>
        <w:tc>
          <w:tcPr>
            <w:tcW w:w="6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included in the statement of financial position as at December 31</w:t>
            </w:r>
          </w:p>
        </w:tc>
        <w:tc>
          <w:tcPr>
            <w:tcW w:w="2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192,014</w:t>
            </w:r>
          </w:p>
        </w:tc>
        <w:tc>
          <w:tcPr>
            <w:tcW w:w="3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43,069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148,945</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-4594225</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-4019550</wp:posOffset>
            </wp:positionV>
            <wp:extent cx="6858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-3462655</wp:posOffset>
            </wp:positionV>
            <wp:extent cx="6858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-565150</wp:posOffset>
            </wp:positionV>
            <wp:extent cx="7747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lease liabilities were measured at the present value of the remaining lease payments, discounted using the Group's estimated incremental borrowing rate at the inception of the leases. Leases are discounted at an estimated incremental borrowing rate of 9.00% (2023 - 9.75%). The expiration date of the outstanding lease agreement is September 2028 (2023 -September 2028).</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Group incurred interest expense of $nil (2023 - $2,783) on the lease liabilities, which was included in interest and accretion in the combined consolidated statement of loss and other comprehensive loss.</w:t>
      </w:r>
    </w:p>
    <w:p>
      <w:pPr>
        <w:spacing w:after="0" w:line="266" w:lineRule="exact"/>
        <w:rPr>
          <w:sz w:val="20"/>
          <w:szCs w:val="20"/>
          <w:color w:val="auto"/>
        </w:rPr>
      </w:pPr>
    </w:p>
    <w:p>
      <w:pPr>
        <w:ind w:left="520" w:hanging="512"/>
        <w:spacing w:after="0"/>
        <w:tabs>
          <w:tab w:leader="none" w:pos="52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Bank indebtedness</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Group has access to a revolving credit facility with Bridge Bank, a division of Western Alliance. This credit facility has a maximum credit limit of $12,000,000 (2023 - $12,000,000). As at December 31, 2024, the Group had utilized $12,000,000 (2023 - $12,000,000) of this facility. The facility bears interest at the greater of (i) 3.25% and; (ii) bank's prime rate plus 1.25% (2023 - greater of (i) 3.25% and; (ii) bank's prime rate plus 1.25%) per annum. The facility is secured by a first priority security interest over all rights, title and interests of the Group.</w:t>
      </w:r>
    </w:p>
    <w:p>
      <w:pPr>
        <w:spacing w:after="0" w:line="180"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During the year, the Group recognized interest expense of $1,147,083 (2023 - $1,140,563) related to the above facilities, which is included in interest and accretion expense on the combined consolidated statement of loss and other comprehensive loss.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182" w:name="page183"/>
    <w:bookmarkEnd w:id="182"/>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Under the terms of the credit agreement with Bridge Bank, the Group is governed by standard operating covenants and must comply with certain financial covenants with respect to minimum annual recurring revenue and minimum liquidity, as defined in the loan and security agreement that the Group must achieve over a series of predefined periods. As at December 31, 2024, the Group was not in compliance with these financial covenants (2023 - not in compliance).</w:t>
      </w:r>
    </w:p>
    <w:p>
      <w:pPr>
        <w:spacing w:after="0" w:line="284" w:lineRule="exact"/>
        <w:rPr>
          <w:sz w:val="20"/>
          <w:szCs w:val="20"/>
          <w:color w:val="auto"/>
        </w:rPr>
      </w:pPr>
    </w:p>
    <w:p>
      <w:pPr>
        <w:ind w:left="520" w:hanging="512"/>
        <w:spacing w:after="0"/>
        <w:tabs>
          <w:tab w:leader="none" w:pos="52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remittances</w:t>
      </w:r>
    </w:p>
    <w:p>
      <w:pPr>
        <w:spacing w:after="0" w:line="229"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Government remittances payable of $12,662 (2023 - $4,374) related to United States sales taxes and United Kingdom value added taxes are included in accounts payable and accrued liabilities as at December 31, 2024.</w:t>
      </w:r>
    </w:p>
    <w:p>
      <w:pPr>
        <w:spacing w:after="0" w:line="266" w:lineRule="exact"/>
        <w:rPr>
          <w:sz w:val="20"/>
          <w:szCs w:val="20"/>
          <w:color w:val="auto"/>
        </w:rPr>
      </w:pPr>
    </w:p>
    <w:p>
      <w:pPr>
        <w:ind w:left="520" w:hanging="512"/>
        <w:spacing w:after="0"/>
        <w:tabs>
          <w:tab w:leader="none" w:pos="52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liability</w:t>
      </w:r>
    </w:p>
    <w:p>
      <w:pPr>
        <w:spacing w:after="0" w:line="22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Group has issued warrants to Silicon Valley Bank in connection to a credit facility that was fully repaid and closed in the prior year. Each warrant is exchangeable for one Class A preferred share of GroupBy International Ltd. and GroupBy Inc. with an exercise price of $1.45 (2023 - $1.45). Upon initial recognition, the warrants were determined to be and presented as a warrant liability as the terms of the warrants give the holder the option to settle in cash or to exchange the warrants for Class A preferred share of an equivalent value.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12.</w:t>
            </w:r>
          </w:p>
        </w:tc>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Share-based payments</w:t>
            </w: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2"/>
            <w:vMerge w:val="restart"/>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3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230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December 31, 2022</w:t>
            </w:r>
          </w:p>
        </w:tc>
        <w:tc>
          <w:tcPr>
            <w:tcW w:w="4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14,883,972</w:t>
            </w: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issued</w:t>
            </w:r>
          </w:p>
        </w:tc>
        <w:tc>
          <w:tcPr>
            <w:tcW w:w="4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1,360,500</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2160" w:type="dxa"/>
            <w:vAlign w:val="bottom"/>
            <w:gridSpan w:val="2"/>
            <w:shd w:val="clear" w:color="auto" w:fill="CFF0FC"/>
          </w:tcPr>
          <w:p>
            <w:pPr>
              <w:spacing w:after="0"/>
              <w:rPr>
                <w:sz w:val="18"/>
                <w:szCs w:val="18"/>
                <w:color w:val="auto"/>
              </w:rPr>
            </w:pPr>
          </w:p>
        </w:tc>
        <w:tc>
          <w:tcPr>
            <w:tcW w:w="2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(1,583,500)</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2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Options outstanding, December 31, 2023</w:t>
            </w:r>
          </w:p>
        </w:tc>
        <w:tc>
          <w:tcPr>
            <w:tcW w:w="2160" w:type="dxa"/>
            <w:vAlign w:val="bottom"/>
            <w:tcBorders>
              <w:top w:val="single" w:sz="8" w:color="CFF0FC"/>
            </w:tcBorders>
            <w:gridSpan w:val="2"/>
          </w:tcPr>
          <w:p>
            <w:pPr>
              <w:spacing w:after="0"/>
              <w:rPr>
                <w:sz w:val="18"/>
                <w:szCs w:val="18"/>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14,660,972</w:t>
            </w:r>
          </w:p>
        </w:tc>
        <w:tc>
          <w:tcPr>
            <w:tcW w:w="220" w:type="dxa"/>
            <w:vAlign w:val="bottom"/>
            <w:tcBorders>
              <w:top w:val="single" w:sz="8" w:color="CFF0FC"/>
            </w:tcBorders>
          </w:tcPr>
          <w:p>
            <w:pPr>
              <w:spacing w:after="0"/>
              <w:rPr>
                <w:sz w:val="18"/>
                <w:szCs w:val="18"/>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issued</w:t>
            </w:r>
          </w:p>
        </w:tc>
        <w:tc>
          <w:tcPr>
            <w:tcW w:w="4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1,361,750</w:t>
            </w: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46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(132,500)</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2160" w:type="dxa"/>
            <w:vAlign w:val="bottom"/>
            <w:gridSpan w:val="2"/>
            <w:shd w:val="clear" w:color="auto" w:fill="CFF0FC"/>
          </w:tcPr>
          <w:p>
            <w:pPr>
              <w:spacing w:after="0"/>
              <w:rPr>
                <w:sz w:val="18"/>
                <w:szCs w:val="18"/>
                <w:color w:val="auto"/>
              </w:rPr>
            </w:pPr>
          </w:p>
        </w:tc>
        <w:tc>
          <w:tcPr>
            <w:tcW w:w="2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(1,164,666)</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42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Options outstanding, December 31, 2024</w:t>
            </w:r>
          </w:p>
        </w:tc>
        <w:tc>
          <w:tcPr>
            <w:tcW w:w="2160" w:type="dxa"/>
            <w:vAlign w:val="bottom"/>
            <w:tcBorders>
              <w:top w:val="single" w:sz="8" w:color="CFF0FC"/>
            </w:tcBorders>
            <w:gridSpan w:val="2"/>
          </w:tcPr>
          <w:p>
            <w:pPr>
              <w:spacing w:after="0"/>
              <w:rPr>
                <w:sz w:val="18"/>
                <w:szCs w:val="18"/>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14,725,556</w:t>
            </w:r>
          </w:p>
        </w:tc>
        <w:tc>
          <w:tcPr>
            <w:tcW w:w="220" w:type="dxa"/>
            <w:vAlign w:val="bottom"/>
            <w:tcBorders>
              <w:top w:val="single" w:sz="8" w:color="CFF0FC"/>
            </w:tcBorders>
          </w:tcPr>
          <w:p>
            <w:pPr>
              <w:spacing w:after="0"/>
              <w:rPr>
                <w:sz w:val="18"/>
                <w:szCs w:val="18"/>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0.50</w:t>
            </w:r>
          </w:p>
        </w:tc>
        <w:tc>
          <w:tcPr>
            <w:tcW w:w="26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4"/>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620" w:type="dxa"/>
            <w:vAlign w:val="bottom"/>
            <w:gridSpan w:val="4"/>
          </w:tcPr>
          <w:p>
            <w:pPr>
              <w:jc w:val="right"/>
              <w:ind w:right="3140"/>
              <w:spacing w:after="0"/>
              <w:rPr>
                <w:sz w:val="20"/>
                <w:szCs w:val="20"/>
                <w:color w:val="auto"/>
              </w:rPr>
            </w:pPr>
            <w:r>
              <w:rPr>
                <w:rFonts w:ascii="Times New Roman" w:cs="Times New Roman" w:eastAsia="Times New Roman" w:hAnsi="Times New Roman"/>
                <w:sz w:val="18"/>
                <w:szCs w:val="18"/>
                <w:color w:val="auto"/>
              </w:rPr>
              <w:t>F-56</w:t>
            </w: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-1559560</wp:posOffset>
            </wp:positionV>
            <wp:extent cx="6858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-1559560</wp:posOffset>
            </wp:positionV>
            <wp:extent cx="6858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-993775</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-993775</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0" w:type="dxa"/>
            <w:vAlign w:val="bottom"/>
          </w:tcPr>
          <w:p>
            <w:pPr>
              <w:spacing w:after="0"/>
              <w:rPr>
                <w:sz w:val="12"/>
                <w:szCs w:val="12"/>
                <w:color w:val="auto"/>
              </w:rPr>
            </w:pPr>
          </w:p>
        </w:tc>
        <w:tc>
          <w:tcPr>
            <w:tcW w:w="15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 at</w:t>
            </w:r>
          </w:p>
        </w:tc>
        <w:tc>
          <w:tcPr>
            <w:tcW w:w="200" w:type="dxa"/>
            <w:vAlign w:val="bottom"/>
          </w:tcPr>
          <w:p>
            <w:pPr>
              <w:spacing w:after="0"/>
              <w:rPr>
                <w:sz w:val="12"/>
                <w:szCs w:val="12"/>
                <w:color w:val="auto"/>
              </w:rPr>
            </w:pPr>
          </w:p>
        </w:tc>
        <w:tc>
          <w:tcPr>
            <w:tcW w:w="10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Remaining life (years)</w:t>
            </w:r>
          </w:p>
        </w:tc>
        <w:tc>
          <w:tcPr>
            <w:tcW w:w="0" w:type="dxa"/>
            <w:vAlign w:val="bottom"/>
          </w:tcPr>
          <w:p>
            <w:pPr>
              <w:spacing w:after="0"/>
              <w:rPr>
                <w:sz w:val="1"/>
                <w:szCs w:val="1"/>
                <w:color w:val="auto"/>
              </w:rPr>
            </w:pPr>
          </w:p>
        </w:tc>
      </w:tr>
      <w:tr>
        <w:trPr>
          <w:trHeight w:val="173"/>
        </w:trPr>
        <w:tc>
          <w:tcPr>
            <w:tcW w:w="4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Liquidity Event</w:t>
            </w: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17, 2014</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13, 2014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27, 2015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25, 2015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382,273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382,273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 2015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25, 2016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21, 2016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27, 2016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15, 2016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2017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15, 2017</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27, 2017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28, 2018</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2018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September 14, 2018</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25, 2019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271,500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30, 2019</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27, 2019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26, 2020</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31, 2020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3,572,500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3,572,500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February 16, 2021</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761,500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761,500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12, 2021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October 15, 2021</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18, 2022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5, 2023</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22, 2024</w:t>
            </w:r>
          </w:p>
        </w:tc>
        <w:tc>
          <w:tcPr>
            <w:tcW w:w="14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1,324,750</w:t>
            </w:r>
          </w:p>
        </w:tc>
        <w:tc>
          <w:tcPr>
            <w:tcW w:w="2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1,324,750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14,725,556</w:t>
            </w:r>
          </w:p>
        </w:tc>
        <w:tc>
          <w:tcPr>
            <w:tcW w:w="2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14,725,556</w:t>
            </w:r>
          </w:p>
        </w:tc>
        <w:tc>
          <w:tcPr>
            <w:tcW w:w="2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-7620</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As at December 31, 2024, the weighted average exercise price of the outstanding and exercisable options is $0.50 (2023 -$0.50). The remaining contractual lives of outstanding and exercisable options and range between 0.1 and 1.4 years (2023- 0.1 and 2.4 years). Share-based payment expense for year was $76,062 (2023 - $129,867).</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are the assumptions that were used to value the options issued during the year ended December 31, 2024:</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2120" w:type="dxa"/>
            <w:vAlign w:val="bottom"/>
            <w:gridSpan w:val="2"/>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r>
      <w:tr>
        <w:trPr>
          <w:trHeight w:val="209"/>
        </w:trPr>
        <w:tc>
          <w:tcPr>
            <w:tcW w:w="6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Weighted average fair value per common share</w:t>
            </w:r>
          </w:p>
        </w:tc>
        <w:tc>
          <w:tcPr>
            <w:tcW w:w="280" w:type="dxa"/>
            <w:vAlign w:val="bottom"/>
          </w:tcPr>
          <w:p>
            <w:pPr>
              <w:spacing w:after="0"/>
              <w:rPr>
                <w:sz w:val="18"/>
                <w:szCs w:val="18"/>
                <w:color w:val="auto"/>
              </w:rPr>
            </w:pPr>
          </w:p>
        </w:tc>
        <w:tc>
          <w:tcPr>
            <w:tcW w:w="1840" w:type="dxa"/>
            <w:vAlign w:val="bottom"/>
            <w:tcBorders>
              <w:top w:val="single" w:sz="8" w:color="auto"/>
            </w:tcBorders>
          </w:tcPr>
          <w:p>
            <w:pPr>
              <w:jc w:val="right"/>
              <w:ind w:right="16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0.42</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2120" w:type="dxa"/>
            <w:vAlign w:val="bottom"/>
            <w:gridSpan w:val="2"/>
            <w:shd w:val="clear" w:color="auto" w:fill="CFF0FC"/>
          </w:tcPr>
          <w:p>
            <w:pPr>
              <w:jc w:val="right"/>
              <w:ind w:right="1676"/>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0.48</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120" w:type="dxa"/>
            <w:vAlign w:val="bottom"/>
            <w:gridSpan w:val="2"/>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w w:val="99"/>
              </w:rPr>
              <w:t>61.88%</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rPr>
              <w:t>60.27%</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2120" w:type="dxa"/>
            <w:vAlign w:val="bottom"/>
            <w:gridSpan w:val="2"/>
            <w:shd w:val="clear" w:color="auto" w:fill="CFF0FC"/>
          </w:tcPr>
          <w:p>
            <w:pPr>
              <w:jc w:val="center"/>
              <w:ind w:left="633"/>
              <w:spacing w:after="0"/>
              <w:rPr>
                <w:sz w:val="20"/>
                <w:szCs w:val="20"/>
                <w:color w:val="auto"/>
              </w:rPr>
            </w:pPr>
            <w:r>
              <w:rPr>
                <w:rFonts w:ascii="Times New Roman" w:cs="Times New Roman" w:eastAsia="Times New Roman" w:hAnsi="Times New Roman"/>
                <w:sz w:val="18"/>
                <w:szCs w:val="18"/>
                <w:b w:val="1"/>
                <w:bCs w:val="1"/>
                <w:color w:val="auto"/>
              </w:rPr>
              <w:t>0.8-1.6</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120" w:type="dxa"/>
            <w:vAlign w:val="bottom"/>
            <w:gridSpan w:val="2"/>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rPr>
              <w:t>0.00%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120" w:type="dxa"/>
            <w:vAlign w:val="bottom"/>
            <w:gridSpan w:val="2"/>
            <w:shd w:val="clear" w:color="auto" w:fill="CFF0FC"/>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w w:val="99"/>
              </w:rPr>
              <w:t>2.79% - 4.39%</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center"/>
              <w:ind w:right="193"/>
              <w:spacing w:after="0"/>
              <w:rPr>
                <w:sz w:val="20"/>
                <w:szCs w:val="20"/>
                <w:color w:val="auto"/>
              </w:rPr>
            </w:pPr>
            <w:r>
              <w:rPr>
                <w:rFonts w:ascii="Times New Roman" w:cs="Times New Roman" w:eastAsia="Times New Roman" w:hAnsi="Times New Roman"/>
                <w:sz w:val="18"/>
                <w:szCs w:val="18"/>
                <w:color w:val="auto"/>
                <w:w w:val="99"/>
              </w:rPr>
              <w:t>3.56% - 4.96%</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0" w:hanging="512"/>
        <w:spacing w:after="0"/>
        <w:tabs>
          <w:tab w:leader="none" w:pos="52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The Group's authorized capital consists of:- An unlimited number of Class A common shares in the capital of GroupBy Inc. and GroupBy International Ltd.</w:t>
      </w:r>
    </w:p>
    <w:p>
      <w:pPr>
        <w:spacing w:after="0" w:line="162" w:lineRule="exact"/>
        <w:rPr>
          <w:sz w:val="20"/>
          <w:szCs w:val="20"/>
          <w:color w:val="auto"/>
        </w:rPr>
      </w:pPr>
    </w:p>
    <w:p>
      <w:pPr>
        <w:ind w:left="5460" w:right="2580" w:hanging="4943"/>
        <w:spacing w:after="0" w:line="407" w:lineRule="auto"/>
        <w:tabs>
          <w:tab w:leader="none" w:pos="62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B common shares in the capital of GroupBy Inc. and GroupBy International Ltd. 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184" w:name="page185"/>
    <w:bookmarkEnd w:id="184"/>
    <w:p>
      <w:pPr>
        <w:ind w:left="620" w:hanging="103"/>
        <w:spacing w:after="0"/>
        <w:tabs>
          <w:tab w:leader="none" w:pos="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C common shares in the capital of GroupBy Inc. and GroupBy International Ltd.</w:t>
      </w:r>
    </w:p>
    <w:p>
      <w:pPr>
        <w:spacing w:after="0" w:line="225" w:lineRule="exact"/>
        <w:rPr>
          <w:rFonts w:ascii="Times New Roman" w:cs="Times New Roman" w:eastAsia="Times New Roman" w:hAnsi="Times New Roman"/>
          <w:sz w:val="18"/>
          <w:szCs w:val="18"/>
          <w:color w:val="auto"/>
        </w:rPr>
      </w:pPr>
    </w:p>
    <w:p>
      <w:pPr>
        <w:ind w:left="620" w:hanging="103"/>
        <w:spacing w:after="0"/>
        <w:tabs>
          <w:tab w:leader="none" w:pos="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D common shares in the capital of GroupBy Inc. and GroupBy International Ltd.</w:t>
      </w:r>
    </w:p>
    <w:p>
      <w:pPr>
        <w:spacing w:after="0" w:line="225" w:lineRule="exact"/>
        <w:rPr>
          <w:rFonts w:ascii="Times New Roman" w:cs="Times New Roman" w:eastAsia="Times New Roman" w:hAnsi="Times New Roman"/>
          <w:sz w:val="18"/>
          <w:szCs w:val="18"/>
          <w:color w:val="auto"/>
        </w:rPr>
      </w:pPr>
    </w:p>
    <w:p>
      <w:pPr>
        <w:ind w:left="620" w:hanging="103"/>
        <w:spacing w:after="0"/>
        <w:tabs>
          <w:tab w:leader="none" w:pos="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A preferred shares in the capital of GroupBy Inc. and GroupBy International Ltd.</w:t>
      </w:r>
    </w:p>
    <w:p>
      <w:pPr>
        <w:spacing w:after="0" w:line="225" w:lineRule="exact"/>
        <w:rPr>
          <w:rFonts w:ascii="Times New Roman" w:cs="Times New Roman" w:eastAsia="Times New Roman" w:hAnsi="Times New Roman"/>
          <w:sz w:val="18"/>
          <w:szCs w:val="18"/>
          <w:color w:val="auto"/>
        </w:rPr>
      </w:pPr>
    </w:p>
    <w:p>
      <w:pPr>
        <w:ind w:left="520" w:right="2380" w:hanging="3"/>
        <w:spacing w:after="0" w:line="500" w:lineRule="auto"/>
        <w:tabs>
          <w:tab w:leader="none" w:pos="62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unlimited number of Class A-1 preferred shares in the capital of GroupBy Inc. and GroupBy International Ltd. </w:t>
      </w:r>
      <w:r>
        <w:rPr>
          <w:rFonts w:ascii="Times New Roman" w:cs="Times New Roman" w:eastAsia="Times New Roman" w:hAnsi="Times New Roman"/>
          <w:sz w:val="18"/>
          <w:szCs w:val="18"/>
          <w:u w:val="single" w:color="auto"/>
          <w:color w:val="auto"/>
        </w:rPr>
        <w:t>Class A common shares</w:t>
      </w:r>
    </w:p>
    <w:p>
      <w:pPr>
        <w:spacing w:after="0" w:line="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A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A common shares shall be entitled to share equally with the holders of the Class B common shares, Class C common shares and Class D common shares, share for share, in the remaining property of the Group up on the liquidation, dissolution or winding up of the Group, whether voluntary or involuntary.</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holders of the Class A common shares shall be entitled to receive notice of and attend any meeting of the shareholders of the Group and shall be entitled to one vote in respect of each Class A common share held at all meetings 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B common shares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B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B common shares shall be entitled to share equally with the holders of the Class A common shares, Class C common shares and Class D common shares, share for share, in the remaining property of the Group upon the liquidation, dissolution or winding up of the Group, whether voluntary or involuntary.</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holders of the Class B common share shall be entitled to receive notice of and attend any meeting of the shareholdersof the Group and shall be entitled to 1.0000000000001 votes in respect of each Class B common share held at all meetingsof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C common shares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C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C common shares shall be entitled to share equally with the holders of the Class A common shares, Class B common shares and Class D common shares, share for share, in the remaining property of the Group up on the liquidation, dissolution or winding up of the Group, whether voluntary or involuntary.</w:t>
      </w:r>
    </w:p>
    <w:p>
      <w:pPr>
        <w:spacing w:after="0" w:line="17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holders of the Class C common share shall be entitled to receive notice of and attend any meeting of the shareholders of the Group and shall be entitled to 1.0000000000002 votes in respect of each Class C common share held at all meetings 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D common shares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D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36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D common shares shall be entitled to share equally with the holders of the Class A common shares, Class B common shares and Class C common shares, share for share, in the remaining property of the Group up on the liquidation, dissolution or winding up of the Group, whether voluntary or involuntary.The holders of the Class D common share shall be entitled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85" w:name="page186"/>
    <w:bookmarkEnd w:id="185"/>
    <w:p>
      <w:pPr>
        <w:ind w:right="340"/>
        <w:spacing w:after="0" w:line="282" w:lineRule="auto"/>
        <w:rPr>
          <w:sz w:val="20"/>
          <w:szCs w:val="20"/>
          <w:color w:val="auto"/>
        </w:rPr>
      </w:pPr>
      <w:r>
        <w:rPr>
          <w:rFonts w:ascii="Times New Roman" w:cs="Times New Roman" w:eastAsia="Times New Roman" w:hAnsi="Times New Roman"/>
          <w:sz w:val="18"/>
          <w:szCs w:val="18"/>
          <w:color w:val="auto"/>
        </w:rPr>
        <w:t>to receive notice of and attend any meeting of the shareholders of the Group and shall be entitled to 1.0000000000003 votes in respect of each Class D common share held at all meetings 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A preferred shares and Class A-1 preferred shares</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Group shall not declare, pay or set aside any dividends on shares of any other class of the Group unless the holders of the Class A and Class A-1 preferred shares then outstanding simultaneously receive, on a pro-rata basis, a dividend on each outstanding Class A and Class A-1 preferred share.In the event of any voluntary or involuntary liquidation, dissolution or winding up of the Group, the holders of Class A and Class A-1 preferred shares are entitled to be paid out of the assets of the Group available for distribution to its shareholders on a pro-rata basis with the holders of the Class A and Class A-1 preferred shares and before any payment shall be made to the holders of common shares, with the amount payable in respect of each Class A preferred shares equal to an amount per share equal to the Class A original issue price (US$1.4543 per share), plus any dividends declared but unpaid thereon.</w:t>
      </w:r>
    </w:p>
    <w:p>
      <w:pPr>
        <w:spacing w:after="0" w:line="18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A preferred shares shall be entitled to cast the number of votes equal to the number of whole common shares into which the Class A and Class A-1 preferred shares are convertible as of the record date for determining shareholders entitled to vote on such matter. Holders of Class A preferred shares shall vote together with the holders of preferred shares and the holders of common shares as a single class.</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holders of Class A and A-1 preferred shares have conversion rights to convert, at the option of the holder, at any time and from time to time, and without payment of additional consideration by its holder, into such number of fully paid and nonassessable common shares as is determined by dividing the Class A original issue price by the Class A conversion price,as defined in the articles of the Group. Upon specific trigger events as specified in the articles of amendment, all outstanding Class A and Class A-1 preferred shares shall automatically be converted into common shares.</w:t>
      </w:r>
    </w:p>
    <w:p>
      <w:pPr>
        <w:spacing w:after="0" w:line="180"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Each holder of Class A and Class A-1 preferred shares shall be entitled to elect to receive distributions (including dividends)from the Group on the preferred shares as a return of stated capital upon liquidation of the Group's business. Every dollar paid as a return of stated capital shall be considered to have satisfied one dollar of the distribution entitlement of each preferred share.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 w:type="dxa"/>
            <w:vAlign w:val="bottom"/>
            <w:tcBorders>
              <w:bottom w:val="single" w:sz="8" w:color="auto"/>
            </w:tcBorders>
          </w:tcPr>
          <w:p>
            <w:pPr>
              <w:spacing w:after="0"/>
              <w:rPr>
                <w:sz w:val="15"/>
                <w:szCs w:val="15"/>
                <w:color w:val="auto"/>
              </w:rPr>
            </w:pPr>
          </w:p>
        </w:tc>
        <w:tc>
          <w:tcPr>
            <w:tcW w:w="668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4"/>
                <w:szCs w:val="14"/>
                <w:b w:val="1"/>
                <w:bCs w:val="1"/>
                <w:color w:val="auto"/>
              </w:rPr>
              <w:t>Financial Asset/Liability</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6,075,633 Class A common shares (2023 - 6,075,633)</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836,742</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836,742</w:t>
            </w:r>
          </w:p>
        </w:tc>
        <w:tc>
          <w:tcPr>
            <w:tcW w:w="100" w:type="dxa"/>
            <w:vAlign w:val="bottom"/>
            <w:shd w:val="clear" w:color="auto" w:fill="CFF0FC"/>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28,188,792</w:t>
            </w: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shares (2023 - 28,188,792)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r>
      <w:tr>
        <w:trPr>
          <w:trHeight w:val="216"/>
        </w:trPr>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4,533,882 Class D common shares (2023 - 4,533,882)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14,492,467</w:t>
            </w: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preferred shares (2023 - 14,492,467)</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13,168,946</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13,168,946</w:t>
            </w:r>
          </w:p>
        </w:tc>
        <w:tc>
          <w:tcPr>
            <w:tcW w:w="100" w:type="dxa"/>
            <w:vAlign w:val="bottom"/>
          </w:tcPr>
          <w:p>
            <w:pPr>
              <w:spacing w:after="0"/>
              <w:rPr>
                <w:sz w:val="18"/>
                <w:szCs w:val="18"/>
                <w:color w:val="auto"/>
              </w:rPr>
            </w:pPr>
          </w:p>
        </w:tc>
      </w:tr>
      <w:tr>
        <w:trPr>
          <w:trHeight w:val="210"/>
        </w:trPr>
        <w:tc>
          <w:tcPr>
            <w:tcW w:w="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14,005,728</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14,005,728</w:t>
            </w:r>
          </w:p>
        </w:tc>
        <w:tc>
          <w:tcPr>
            <w:tcW w:w="100" w:type="dxa"/>
            <w:vAlign w:val="bottom"/>
            <w:shd w:val="clear" w:color="auto" w:fill="CFF0FC"/>
          </w:tcPr>
          <w:p>
            <w:pPr>
              <w:spacing w:after="0"/>
              <w:rPr>
                <w:sz w:val="18"/>
                <w:szCs w:val="18"/>
                <w:color w:val="auto"/>
              </w:rPr>
            </w:pPr>
          </w:p>
        </w:tc>
      </w:tr>
      <w:tr>
        <w:trPr>
          <w:trHeight w:val="20"/>
        </w:trPr>
        <w:tc>
          <w:tcPr>
            <w:tcW w:w="840" w:type="dxa"/>
            <w:vAlign w:val="bottom"/>
            <w:shd w:val="clear" w:color="auto" w:fill="CFF0FC"/>
          </w:tcPr>
          <w:p>
            <w:pPr>
              <w:spacing w:after="0" w:line="20" w:lineRule="exact"/>
              <w:rPr>
                <w:sz w:val="1"/>
                <w:szCs w:val="1"/>
                <w:color w:val="auto"/>
              </w:rPr>
            </w:pPr>
          </w:p>
        </w:tc>
        <w:tc>
          <w:tcPr>
            <w:tcW w:w="66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-7620</wp:posOffset>
            </wp:positionV>
            <wp:extent cx="7747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4"/>
        </w:trPr>
        <w:tc>
          <w:tcPr>
            <w:tcW w:w="3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300" w:type="dxa"/>
            <w:vAlign w:val="bottom"/>
          </w:tcPr>
          <w:p>
            <w:pPr>
              <w:spacing w:after="0"/>
              <w:rPr>
                <w:sz w:val="24"/>
                <w:szCs w:val="24"/>
                <w:color w:val="auto"/>
              </w:rPr>
            </w:pPr>
          </w:p>
        </w:tc>
        <w:tc>
          <w:tcPr>
            <w:tcW w:w="134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Weigthed Average</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Warrants included in equity, December 31, 2022</w:t>
            </w:r>
          </w:p>
        </w:tc>
        <w:tc>
          <w:tcPr>
            <w:tcW w:w="180" w:type="dxa"/>
            <w:vAlign w:val="bottom"/>
          </w:tcPr>
          <w:p>
            <w:pPr>
              <w:spacing w:after="0"/>
              <w:rPr>
                <w:sz w:val="18"/>
                <w:szCs w:val="18"/>
                <w:color w:val="auto"/>
              </w:rPr>
            </w:pPr>
          </w:p>
        </w:tc>
        <w:tc>
          <w:tcPr>
            <w:tcW w:w="30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11,429,093</w:t>
            </w:r>
          </w:p>
        </w:tc>
        <w:tc>
          <w:tcPr>
            <w:tcW w:w="300" w:type="dxa"/>
            <w:vAlign w:val="bottom"/>
          </w:tcPr>
          <w:p>
            <w:pPr>
              <w:spacing w:after="0"/>
              <w:rPr>
                <w:sz w:val="18"/>
                <w:szCs w:val="18"/>
                <w:color w:val="auto"/>
              </w:rPr>
            </w:pPr>
          </w:p>
        </w:tc>
        <w:tc>
          <w:tcPr>
            <w:tcW w:w="1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4,678,728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warrants issued</w:t>
            </w:r>
          </w:p>
        </w:tc>
        <w:tc>
          <w:tcPr>
            <w:tcW w:w="18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expired warrants</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included in equity, December 31, 2023</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11,429,093</w:t>
            </w:r>
          </w:p>
        </w:tc>
        <w:tc>
          <w:tcPr>
            <w:tcW w:w="46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4,678,728</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Add: warrants issued</w:t>
            </w:r>
          </w:p>
        </w:tc>
        <w:tc>
          <w:tcPr>
            <w:tcW w:w="1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expired warrants</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Warrants included in equity, December 31, 2024</w:t>
            </w:r>
          </w:p>
        </w:tc>
        <w:tc>
          <w:tcPr>
            <w:tcW w:w="180" w:type="dxa"/>
            <w:vAlign w:val="bottom"/>
          </w:tcPr>
          <w:p>
            <w:pPr>
              <w:spacing w:after="0"/>
              <w:rPr>
                <w:sz w:val="18"/>
                <w:szCs w:val="18"/>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11,429,093</w:t>
            </w:r>
          </w:p>
        </w:tc>
        <w:tc>
          <w:tcPr>
            <w:tcW w:w="4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4,678,728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-436245</wp:posOffset>
            </wp:positionV>
            <wp:extent cx="7683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-436245</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-436245</wp:posOffset>
            </wp:positionV>
            <wp:extent cx="685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-153670</wp:posOffset>
            </wp:positionV>
            <wp:extent cx="7683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-153670</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-153670</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total warrants included in equity include 135,000 (2023 - 135,000) warrants exchangeable for one class A common share of GroupBy International Ltd. and GroupBy Inc. with an exercise price of $2.14 (2023 - $2.14) and 11,294,093 (2023 - 11,294,093) warrants exchangeable for one class A preferred share of GroupBy International Ltd. and GroupBy Inc. During the year ended December 31, 2024, 8,767,105 warrants had their expiration date extended by a year from July 2024 to July 2025, and 2,526,988 warrants had their expiration date extended by a year from September 2024 to September 2025. No remeasurement adjustments were made as a result of the extension of the expiration dates.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86" w:name="page187"/>
    <w:bookmarkEnd w:id="186"/>
    <w:p>
      <w:pPr>
        <w:ind w:left="520" w:hanging="512"/>
        <w:spacing w:after="0"/>
        <w:tabs>
          <w:tab w:leader="none" w:pos="52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Group as part of its operations carries a number of financial instruments. It is management's opinion that the Group is not exposed to significant interest, currency or credit risks arising from these financial instruments except as otherwise disclosed.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Fair value is the amount for which an asset could be exchanged, or a liability settled, between knowledgeable, willing parties in an arm’s length transaction. Cash is classified as Level 1 in the fair value hierarchy. The fair value of the Group’s cash, accounts receivable, investment tax credits receivable, bank indebtedness, accounts payable and accrued liabilities, and income taxes payable are estimated by management to approximate their carrying values due to their short-term nature. The fair value of the Group's lease liabilities and long-term debt are also fairly reflected by their carrying values as they have been financed at interest rates which are similar to current market interest rates. The fair value of the Group's warrant liability is estimated using the Black-Scholes option pricing model, as described in Note 11, and is therefore classified as Level 3 in the fair value hierarchy.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Interest rate risk is the risk that the value of a financial instrument might be adversely affected by a change in the interest rates. Changes in market interest rates may have an effect on the cash flows associated with some financial assets and liabilities, known as cash flow risk, and on the fair value of other financial assets or liabilities, known as price risk. The Group is exposed to interest rate risk through the impact of changes in market interest rates on the fair values of its instruments.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 is exposed to interest rate cash flow risk on its bank indebtedness as it is subject to a floating interest rate.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 is exposed to interest rate price risk on its lease liabilities as they are subject to fixed interest rates.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Liquidity risk is the risk that the Group may not be able to generate sufficient cash resources to settle its obligations as they become due. The Group manages liquidity risk by maintaining adequate cash balances and borrowing facilities, by continuously monitoring forecast and actual cash flows, and by matching the maturity profiles of financial assets and liabilities.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the Group's financial liabilities that would be settled by cash resources and contractual maturities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&lt; 1 year</w:t>
            </w:r>
          </w:p>
        </w:tc>
        <w:tc>
          <w:tcPr>
            <w:tcW w:w="260" w:type="dxa"/>
            <w:vAlign w:val="bottom"/>
          </w:tcPr>
          <w:p>
            <w:pPr>
              <w:spacing w:after="0"/>
              <w:rPr>
                <w:sz w:val="15"/>
                <w:szCs w:val="15"/>
                <w:color w:val="auto"/>
              </w:rPr>
            </w:pPr>
          </w:p>
        </w:tc>
        <w:tc>
          <w:tcPr>
            <w:tcW w:w="1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1-2 years</w:t>
            </w:r>
          </w:p>
        </w:tc>
        <w:tc>
          <w:tcPr>
            <w:tcW w:w="3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&gt; 3 years</w:t>
            </w:r>
          </w:p>
        </w:tc>
        <w:tc>
          <w:tcPr>
            <w:tcW w:w="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20,831,240</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20,831,240</w:t>
            </w:r>
          </w:p>
        </w:tc>
        <w:tc>
          <w:tcPr>
            <w:tcW w:w="120" w:type="dxa"/>
            <w:vAlign w:val="bottom"/>
            <w:shd w:val="clear" w:color="auto" w:fill="CFF0FC"/>
          </w:tcPr>
          <w:p>
            <w:pPr>
              <w:spacing w:after="0"/>
              <w:rPr>
                <w:sz w:val="18"/>
                <w:szCs w:val="18"/>
                <w:color w:val="auto"/>
              </w:rPr>
            </w:pPr>
          </w:p>
        </w:tc>
      </w:t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Bank indebtedness</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12,000,000</w:t>
            </w:r>
          </w:p>
        </w:tc>
        <w:tc>
          <w:tcPr>
            <w:tcW w:w="120" w:type="dxa"/>
            <w:vAlign w:val="bottom"/>
          </w:tcPr>
          <w:p>
            <w:pPr>
              <w:spacing w:after="0"/>
              <w:rPr>
                <w:sz w:val="20"/>
                <w:szCs w:val="20"/>
                <w:color w:val="auto"/>
              </w:rPr>
            </w:pPr>
          </w:p>
        </w:tc>
      </w:tr>
    </w:tbl>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Note 8 describes the contractual maturities of the Group's lease liabilities.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Credit risk is the risk of loss associated with a counterparty’s inability to fulfill its payment obligations. The Group’s principal financial assets that expose it to credit risk are trade receivables and the Group mitigates this risk by monitoring the credit worthiness of its customers.</w:t>
      </w:r>
    </w:p>
    <w:p>
      <w:pPr>
        <w:spacing w:after="0" w:line="16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Group applies the simplified approach to provide for expected credit losses as prescribed by IFRS 9, which permits the use of the lifetime expected loss provision for all trade receivables and contract assets. The expected credit loss provision is based on the Group’s historical collections and loss experience and incorporates forward-looking factors, where appropriate. During the year, the Group recognized $nil (2023 - $103,685) of bad debt expense included in general and administrative expenses.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Lifetime</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113"/>
              <w:spacing w:after="0"/>
              <w:rPr>
                <w:sz w:val="20"/>
                <w:szCs w:val="20"/>
                <w:color w:val="auto"/>
              </w:rPr>
            </w:pPr>
            <w:r>
              <w:rPr>
                <w:rFonts w:ascii="Times New Roman" w:cs="Times New Roman" w:eastAsia="Times New Roman" w:hAnsi="Times New Roman"/>
                <w:sz w:val="14"/>
                <w:szCs w:val="14"/>
                <w:color w:val="auto"/>
              </w:rPr>
              <w:t>Lifetime</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Trade receivable aging</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200" w:type="dxa"/>
            <w:vAlign w:val="bottom"/>
            <w:vMerge w:val="restart"/>
          </w:tcPr>
          <w:p>
            <w:pPr>
              <w:spacing w:after="0"/>
              <w:rPr>
                <w:sz w:val="12"/>
                <w:szCs w:val="12"/>
                <w:color w:val="auto"/>
              </w:rPr>
            </w:pPr>
          </w:p>
        </w:tc>
        <w:tc>
          <w:tcPr>
            <w:tcW w:w="68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expected credit</w:t>
            </w:r>
          </w:p>
        </w:tc>
        <w:tc>
          <w:tcPr>
            <w:tcW w:w="220" w:type="dxa"/>
            <w:vAlign w:val="bottom"/>
            <w:vMerge w:val="restart"/>
          </w:tcPr>
          <w:p>
            <w:pPr>
              <w:spacing w:after="0"/>
              <w:rPr>
                <w:sz w:val="12"/>
                <w:szCs w:val="12"/>
                <w:color w:val="auto"/>
              </w:rPr>
            </w:pPr>
          </w:p>
        </w:tc>
        <w:tc>
          <w:tcPr>
            <w:tcW w:w="5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 allowance</w:t>
            </w:r>
          </w:p>
        </w:tc>
        <w:tc>
          <w:tcPr>
            <w:tcW w:w="200" w:type="dxa"/>
            <w:vAlign w:val="bottom"/>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loss allowance</w:t>
            </w:r>
          </w:p>
        </w:tc>
        <w:tc>
          <w:tcPr>
            <w:tcW w:w="220" w:type="dxa"/>
            <w:vAlign w:val="bottom"/>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0-30 days</w:t>
            </w:r>
          </w:p>
        </w:tc>
        <w:tc>
          <w:tcPr>
            <w:tcW w:w="180" w:type="dxa"/>
            <w:vAlign w:val="bottom"/>
          </w:tcPr>
          <w:p>
            <w:pPr>
              <w:spacing w:after="0"/>
              <w:rPr>
                <w:sz w:val="18"/>
                <w:szCs w:val="18"/>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921,012</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172,789</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1,397,441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217,685</w:t>
            </w: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31-60 days</w:t>
            </w: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225,992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129,560</w:t>
            </w:r>
          </w:p>
        </w:tc>
        <w:tc>
          <w:tcPr>
            <w:tcW w:w="12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57%</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177,415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96,525</w:t>
            </w:r>
          </w:p>
        </w:tc>
        <w:tc>
          <w:tcPr>
            <w:tcW w:w="10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61-90 days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25,800</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32,433</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than 90 days</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921,357</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921,357</w:t>
            </w:r>
          </w:p>
        </w:tc>
        <w:tc>
          <w:tcPr>
            <w:tcW w:w="12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952,669</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952,669</w:t>
            </w:r>
          </w:p>
        </w:tc>
        <w:tc>
          <w:tcPr>
            <w:tcW w:w="1000" w:type="dxa"/>
            <w:vAlign w:val="bottom"/>
            <w:tcBorders>
              <w:bottom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2,094,161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1,249,506</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2,567,563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1,299,312</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-153670</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-153670</wp:posOffset>
            </wp:positionV>
            <wp:extent cx="685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-153670</wp:posOffset>
            </wp:positionV>
            <wp:extent cx="685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-153670</wp:posOffset>
            </wp:positionV>
            <wp:extent cx="685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 credit concentration exists relating to accounts receivable. As at December 31, 2024, three customers (2022 - four) accounted for approximately 63% (2023 - 68% ) of accounts receivable and two customers (2023 - two) accounted for 43% of revenues from operations (2023 - 33%).</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Foreign currency risk is the risk that the fair value or future cash flows of a financial instrument will fluctuate because of changes in foreign exchange rates. The Group undertakes transactions denominated in foreign currencies and for which the related revenues, expenses, accounts receivable and accounts payable balances are subject to exchange rate fluctuations. Management regularly reviews the foreign exchange rates in relation to the United States dollar and the Group's foreign currency position. As at December 31, 2024, the following items are denominated in foreign currencies and are converted to the U.S. dollar equivalent:</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r>
      <w:tr>
        <w:trPr>
          <w:trHeight w:val="209"/>
        </w:trPr>
        <w:tc>
          <w:tcPr>
            <w:tcW w:w="6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Canadian Dollar</w:t>
            </w:r>
          </w:p>
        </w:tc>
        <w:tc>
          <w:tcPr>
            <w:tcW w:w="28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58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296,117</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81,651</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304,207</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326,459</w:t>
            </w: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194,594</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225,106</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Investment tax credits receivable</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393,091</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439,784</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British pound sterling</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105,975</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210,264</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13,052</w:t>
            </w:r>
          </w:p>
        </w:tc>
        <w:tc>
          <w:tcPr>
            <w:tcW w:w="320" w:type="dxa"/>
            <w:vAlign w:val="bottom"/>
            <w:shd w:val="clear" w:color="auto" w:fill="CFF0FC"/>
          </w:tcPr>
          <w:p>
            <w:pPr>
              <w:spacing w:after="0"/>
              <w:rPr>
                <w:sz w:val="18"/>
                <w:szCs w:val="18"/>
                <w:color w:val="auto"/>
              </w:rPr>
            </w:pPr>
          </w:p>
        </w:tc>
      </w:tr>
      <w:tr>
        <w:trPr>
          <w:trHeight w:val="238"/>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58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9,751</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3,148.00</w:t>
            </w:r>
          </w:p>
        </w:tc>
        <w:tc>
          <w:tcPr>
            <w:tcW w:w="3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 w:right="7360" w:hanging="512"/>
        <w:spacing w:after="0" w:line="503" w:lineRule="auto"/>
        <w:tabs>
          <w:tab w:leader="none" w:pos="52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Related party transactions and balances </w:t>
      </w:r>
      <w:r>
        <w:rPr>
          <w:rFonts w:ascii="Times New Roman" w:cs="Times New Roman" w:eastAsia="Times New Roman" w:hAnsi="Times New Roman"/>
          <w:sz w:val="18"/>
          <w:szCs w:val="18"/>
          <w:b w:val="1"/>
          <w:bCs w:val="1"/>
          <w:i w:val="1"/>
          <w:iCs w:val="1"/>
          <w:color w:val="auto"/>
        </w:rPr>
        <w:t>Key management compensation of the Group</w:t>
      </w: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Key management personnel are comprised of four (2023 - four) of the Group’s directors and executive officers. In addition to salaries and benefits, key management personnel also receive share-based payments, which are further described in Note 12, and management fees.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management personnel compensation is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580" w:type="dxa"/>
            <w:vAlign w:val="bottom"/>
            <w:gridSpan w:val="2"/>
            <w:shd w:val="clear" w:color="auto" w:fill="CFF0FC"/>
          </w:tcPr>
          <w:p>
            <w:pPr>
              <w:jc w:val="right"/>
              <w:ind w:right="1139"/>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8,421</w:t>
            </w:r>
          </w:p>
        </w:tc>
        <w:tc>
          <w:tcPr>
            <w:tcW w:w="7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18,775</w:t>
            </w: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benefits (included in general and administrative expenses)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375,154</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431,998</w:t>
            </w:r>
          </w:p>
        </w:tc>
        <w:tc>
          <w:tcPr>
            <w:tcW w:w="320" w:type="dxa"/>
            <w:vAlign w:val="bottom"/>
          </w:tcPr>
          <w:p>
            <w:pPr>
              <w:spacing w:after="0"/>
              <w:rPr>
                <w:sz w:val="18"/>
                <w:szCs w:val="18"/>
                <w:color w:val="auto"/>
              </w:rPr>
            </w:pP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fees (included in general and administrative expenses)</w:t>
            </w:r>
          </w:p>
        </w:tc>
        <w:tc>
          <w:tcPr>
            <w:tcW w:w="2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474,213</w:t>
            </w:r>
          </w:p>
        </w:tc>
        <w:tc>
          <w:tcPr>
            <w:tcW w:w="3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493,169</w:t>
            </w:r>
          </w:p>
        </w:tc>
        <w:tc>
          <w:tcPr>
            <w:tcW w:w="320" w:type="dxa"/>
            <w:vAlign w:val="bottom"/>
            <w:tcBorders>
              <w:bottom w:val="single" w:sz="8" w:color="CFF0FC"/>
            </w:tcBorders>
            <w:shd w:val="clear" w:color="auto" w:fill="CFF0FC"/>
          </w:tcPr>
          <w:p>
            <w:pPr>
              <w:spacing w:after="0"/>
              <w:rPr>
                <w:sz w:val="18"/>
                <w:szCs w:val="18"/>
                <w:color w:val="auto"/>
              </w:rPr>
            </w:pPr>
          </w:p>
        </w:tc>
      </w:tr>
      <w:tr>
        <w:trPr>
          <w:trHeight w:val="210"/>
        </w:trPr>
        <w:tc>
          <w:tcPr>
            <w:tcW w:w="6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857,788</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943,942</w:t>
            </w:r>
          </w:p>
        </w:tc>
        <w:tc>
          <w:tcPr>
            <w:tcW w:w="32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-153670</wp:posOffset>
            </wp:positionV>
            <wp:extent cx="7747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-153670</wp:posOffset>
            </wp:positionV>
            <wp:extent cx="6858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0" w:hanging="512"/>
        <w:spacing w:after="0"/>
        <w:tabs>
          <w:tab w:leader="none" w:pos="52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management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188" w:name="page189"/>
    <w:bookmarkEnd w:id="188"/>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Group's objective in managing capital is to ensure sufficient liquidity to pursue its strategy of organic growth combined with strategic acquisitions, so that it can provide above average returns for its shareholders. The Group defines capital that it manages as the aggregate of its shareholders' deficit, which consists of issued capital, warrants, and deficit.</w:t>
      </w:r>
    </w:p>
    <w:p>
      <w:pPr>
        <w:spacing w:after="0" w:line="176"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Group manages its capital structure and makes adjustments to it in light of general economic conditions and the risk characteristics of the underlying assets and the Group's working capital requirements. In order to maintain or adjust the capital structure, the Group, upon approval from its Board of Directors, may issue shares, repurchase shares through a normal course issuer bid and pay dividends. The Board of Directors reviews and approves any material transactions not in the ordinary course of business that may include various acquisition proposals, as well as capital and operating budgets. No changes were made in the objectives, policies or processes of capital management during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0" w:hanging="512"/>
        <w:spacing w:after="0"/>
        <w:tabs>
          <w:tab w:leader="none" w:pos="52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reconciliation of the combined Canadian federal and provincial statutory income tax rate of 26.5% (2023- 26.5%) to the effective tax rate is as follows: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Pr>
          <w:p>
            <w:pPr>
              <w:jc w:val="right"/>
              <w:ind w:right="9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6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 before recovery of income taxes</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(8,899,333)</w:t>
            </w:r>
          </w:p>
        </w:tc>
        <w:tc>
          <w:tcPr>
            <w:tcW w:w="100" w:type="dxa"/>
            <w:vAlign w:val="bottom"/>
            <w:shd w:val="clear" w:color="auto" w:fill="CFF0FC"/>
          </w:tcPr>
          <w:p>
            <w:pPr>
              <w:spacing w:after="0"/>
              <w:rPr>
                <w:sz w:val="12"/>
                <w:szCs w:val="12"/>
                <w:color w:val="auto"/>
              </w:rPr>
            </w:pP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(5,377,017)</w:t>
            </w:r>
          </w:p>
        </w:tc>
        <w:tc>
          <w:tcPr>
            <w:tcW w:w="100" w:type="dxa"/>
            <w:vAlign w:val="bottom"/>
            <w:shd w:val="clear" w:color="auto" w:fill="CFF0FC"/>
          </w:tcPr>
          <w:p>
            <w:pPr>
              <w:spacing w:after="0"/>
              <w:rPr>
                <w:sz w:val="12"/>
                <w:szCs w:val="12"/>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Expected income tax recovery at 26.5%</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(2,358,330.00)</w:t>
            </w:r>
          </w:p>
        </w:tc>
        <w:tc>
          <w:tcPr>
            <w:tcW w:w="220" w:type="dxa"/>
            <w:vAlign w:val="bottom"/>
          </w:tcPr>
          <w:p>
            <w:pPr>
              <w:spacing w:after="0"/>
              <w:rPr>
                <w:sz w:val="12"/>
                <w:szCs w:val="12"/>
                <w:color w:val="auto"/>
              </w:rPr>
            </w:pPr>
          </w:p>
        </w:tc>
        <w:tc>
          <w:tcPr>
            <w:tcW w:w="23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(1,424,909.00)</w:t>
            </w:r>
          </w:p>
        </w:tc>
      </w:tr>
      <w:tr>
        <w:trPr>
          <w:trHeight w:val="148"/>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Difference in tax rates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11,105</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(1,355)</w:t>
            </w: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adjustments</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26,044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6,615</w:t>
            </w:r>
          </w:p>
        </w:tc>
        <w:tc>
          <w:tcPr>
            <w:tcW w:w="100" w:type="dxa"/>
            <w:vAlign w:val="bottom"/>
          </w:tcPr>
          <w:p>
            <w:pPr>
              <w:spacing w:after="0"/>
              <w:rPr>
                <w:sz w:val="12"/>
                <w:szCs w:val="12"/>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State Tax</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2,131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FX translation</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948,432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(248,663)</w:t>
            </w:r>
          </w:p>
        </w:tc>
      </w:tr>
      <w:tr>
        <w:trPr>
          <w:trHeight w:val="148"/>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 based compensation and non-deductible expenses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133,605</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94,328</w:t>
            </w:r>
          </w:p>
        </w:tc>
        <w:tc>
          <w:tcPr>
            <w:tcW w:w="100" w:type="dxa"/>
            <w:vAlign w:val="bottom"/>
            <w:shd w:val="clear" w:color="auto" w:fill="CFF0FC"/>
          </w:tcPr>
          <w:p>
            <w:pPr>
              <w:spacing w:after="0"/>
              <w:rPr>
                <w:sz w:val="12"/>
                <w:szCs w:val="12"/>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Book to filing adjustment</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45,162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44,758</w:t>
            </w:r>
          </w:p>
        </w:tc>
        <w:tc>
          <w:tcPr>
            <w:tcW w:w="100" w:type="dxa"/>
            <w:vAlign w:val="bottom"/>
          </w:tcPr>
          <w:p>
            <w:pPr>
              <w:spacing w:after="0"/>
              <w:rPr>
                <w:sz w:val="12"/>
                <w:szCs w:val="12"/>
                <w:color w:val="auto"/>
              </w:rPr>
            </w:pPr>
          </w:p>
        </w:tc>
      </w:tr>
      <w:tr>
        <w:trPr>
          <w:trHeight w:val="149"/>
        </w:trPr>
        <w:tc>
          <w:tcPr>
            <w:tcW w:w="61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Change in tax benefits not recognized</w:t>
            </w:r>
          </w:p>
        </w:tc>
        <w:tc>
          <w:tcPr>
            <w:tcW w:w="220" w:type="dxa"/>
            <w:vAlign w:val="bottom"/>
            <w:tcBorders>
              <w:bottom w:val="single" w:sz="8" w:color="CFF0FC"/>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1,225,375</w:t>
            </w: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2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1,850,140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1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Current tax expense</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33,524</w:t>
            </w:r>
          </w:p>
        </w:tc>
        <w:tc>
          <w:tcPr>
            <w:tcW w:w="100" w:type="dxa"/>
            <w:vAlign w:val="bottom"/>
          </w:tcPr>
          <w:p>
            <w:pPr>
              <w:spacing w:after="0"/>
              <w:rPr>
                <w:sz w:val="12"/>
                <w:szCs w:val="12"/>
                <w:color w:val="auto"/>
              </w:rPr>
            </w:pP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320,914</w:t>
            </w:r>
          </w:p>
        </w:tc>
        <w:tc>
          <w:tcPr>
            <w:tcW w:w="100" w:type="dxa"/>
            <w:vAlign w:val="bottom"/>
          </w:tcPr>
          <w:p>
            <w:pPr>
              <w:spacing w:after="0"/>
              <w:rPr>
                <w:sz w:val="12"/>
                <w:szCs w:val="12"/>
                <w:color w:val="auto"/>
              </w:rPr>
            </w:pPr>
          </w:p>
        </w:tc>
      </w:tr>
      <w:tr>
        <w:trPr>
          <w:trHeight w:val="142"/>
        </w:trPr>
        <w:tc>
          <w:tcPr>
            <w:tcW w:w="6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The Group's income tax is allocated as follows: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tax expense</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33,524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320,914</w:t>
            </w:r>
          </w:p>
        </w:tc>
        <w:tc>
          <w:tcPr>
            <w:tcW w:w="100" w:type="dxa"/>
            <w:vAlign w:val="bottom"/>
          </w:tcPr>
          <w:p>
            <w:pPr>
              <w:spacing w:after="0"/>
              <w:rPr>
                <w:sz w:val="12"/>
                <w:szCs w:val="12"/>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tax expense</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42"/>
        </w:trPr>
        <w:tc>
          <w:tcPr>
            <w:tcW w:w="61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top w:val="single" w:sz="8" w:color="CFF0FC"/>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33,524</w:t>
            </w:r>
          </w:p>
        </w:tc>
        <w:tc>
          <w:tcPr>
            <w:tcW w:w="10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320,914</w:t>
            </w:r>
          </w:p>
        </w:tc>
        <w:tc>
          <w:tcPr>
            <w:tcW w:w="100" w:type="dxa"/>
            <w:vAlign w:val="bottom"/>
            <w:tcBorders>
              <w:top w:val="single" w:sz="8" w:color="CFF0FC"/>
            </w:tcBorders>
          </w:tcPr>
          <w:p>
            <w:pPr>
              <w:spacing w:after="0"/>
              <w:rPr>
                <w:sz w:val="12"/>
                <w:szCs w:val="12"/>
                <w:color w:val="auto"/>
              </w:rPr>
            </w:pPr>
          </w:p>
        </w:tc>
      </w:tr>
      <w:tr>
        <w:trPr>
          <w:trHeight w:val="142"/>
        </w:trPr>
        <w:tc>
          <w:tcPr>
            <w:tcW w:w="6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The following table summarizes the components of deferred tax:</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Deferred Tax Assets</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Right of use obligations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46,262</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59,653</w:t>
            </w:r>
          </w:p>
        </w:tc>
        <w:tc>
          <w:tcPr>
            <w:tcW w:w="100" w:type="dxa"/>
            <w:vAlign w:val="bottom"/>
            <w:shd w:val="clear" w:color="auto" w:fill="CFF0FC"/>
          </w:tcPr>
          <w:p>
            <w:pPr>
              <w:spacing w:after="0"/>
              <w:rPr>
                <w:sz w:val="12"/>
                <w:szCs w:val="12"/>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SR&amp;ED pool from T661</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47,699</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(13,593)</w:t>
            </w: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Financing costs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Federal ITCs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(31,510)</w:t>
            </w:r>
          </w:p>
        </w:tc>
      </w:tr>
      <w:tr>
        <w:trPr>
          <w:trHeight w:val="148"/>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 and lease receivables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(46,262)</w:t>
            </w:r>
          </w:p>
        </w:tc>
        <w:tc>
          <w:tcPr>
            <w:tcW w:w="220" w:type="dxa"/>
            <w:vAlign w:val="bottom"/>
            <w:shd w:val="clear" w:color="auto" w:fill="CFF0FC"/>
          </w:tcPr>
          <w:p>
            <w:pPr>
              <w:spacing w:after="0"/>
              <w:rPr>
                <w:sz w:val="12"/>
                <w:szCs w:val="12"/>
                <w:color w:val="auto"/>
              </w:rPr>
            </w:pPr>
          </w:p>
        </w:tc>
        <w:tc>
          <w:tcPr>
            <w:tcW w:w="2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(58,599.00)</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12(1)(x) Inducement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(3,650.00)</w:t>
            </w:r>
          </w:p>
        </w:tc>
      </w:tr>
      <w:tr>
        <w:trPr>
          <w:trHeight w:val="142"/>
        </w:trPr>
        <w:tc>
          <w:tcPr>
            <w:tcW w:w="61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bottom w:val="single" w:sz="8" w:color="auto"/>
            </w:tcBorders>
            <w:shd w:val="clear" w:color="auto" w:fill="CFF0FC"/>
          </w:tcPr>
          <w:p>
            <w:pPr>
              <w:spacing w:after="0"/>
              <w:rPr>
                <w:sz w:val="12"/>
                <w:szCs w:val="12"/>
                <w:color w:val="auto"/>
              </w:rPr>
            </w:pP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FF0FC"/>
            </w:tcBorders>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-1859280</wp:posOffset>
            </wp:positionV>
            <wp:extent cx="6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-1422400</wp:posOffset>
            </wp:positionV>
            <wp:extent cx="685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have been offset where they relate to income taxes levied by the same taxation authority and the Group has the legal right and intent to offset. During the year, $nil (2023 - $nil) net deferred tax liabilities were recognized in net loss and $nil (2023 - $nil) net deferred tax liabilities were recognized in equity.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Unrecognized deferred tax assets:</w:t>
      </w:r>
    </w:p>
    <w:p>
      <w:pPr>
        <w:spacing w:after="0" w:line="22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Deferred taxes are provided as a result of temporary differences that arise due to the differences between the income tax values and the carrying amount of assets and liabilities. Deferred tax assets have not been recognized in respect of the following deductible temporary differences: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1,084,954</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1,242,482</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16,189</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reserves</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1,249,506</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1,272,731</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issuance costs - 20(1)(e)</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21,779</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Non-capital losses carried forward - Canada</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39,585,210</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37,762,917</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Non-capital losses carried forward - Foreign</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3,235,107</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208,466</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SR&amp;ED pool from T661</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1,048,835</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1,025,175</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Costs - US</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118,445</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144,446</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ORDTC</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35,887</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39,043</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Others</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22,404</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24,373</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Charitable donations carryforward</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2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46,418,316</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41,731,303</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Canadian non-capital loss carry forwards expire as noted in the table below. Share issue and financing costs will be fully amortized in 2024. The remaining deductible temporary differences may be carried forward indefinitely. Deferred tax assets have not been recognized in respect of these items because it is not probable that future taxable profit will be available against which the Group can utilize the benefits there from.</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Group's unused Canadian non-capital income tax losses, for which no deferred tax has been recognized, expires as follows:</w:t>
      </w:r>
    </w:p>
    <w:p>
      <w:pPr>
        <w:spacing w:after="0" w:line="200" w:lineRule="exact"/>
        <w:rPr>
          <w:sz w:val="20"/>
          <w:szCs w:val="20"/>
          <w:color w:val="auto"/>
        </w:rPr>
      </w:pPr>
    </w:p>
    <w:p>
      <w:pPr>
        <w:spacing w:after="0" w:line="259" w:lineRule="exact"/>
        <w:rPr>
          <w:sz w:val="20"/>
          <w:szCs w:val="20"/>
          <w:color w:val="auto"/>
        </w:rPr>
      </w:pPr>
    </w:p>
    <w:tbl>
      <w:tblPr>
        <w:tblLayout w:type="fixed"/>
        <w:tblInd w:w="1580" w:type="dxa"/>
        <w:tblCellMar>
          <w:top w:w="0" w:type="dxa"/>
          <w:left w:w="0" w:type="dxa"/>
          <w:bottom w:w="0" w:type="dxa"/>
          <w:right w:w="0" w:type="dxa"/>
        </w:tblCellMar>
      </w:tblP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2034</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491,819</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2035</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493,259</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2036</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1,275,928</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2037</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3,580,452</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2038</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4,935,279</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2039</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4,948,348</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2040</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2,178,411</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2041</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3,157,169</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2042</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8,197,548</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2043</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5,312,888</w:t>
            </w:r>
          </w:p>
        </w:tc>
        <w:tc>
          <w:tcPr>
            <w:tcW w:w="300" w:type="dxa"/>
            <w:vAlign w:val="bottom"/>
          </w:tcPr>
          <w:p>
            <w:pPr>
              <w:spacing w:after="0"/>
              <w:rPr>
                <w:sz w:val="18"/>
                <w:szCs w:val="18"/>
                <w:color w:val="auto"/>
              </w:rPr>
            </w:pPr>
          </w:p>
        </w:tc>
      </w:tr>
      <w:tr>
        <w:trPr>
          <w:trHeight w:val="216"/>
        </w:trPr>
        <w:tc>
          <w:tcPr>
            <w:tcW w:w="4280" w:type="dxa"/>
            <w:vAlign w:val="bottom"/>
            <w:tcBorders>
              <w:bottom w:val="single" w:sz="8" w:color="CFF0FC"/>
            </w:tcBorders>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2044</w:t>
            </w:r>
          </w:p>
        </w:tc>
        <w:tc>
          <w:tcPr>
            <w:tcW w:w="1460" w:type="dxa"/>
            <w:vAlign w:val="bottom"/>
            <w:tcBorders>
              <w:bottom w:val="single" w:sz="8" w:color="CFF0FC"/>
            </w:tcBorders>
            <w:shd w:val="clear" w:color="auto" w:fill="CFF0FC"/>
          </w:tcPr>
          <w:p>
            <w:pPr>
              <w:spacing w:after="0"/>
              <w:rPr>
                <w:sz w:val="18"/>
                <w:szCs w:val="18"/>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5,014,108</w:t>
            </w:r>
          </w:p>
        </w:tc>
        <w:tc>
          <w:tcPr>
            <w:tcW w:w="300" w:type="dxa"/>
            <w:vAlign w:val="bottom"/>
            <w:tcBorders>
              <w:bottom w:val="single" w:sz="8" w:color="CFF0FC"/>
            </w:tcBorders>
            <w:shd w:val="clear" w:color="auto" w:fill="CFF0FC"/>
          </w:tcPr>
          <w:p>
            <w:pPr>
              <w:spacing w:after="0"/>
              <w:rPr>
                <w:sz w:val="18"/>
                <w:szCs w:val="18"/>
                <w:color w:val="auto"/>
              </w:rPr>
            </w:pPr>
          </w:p>
        </w:tc>
      </w:tr>
      <w:tr>
        <w:trPr>
          <w:trHeight w:val="209"/>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39,585,210</w:t>
            </w:r>
          </w:p>
        </w:tc>
        <w:tc>
          <w:tcPr>
            <w:tcW w:w="3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-153670</wp:posOffset>
            </wp:positionV>
            <wp:extent cx="431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0" w:hanging="512"/>
        <w:spacing w:after="0"/>
        <w:tabs>
          <w:tab w:leader="none" w:pos="52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Revenue is disaggregated primarily by geographical market. The Group has one reportable segment (cloud-based services). Contract liabilities include deferred revenue which represents cash received in advance of service being provided.Contract costs include prepaid commissions which are paid in advance and deferred over the life of the contract. These prepaid commissions are included in prepaid expenses and deposits.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by geography</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270,805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301,842</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8,361,218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11,763,759</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16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5,722,919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4,915,000</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Australia</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1,223,946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783,420</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6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3,003,926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1,780,000</w:t>
            </w:r>
          </w:p>
        </w:tc>
        <w:tc>
          <w:tcPr>
            <w:tcW w:w="100" w:type="dxa"/>
            <w:vAlign w:val="bottom"/>
          </w:tcPr>
          <w:p>
            <w:pPr>
              <w:spacing w:after="0"/>
              <w:rPr>
                <w:sz w:val="18"/>
                <w:szCs w:val="18"/>
                <w:color w:val="auto"/>
              </w:rPr>
            </w:pPr>
          </w:p>
        </w:tc>
      </w:tr>
      <w:tr>
        <w:trPr>
          <w:trHeight w:val="216"/>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308,120</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18,890,934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19,848,821</w:t>
            </w:r>
          </w:p>
        </w:tc>
        <w:tc>
          <w:tcPr>
            <w:tcW w:w="100" w:type="dxa"/>
            <w:vAlign w:val="bottom"/>
          </w:tcPr>
          <w:p>
            <w:pPr>
              <w:spacing w:after="0"/>
              <w:rPr>
                <w:sz w:val="18"/>
                <w:szCs w:val="18"/>
                <w:color w:val="auto"/>
              </w:rPr>
            </w:pPr>
          </w:p>
        </w:tc>
      </w:tr>
      <w:tr>
        <w:trPr>
          <w:trHeight w:val="21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Contract costs (included in prepaid expenses and deposits)</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561,085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422,123</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679,520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831,259</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(included in sales and marketing expenses)</w:t>
            </w:r>
          </w:p>
        </w:tc>
        <w:tc>
          <w:tcPr>
            <w:tcW w:w="166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(573,611)</w:t>
            </w:r>
          </w:p>
        </w:tc>
        <w:tc>
          <w:tcPr>
            <w:tcW w:w="14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(692,297)</w:t>
            </w:r>
          </w:p>
        </w:tc>
      </w:tr>
      <w:tr>
        <w:trPr>
          <w:trHeight w:val="210"/>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1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666,994</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561,085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revenue</w:t>
            </w:r>
          </w:p>
        </w:tc>
        <w:tc>
          <w:tcPr>
            <w:tcW w:w="1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8,118,419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4,854,243</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6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19,785,348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22,719,505</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recognized to revenue</w:t>
            </w:r>
          </w:p>
        </w:tc>
        <w:tc>
          <w:tcPr>
            <w:tcW w:w="16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(18,552,081)</w:t>
            </w:r>
          </w:p>
        </w:tc>
        <w:tc>
          <w:tcPr>
            <w:tcW w:w="1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(19,455,329)</w:t>
            </w:r>
          </w:p>
        </w:tc>
      </w:tr>
      <w:tr>
        <w:trPr>
          <w:trHeight w:val="209"/>
        </w:trPr>
        <w:tc>
          <w:tcPr>
            <w:tcW w:w="6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16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9,351,686</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8,118,419</w:t>
            </w:r>
          </w:p>
        </w:tc>
        <w:tc>
          <w:tcPr>
            <w:tcW w:w="10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-1559560</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-710565</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w:t>
            </w: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Contributed surplus</w:t>
            </w:r>
          </w:p>
        </w:tc>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88"/>
        </w:trPr>
        <w:tc>
          <w:tcPr>
            <w:tcW w:w="3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r>
      <w:tr>
        <w:trPr>
          <w:trHeight w:val="209"/>
        </w:trPr>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6,215,028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6,085,161</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 (Note 12)</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76,052</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129,867</w:t>
            </w:r>
          </w:p>
        </w:tc>
        <w:tc>
          <w:tcPr>
            <w:tcW w:w="100" w:type="dxa"/>
            <w:vAlign w:val="bottom"/>
          </w:tcPr>
          <w:p>
            <w:pPr>
              <w:spacing w:after="0"/>
              <w:rPr>
                <w:sz w:val="18"/>
                <w:szCs w:val="18"/>
                <w:color w:val="auto"/>
              </w:rPr>
            </w:pPr>
          </w:p>
        </w:tc>
      </w:tr>
      <w:tr>
        <w:trPr>
          <w:trHeight w:val="209"/>
        </w:trPr>
        <w:tc>
          <w:tcPr>
            <w:tcW w:w="4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27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6,291,080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6,215,028</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Group is subject to various claims in the normal course of operations. Litigation is subject to many uncertainties, and the outcome of individual matters is not predictable with assurance. In the opinion of management, based on the advice and information provided by the Group's legal counsel, final determination of these other litigations will not materially affect the Group's financial position or results of operations.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Statement of claim - July 27, 2021</w:t>
      </w:r>
    </w:p>
    <w:p>
      <w:pPr>
        <w:spacing w:after="0" w:line="227"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On July 27, 2021, the Group filed a claim against Wondr Gaming Corp (the "Defendant"), alleging breach of contract and unjust enrichment and seeking $4,136,807 plus interest and costs. The Defendant is contesting the claim.</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September 7, 2021, the Defendant filed a Statement of Defence and Counterclaim in the Ontario Superior Court of Justice against GroupBy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Defendant claims, among other things, the Group's failure to perform the services and misrepresentation and seeks dismissal of the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the Company is counterclaiming seeking damages of $400,000 plus costs for breach of contract and negligent misrepresentation.</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litigation is subject to many uncertainties, it is not possible to predict the ultimate outcome of this claim or to estimate the loss, if any, which may result. Accordingly, the outcome of the claim is not yet determinable, and the extent to which an outflow of funds may be required to settle this possible obligation cannot be reliably measured.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Statement of claim - May 16, 2024</w:t>
      </w:r>
    </w:p>
    <w:p>
      <w:pPr>
        <w:spacing w:after="0" w:line="22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On May 16, 2024, the Group was named as a defendant in a case to recover a payment of $2,500,000 made by Bed Bath &amp; Beyond Inc. ("BBB") to the Company on February 20, 2023.</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191" w:name="page192"/>
    <w:bookmarkEnd w:id="191"/>
    <w:p>
      <w:pPr>
        <w:ind w:firstLine="509"/>
        <w:spacing w:after="0" w:line="266" w:lineRule="auto"/>
        <w:rPr>
          <w:sz w:val="20"/>
          <w:szCs w:val="20"/>
          <w:color w:val="auto"/>
        </w:rPr>
      </w:pPr>
      <w:r>
        <w:rPr>
          <w:rFonts w:ascii="Times New Roman" w:cs="Times New Roman" w:eastAsia="Times New Roman" w:hAnsi="Times New Roman"/>
          <w:sz w:val="18"/>
          <w:szCs w:val="18"/>
          <w:color w:val="auto"/>
        </w:rPr>
        <w:t>As litigation is subject to many uncertainties, it is not possible to predict the ultimate outcome of this claim or to estimate the loss, if any, which may result. Accordingly, the outcome of the claim is not yet determinable, and the extent to which an outflow of funds may be required to settle this possible obligation cannot be reliably measured.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Subsequent to year end, Rezolve AI plc ("Rezolve") acquired all issued and outstanding shares of the Group in exchange for 3,999,902 shares in Rezolve. Upon acquisition of the shares, the Group entered into a novation agreement to novate its rights, benefits, obligations, and liabilities under the bank indebtedness to Rezolve. The options outstanding as of the closing date were deemed to be underwater and cancelled on the closing date, in accordance with the terms of the option plan and existing option agreements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Rezolve’s articles of association provide that, to the extent permitted by the U.K. Companies Act, Rezolve may indemnify its directors against and every other officer of the company against any liability incurred by such director or officer for any negligence, default, breach of duty or breach of trust or otherwise in relation to the affairs or activities of Rezolve or any associated company. In addition, Rezolve will from Closing maintain directors’ and officers’ insurance to insure such persons against certain liabilities.</w:t>
      </w:r>
    </w:p>
    <w:p>
      <w:pPr>
        <w:spacing w:after="0" w:line="180"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Insofar as indemnification of liabilities arising under the Securities Act may be permitted to our board, executive officers or persons controlling us pursuant to the foregoing provisions, we have been advised that, in the opinion of the SEC, such indemnification is against public policy as expressed in the Securities Act and is therefore unenforceable.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Recent Sales of Unregistered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Set forth below is information regarding all securities sold or granted by us within the past three years that were not registered under the Securities Act and the consideration, if any, received by us for such securities: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Rezolve Limited issued Convertible Notes in the aggregate principal amount of up to $49,892,080 pursuant to a Convertible Note instrument originally made by Rezolve Limited and dated December 16, 2021, as amended and restated on November 21, 2022 and May 23, 2023 and as amended on December 18, 2023, December 29 2023 and as further amended and restated on January 26, 2024, and novated from Rezolve Limited to the Company at time of the Pre-Closing Demerger by a deed of novation dated July 4, 2024. The Convertible Notes were not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Closing, the Company issued a total of 569,982 private warrants to holders of Promissory Notes pursuant to the Company's obligations under the subscription agreements entered into between the Company, Rezolve Limited and the holders of Promissory Notes in February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 and Financial Statements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(a)Exhibits</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3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Borders>
              <w:top w:val="single" w:sz="8" w:color="auto"/>
            </w:tcBorders>
          </w:tcPr>
          <w:p>
            <w:pPr>
              <w:spacing w:after="0"/>
              <w:rPr>
                <w:sz w:val="18"/>
                <w:szCs w:val="18"/>
                <w:color w:val="auto"/>
              </w:rPr>
            </w:pPr>
          </w:p>
        </w:tc>
        <w:tc>
          <w:tcPr>
            <w:tcW w:w="9820" w:type="dxa"/>
            <w:vAlign w:val="bottom"/>
            <w:tcBorders>
              <w:top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55"/>
        </w:trPr>
        <w:tc>
          <w:tcPr>
            <w:tcW w:w="13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Borders>
              <w:bottom w:val="single" w:sz="8" w:color="auto"/>
            </w:tcBorders>
          </w:tcPr>
          <w:p>
            <w:pPr>
              <w:spacing w:after="0"/>
              <w:rPr>
                <w:sz w:val="22"/>
                <w:szCs w:val="22"/>
                <w:color w:val="auto"/>
              </w:rPr>
            </w:pPr>
          </w:p>
        </w:tc>
        <w:tc>
          <w:tcPr>
            <w:tcW w:w="37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r>
      <w:tr>
        <w:trPr>
          <w:trHeight w:val="152"/>
        </w:trPr>
        <w:tc>
          <w:tcPr>
            <w:tcW w:w="1320" w:type="dxa"/>
            <w:vAlign w:val="bottom"/>
            <w:tcBorders>
              <w:right w:val="single" w:sz="8" w:color="auto"/>
            </w:tcBorders>
          </w:tcPr>
          <w:p>
            <w:pPr>
              <w:ind w:left="120"/>
              <w:spacing w:after="0" w:line="152" w:lineRule="exact"/>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3"/>
                <w:szCs w:val="13"/>
                <w:color w:val="auto"/>
              </w:rPr>
            </w:pPr>
          </w:p>
        </w:tc>
        <w:tc>
          <w:tcPr>
            <w:tcW w:w="9700" w:type="dxa"/>
            <w:vAlign w:val="bottom"/>
            <w:tcBorders>
              <w:bottom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624">
              <w:r>
                <w:rPr>
                  <w:rFonts w:ascii="Times New Roman" w:cs="Times New Roman" w:eastAsia="Times New Roman" w:hAnsi="Times New Roman"/>
                  <w:sz w:val="17"/>
                  <w:szCs w:val="17"/>
                  <w:color w:val="0000FF"/>
                </w:rPr>
                <w:t>Business Combination Agreement, dated December 17, 2021, as amended on November 10, 2022 and as further amended and restated</w:t>
              </w:r>
            </w:hyperlink>
          </w:p>
        </w:tc>
        <w:tc>
          <w:tcPr>
            <w:tcW w:w="120" w:type="dxa"/>
            <w:vAlign w:val="bottom"/>
            <w:tcBorders>
              <w:right w:val="single" w:sz="8" w:color="auto"/>
            </w:tcBorders>
          </w:tcPr>
          <w:p>
            <w:pPr>
              <w:spacing w:after="0"/>
              <w:rPr>
                <w:sz w:val="13"/>
                <w:szCs w:val="13"/>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3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624">
              <w:r>
                <w:rPr>
                  <w:rFonts w:ascii="Times New Roman" w:cs="Times New Roman" w:eastAsia="Times New Roman" w:hAnsi="Times New Roman"/>
                  <w:sz w:val="18"/>
                  <w:szCs w:val="18"/>
                  <w:color w:val="0000FF"/>
                </w:rPr>
                <w:t>on June 16, 2023, as amended on August 4, 2023 (incorporated by reference to Exhibit 2.1 of Rezolve AI Limited’s Registration</w:t>
              </w:r>
            </w:hyperlink>
          </w:p>
        </w:tc>
        <w:tc>
          <w:tcPr>
            <w:tcW w:w="520" w:type="dxa"/>
            <w:vAlign w:val="bottom"/>
            <w:tcBorders>
              <w:right w:val="single" w:sz="8" w:color="auto"/>
            </w:tcBorders>
            <w:gridSpan w:val="6"/>
          </w:tcPr>
          <w:p>
            <w:pPr>
              <w:spacing w:after="0"/>
              <w:rPr>
                <w:sz w:val="17"/>
                <w:szCs w:val="17"/>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right w:val="single" w:sz="8" w:color="auto"/>
            </w:tcBorders>
            <w:gridSpan w:val="10"/>
          </w:tcPr>
          <w:p>
            <w:pPr>
              <w:spacing w:after="0" w:line="196" w:lineRule="exact"/>
              <w:rPr>
                <w:rFonts w:ascii="Times New Roman" w:cs="Times New Roman" w:eastAsia="Times New Roman" w:hAnsi="Times New Roman"/>
                <w:sz w:val="18"/>
                <w:szCs w:val="18"/>
                <w:color w:val="0000FF"/>
              </w:rPr>
            </w:pPr>
            <w:hyperlink r:id="rId624">
              <w:r>
                <w:rPr>
                  <w:rFonts w:ascii="Times New Roman" w:cs="Times New Roman" w:eastAsia="Times New Roman" w:hAnsi="Times New Roman"/>
                  <w:sz w:val="18"/>
                  <w:szCs w:val="18"/>
                  <w:color w:val="0000FF"/>
                </w:rPr>
                <w:t>Statement on Form F-4, Amendment No. 2, filed with the SEC on September 25, 2023).</w:t>
              </w:r>
            </w:hyperlink>
          </w:p>
        </w:tc>
      </w:tr>
      <w:tr>
        <w:trPr>
          <w:trHeight w:val="20"/>
        </w:trPr>
        <w:tc>
          <w:tcPr>
            <w:tcW w:w="13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6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3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4"/>
                <w:szCs w:val="14"/>
                <w:color w:val="auto"/>
              </w:rPr>
            </w:pPr>
          </w:p>
        </w:tc>
        <w:tc>
          <w:tcPr>
            <w:tcW w:w="932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rPr>
            </w:pPr>
            <w:hyperlink r:id="rId625">
              <w:r>
                <w:rPr>
                  <w:rFonts w:ascii="Times New Roman" w:cs="Times New Roman" w:eastAsia="Times New Roman" w:hAnsi="Times New Roman"/>
                  <w:sz w:val="18"/>
                  <w:szCs w:val="18"/>
                  <w:color w:val="0000FF"/>
                </w:rPr>
                <w:t>First Amendment to the Business Combination Agreement, dated as of August 4, 2023, by and among Armada Rezolve Limited,</w:t>
              </w:r>
            </w:hyperlink>
          </w:p>
        </w:tc>
        <w:tc>
          <w:tcPr>
            <w:tcW w:w="500" w:type="dxa"/>
            <w:vAlign w:val="bottom"/>
            <w:tcBorders>
              <w:right w:val="single" w:sz="8" w:color="auto"/>
            </w:tcBorders>
            <w:gridSpan w:val="5"/>
          </w:tcPr>
          <w:p>
            <w:pPr>
              <w:spacing w:after="0"/>
              <w:rPr>
                <w:sz w:val="14"/>
                <w:szCs w:val="14"/>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625">
              <w:r>
                <w:rPr>
                  <w:rFonts w:ascii="Times New Roman" w:cs="Times New Roman" w:eastAsia="Times New Roman" w:hAnsi="Times New Roman"/>
                  <w:sz w:val="18"/>
                  <w:szCs w:val="18"/>
                  <w:color w:val="0000FF"/>
                </w:rPr>
                <w:t>Rezolve and Rezolve Merger Sub (incorporated by reference to Exhibit 2.2 of Rezolve AI Limited’s Registration Statement on Form</w:t>
              </w:r>
            </w:hyperlink>
          </w:p>
        </w:tc>
        <w:tc>
          <w:tcPr>
            <w:tcW w:w="220" w:type="dxa"/>
            <w:vAlign w:val="bottom"/>
            <w:tcBorders>
              <w:right w:val="single" w:sz="8" w:color="auto"/>
            </w:tcBorders>
            <w:gridSpan w:val="3"/>
          </w:tcPr>
          <w:p>
            <w:pPr>
              <w:spacing w:after="0"/>
              <w:rPr>
                <w:sz w:val="17"/>
                <w:szCs w:val="17"/>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right w:val="single" w:sz="8" w:color="auto"/>
            </w:tcBorders>
            <w:gridSpan w:val="10"/>
          </w:tcPr>
          <w:p>
            <w:pPr>
              <w:spacing w:after="0" w:line="196" w:lineRule="exact"/>
              <w:rPr>
                <w:rFonts w:ascii="Times New Roman" w:cs="Times New Roman" w:eastAsia="Times New Roman" w:hAnsi="Times New Roman"/>
                <w:sz w:val="18"/>
                <w:szCs w:val="18"/>
                <w:color w:val="0000FF"/>
              </w:rPr>
            </w:pPr>
            <w:hyperlink r:id="rId625">
              <w:r>
                <w:rPr>
                  <w:rFonts w:ascii="Times New Roman" w:cs="Times New Roman" w:eastAsia="Times New Roman" w:hAnsi="Times New Roman"/>
                  <w:sz w:val="18"/>
                  <w:szCs w:val="18"/>
                  <w:color w:val="0000FF"/>
                </w:rPr>
                <w:t>F-4, Amendment No. 2, filed with the SEC on September 25, 2023).</w:t>
              </w:r>
            </w:hyperlink>
          </w:p>
        </w:tc>
      </w:tr>
      <w:tr>
        <w:trPr>
          <w:trHeight w:val="21"/>
        </w:trPr>
        <w:tc>
          <w:tcPr>
            <w:tcW w:w="13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6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3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9660" w:type="dxa"/>
            <w:vAlign w:val="bottom"/>
            <w:tcBorders>
              <w:bottom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626">
              <w:r>
                <w:rPr>
                  <w:rFonts w:ascii="Times New Roman" w:cs="Times New Roman" w:eastAsia="Times New Roman" w:hAnsi="Times New Roman"/>
                  <w:sz w:val="18"/>
                  <w:szCs w:val="18"/>
                  <w:color w:val="0000FF"/>
                </w:rPr>
                <w:t>Amended and Restated Memorandum and Articles of Association of Rezolve (incorporated by reference to Exhibit 3.1 of Rezolve AI</w:t>
              </w:r>
            </w:hyperlink>
          </w:p>
        </w:tc>
        <w:tc>
          <w:tcPr>
            <w:tcW w:w="160" w:type="dxa"/>
            <w:vAlign w:val="bottom"/>
            <w:tcBorders>
              <w:right w:val="single" w:sz="8" w:color="auto"/>
            </w:tcBorders>
            <w:gridSpan w:val="2"/>
          </w:tcPr>
          <w:p>
            <w:pPr>
              <w:spacing w:after="0"/>
              <w:rPr>
                <w:sz w:val="14"/>
                <w:szCs w:val="14"/>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right w:val="single" w:sz="8" w:color="auto"/>
            </w:tcBorders>
            <w:gridSpan w:val="10"/>
          </w:tcPr>
          <w:p>
            <w:pPr>
              <w:spacing w:after="0" w:line="196" w:lineRule="exact"/>
              <w:rPr>
                <w:rFonts w:ascii="Times New Roman" w:cs="Times New Roman" w:eastAsia="Times New Roman" w:hAnsi="Times New Roman"/>
                <w:sz w:val="18"/>
                <w:szCs w:val="18"/>
                <w:color w:val="0000FF"/>
              </w:rPr>
            </w:pPr>
            <w:hyperlink r:id="rId626">
              <w:r>
                <w:rPr>
                  <w:rFonts w:ascii="Times New Roman" w:cs="Times New Roman" w:eastAsia="Times New Roman" w:hAnsi="Times New Roman"/>
                  <w:sz w:val="18"/>
                  <w:szCs w:val="18"/>
                  <w:color w:val="0000FF"/>
                </w:rPr>
                <w:t>Limited’s Shell Company Report on Form 20-F, filed with the SEC on April 24, 2025).</w:t>
              </w:r>
            </w:hyperlink>
          </w:p>
        </w:tc>
      </w:tr>
      <w:tr>
        <w:trPr>
          <w:trHeight w:val="21"/>
        </w:trPr>
        <w:tc>
          <w:tcPr>
            <w:tcW w:w="13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6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1420" w:type="dxa"/>
            <w:vAlign w:val="bottom"/>
            <w:tcBorders>
              <w:top w:val="single" w:sz="8" w:color="0000EE"/>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3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4"/>
                <w:szCs w:val="14"/>
                <w:color w:val="auto"/>
              </w:rPr>
            </w:pPr>
          </w:p>
        </w:tc>
        <w:tc>
          <w:tcPr>
            <w:tcW w:w="9600" w:type="dxa"/>
            <w:vAlign w:val="bottom"/>
            <w:tcBorders>
              <w:bottom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627">
              <w:r>
                <w:rPr>
                  <w:rFonts w:ascii="Times New Roman" w:cs="Times New Roman" w:eastAsia="Times New Roman" w:hAnsi="Times New Roman"/>
                  <w:sz w:val="18"/>
                  <w:szCs w:val="18"/>
                  <w:color w:val="0000FF"/>
                </w:rPr>
                <w:t>Specimen of Ordinary Share Certificate (incorporated by reference to Exhibit 2.1 of Rezolve AI Limited’s Shell Company Report on</w:t>
              </w:r>
            </w:hyperlink>
          </w:p>
        </w:tc>
        <w:tc>
          <w:tcPr>
            <w:tcW w:w="220" w:type="dxa"/>
            <w:vAlign w:val="bottom"/>
            <w:tcBorders>
              <w:right w:val="single" w:sz="8" w:color="auto"/>
            </w:tcBorders>
            <w:gridSpan w:val="3"/>
          </w:tcPr>
          <w:p>
            <w:pPr>
              <w:spacing w:after="0"/>
              <w:rPr>
                <w:sz w:val="14"/>
                <w:szCs w:val="14"/>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right w:val="single" w:sz="8" w:color="auto"/>
            </w:tcBorders>
            <w:gridSpan w:val="10"/>
          </w:tcPr>
          <w:p>
            <w:pPr>
              <w:spacing w:after="0" w:line="196" w:lineRule="exact"/>
              <w:rPr>
                <w:rFonts w:ascii="Times New Roman" w:cs="Times New Roman" w:eastAsia="Times New Roman" w:hAnsi="Times New Roman"/>
                <w:sz w:val="18"/>
                <w:szCs w:val="18"/>
                <w:color w:val="0000FF"/>
              </w:rPr>
            </w:pPr>
            <w:hyperlink r:id="rId627">
              <w:r>
                <w:rPr>
                  <w:rFonts w:ascii="Times New Roman" w:cs="Times New Roman" w:eastAsia="Times New Roman" w:hAnsi="Times New Roman"/>
                  <w:sz w:val="18"/>
                  <w:szCs w:val="18"/>
                  <w:color w:val="0000FF"/>
                </w:rPr>
                <w:t>Form 20-F, filed with the SEC on August 22, 2024).</w:t>
              </w:r>
            </w:hyperlink>
          </w:p>
        </w:tc>
      </w:tr>
      <w:tr>
        <w:trPr>
          <w:trHeight w:val="20"/>
        </w:trPr>
        <w:tc>
          <w:tcPr>
            <w:tcW w:w="13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6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3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4"/>
                <w:szCs w:val="14"/>
                <w:color w:val="auto"/>
              </w:rPr>
            </w:pPr>
          </w:p>
        </w:tc>
        <w:tc>
          <w:tcPr>
            <w:tcW w:w="9540" w:type="dxa"/>
            <w:vAlign w:val="bottom"/>
            <w:tcBorders>
              <w:bottom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628">
              <w:r>
                <w:rPr>
                  <w:rFonts w:ascii="Times New Roman" w:cs="Times New Roman" w:eastAsia="Times New Roman" w:hAnsi="Times New Roman"/>
                  <w:sz w:val="18"/>
                  <w:szCs w:val="18"/>
                  <w:color w:val="0000FF"/>
                </w:rPr>
                <w:t>Specimen Rezolve Warrant Certificate (incorporated by reference to Exhibit 2.2 of Rezolve AI Limited’s Shell Company Report on</w:t>
              </w:r>
            </w:hyperlink>
          </w:p>
        </w:tc>
        <w:tc>
          <w:tcPr>
            <w:tcW w:w="280" w:type="dxa"/>
            <w:vAlign w:val="bottom"/>
            <w:tcBorders>
              <w:right w:val="single" w:sz="8" w:color="auto"/>
            </w:tcBorders>
            <w:gridSpan w:val="4"/>
          </w:tcPr>
          <w:p>
            <w:pPr>
              <w:spacing w:after="0"/>
              <w:rPr>
                <w:sz w:val="14"/>
                <w:szCs w:val="14"/>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right w:val="single" w:sz="8" w:color="auto"/>
            </w:tcBorders>
            <w:gridSpan w:val="10"/>
          </w:tcPr>
          <w:p>
            <w:pPr>
              <w:spacing w:after="0" w:line="196" w:lineRule="exact"/>
              <w:rPr>
                <w:rFonts w:ascii="Times New Roman" w:cs="Times New Roman" w:eastAsia="Times New Roman" w:hAnsi="Times New Roman"/>
                <w:sz w:val="18"/>
                <w:szCs w:val="18"/>
                <w:color w:val="0000FF"/>
              </w:rPr>
            </w:pPr>
            <w:hyperlink r:id="rId628">
              <w:r>
                <w:rPr>
                  <w:rFonts w:ascii="Times New Roman" w:cs="Times New Roman" w:eastAsia="Times New Roman" w:hAnsi="Times New Roman"/>
                  <w:sz w:val="18"/>
                  <w:szCs w:val="18"/>
                  <w:color w:val="0000FF"/>
                </w:rPr>
                <w:t>Form 20-F, filed with the SEC on August 22, 2024).</w:t>
              </w:r>
            </w:hyperlink>
          </w:p>
        </w:tc>
      </w:tr>
      <w:tr>
        <w:trPr>
          <w:trHeight w:val="20"/>
        </w:trPr>
        <w:tc>
          <w:tcPr>
            <w:tcW w:w="13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6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II-1</w:t>
            </w: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1320" w:type="dxa"/>
            <w:vAlign w:val="bottom"/>
            <w:tcBorders>
              <w:bottom w:val="single" w:sz="8" w:color="A0A0A0"/>
            </w:tcBorders>
          </w:tcPr>
          <w:p>
            <w:pPr>
              <w:spacing w:after="0"/>
              <w:rPr>
                <w:sz w:val="18"/>
                <w:szCs w:val="18"/>
                <w:color w:val="auto"/>
              </w:rPr>
            </w:pPr>
          </w:p>
        </w:tc>
        <w:tc>
          <w:tcPr>
            <w:tcW w:w="100" w:type="dxa"/>
            <w:vAlign w:val="bottom"/>
            <w:tcBorders>
              <w:bottom w:val="single" w:sz="8" w:color="A0A0A0"/>
            </w:tcBorders>
          </w:tcPr>
          <w:p>
            <w:pPr>
              <w:spacing w:after="0"/>
              <w:rPr>
                <w:sz w:val="18"/>
                <w:szCs w:val="18"/>
                <w:color w:val="auto"/>
              </w:rPr>
            </w:pPr>
          </w:p>
        </w:tc>
        <w:tc>
          <w:tcPr>
            <w:tcW w:w="3760" w:type="dxa"/>
            <w:vAlign w:val="bottom"/>
            <w:tcBorders>
              <w:bottom w:val="single" w:sz="8" w:color="A0A0A0"/>
            </w:tcBorders>
          </w:tcPr>
          <w:p>
            <w:pPr>
              <w:spacing w:after="0"/>
              <w:rPr>
                <w:sz w:val="18"/>
                <w:szCs w:val="18"/>
                <w:color w:val="auto"/>
              </w:rPr>
            </w:pPr>
          </w:p>
        </w:tc>
        <w:tc>
          <w:tcPr>
            <w:tcW w:w="1160" w:type="dxa"/>
            <w:vAlign w:val="bottom"/>
            <w:tcBorders>
              <w:bottom w:val="single" w:sz="8" w:color="A0A0A0"/>
            </w:tcBorders>
          </w:tcPr>
          <w:p>
            <w:pPr>
              <w:spacing w:after="0"/>
              <w:rPr>
                <w:sz w:val="18"/>
                <w:szCs w:val="18"/>
                <w:color w:val="auto"/>
              </w:rPr>
            </w:pPr>
          </w:p>
        </w:tc>
        <w:tc>
          <w:tcPr>
            <w:tcW w:w="1420" w:type="dxa"/>
            <w:vAlign w:val="bottom"/>
            <w:tcBorders>
              <w:bottom w:val="single" w:sz="8" w:color="A0A0A0"/>
            </w:tcBorders>
          </w:tcPr>
          <w:p>
            <w:pPr>
              <w:spacing w:after="0"/>
              <w:rPr>
                <w:sz w:val="18"/>
                <w:szCs w:val="18"/>
                <w:color w:val="auto"/>
              </w:rPr>
            </w:pPr>
          </w:p>
        </w:tc>
        <w:tc>
          <w:tcPr>
            <w:tcW w:w="296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220" w:type="dxa"/>
            <w:vAlign w:val="bottom"/>
            <w:tcBorders>
              <w:bottom w:val="single" w:sz="8" w:color="A0A0A0"/>
            </w:tcBorders>
          </w:tcPr>
          <w:p>
            <w:pPr>
              <w:spacing w:after="0"/>
              <w:rPr>
                <w:sz w:val="18"/>
                <w:szCs w:val="18"/>
                <w:color w:val="auto"/>
              </w:rPr>
            </w:pPr>
          </w:p>
        </w:tc>
        <w:tc>
          <w:tcPr>
            <w:tcW w:w="60" w:type="dxa"/>
            <w:vAlign w:val="bottom"/>
            <w:tcBorders>
              <w:bottom w:val="single" w:sz="8" w:color="A0A0A0"/>
            </w:tcBorders>
          </w:tcPr>
          <w:p>
            <w:pPr>
              <w:spacing w:after="0"/>
              <w:rPr>
                <w:sz w:val="18"/>
                <w:szCs w:val="18"/>
                <w:color w:val="auto"/>
              </w:rPr>
            </w:pPr>
          </w:p>
        </w:tc>
        <w:tc>
          <w:tcPr>
            <w:tcW w:w="6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120" w:type="dxa"/>
            <w:vAlign w:val="bottom"/>
            <w:tcBorders>
              <w:bottom w:val="single" w:sz="8" w:color="A0A0A0"/>
            </w:tcBorders>
          </w:tcPr>
          <w:p>
            <w:pPr>
              <w:spacing w:after="0"/>
              <w:rPr>
                <w:sz w:val="18"/>
                <w:szCs w:val="18"/>
                <w:color w:val="auto"/>
              </w:rPr>
            </w:pPr>
          </w:p>
        </w:tc>
      </w:tr>
      <w:tr>
        <w:trPr>
          <w:trHeight w:val="1539"/>
        </w:trPr>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3" w:name="page194"/>
    <w:bookmarkEnd w:id="193"/>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9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7"/>
                <w:szCs w:val="17"/>
                <w:color w:val="auto"/>
              </w:rPr>
            </w:pPr>
          </w:p>
        </w:tc>
        <w:tc>
          <w:tcPr>
            <w:tcW w:w="98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631">
              <w:r>
                <w:rPr>
                  <w:rFonts w:ascii="Times New Roman" w:cs="Times New Roman" w:eastAsia="Times New Roman" w:hAnsi="Times New Roman"/>
                  <w:sz w:val="18"/>
                  <w:szCs w:val="18"/>
                  <w:color w:val="0000FF"/>
                </w:rPr>
                <w:t>Warrant Agreement, dated August 15, 2024, by and among Rezolve AI Limited and Computershare Inc. and its affiliate, Computershare</w:t>
              </w:r>
            </w:hyperlink>
          </w:p>
        </w:tc>
        <w:tc>
          <w:tcPr>
            <w:tcW w:w="340" w:type="dxa"/>
            <w:vAlign w:val="bottom"/>
            <w:tcBorders>
              <w:right w:val="single" w:sz="8" w:color="auto"/>
            </w:tcBorders>
            <w:gridSpan w:val="10"/>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94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631">
              <w:r>
                <w:rPr>
                  <w:rFonts w:ascii="Times New Roman" w:cs="Times New Roman" w:eastAsia="Times New Roman" w:hAnsi="Times New Roman"/>
                  <w:sz w:val="18"/>
                  <w:szCs w:val="18"/>
                  <w:color w:val="0000FF"/>
                </w:rPr>
                <w:t>Trust Company, N.A. (incorporated by reference to Exhibit 4.3 of Rezolve AI Limited’s Shell Company Report on Form 20-F, filed with</w:t>
              </w:r>
            </w:hyperlink>
          </w:p>
        </w:tc>
        <w:tc>
          <w:tcPr>
            <w:tcW w:w="280" w:type="dxa"/>
            <w:vAlign w:val="bottom"/>
            <w:tcBorders>
              <w:right w:val="single" w:sz="8" w:color="auto"/>
            </w:tcBorders>
            <w:gridSpan w:val="8"/>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31">
              <w:r>
                <w:rPr>
                  <w:rFonts w:ascii="Times New Roman" w:cs="Times New Roman" w:eastAsia="Times New Roman" w:hAnsi="Times New Roman"/>
                  <w:sz w:val="18"/>
                  <w:szCs w:val="18"/>
                  <w:color w:val="0000FF"/>
                </w:rPr>
                <w:t>the SEC on August 22,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4"/>
                <w:szCs w:val="14"/>
                <w:color w:val="auto"/>
              </w:rPr>
            </w:pPr>
          </w:p>
        </w:tc>
        <w:tc>
          <w:tcPr>
            <w:tcW w:w="9200" w:type="dxa"/>
            <w:vAlign w:val="bottom"/>
            <w:tcBorders>
              <w:bottom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632">
              <w:r>
                <w:rPr>
                  <w:rFonts w:ascii="Times New Roman" w:cs="Times New Roman" w:eastAsia="Times New Roman" w:hAnsi="Times New Roman"/>
                  <w:sz w:val="18"/>
                  <w:szCs w:val="18"/>
                  <w:color w:val="0000FF"/>
                </w:rPr>
                <w:t>Warrant Assignment, Assumption and Amendment Agreement, dated August 15, 2024, by and among Rezolve AI Limited and</w:t>
              </w:r>
            </w:hyperlink>
          </w:p>
        </w:tc>
        <w:tc>
          <w:tcPr>
            <w:tcW w:w="1020" w:type="dxa"/>
            <w:vAlign w:val="bottom"/>
            <w:tcBorders>
              <w:right w:val="single" w:sz="8" w:color="auto"/>
            </w:tcBorders>
            <w:gridSpan w:val="22"/>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4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632">
              <w:r>
                <w:rPr>
                  <w:rFonts w:ascii="Times New Roman" w:cs="Times New Roman" w:eastAsia="Times New Roman" w:hAnsi="Times New Roman"/>
                  <w:sz w:val="18"/>
                  <w:szCs w:val="18"/>
                  <w:color w:val="0000FF"/>
                </w:rPr>
                <w:t>Computershare Inc. and its affiliate, Computershare Trust Company, N.A. (incorporated by reference to Exhibit 4.4 of Rezolve AI</w:t>
              </w:r>
            </w:hyperlink>
          </w:p>
        </w:tc>
        <w:tc>
          <w:tcPr>
            <w:tcW w:w="780" w:type="dxa"/>
            <w:vAlign w:val="bottom"/>
            <w:tcBorders>
              <w:right w:val="single" w:sz="8" w:color="auto"/>
            </w:tcBorders>
            <w:gridSpan w:val="20"/>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32">
              <w:r>
                <w:rPr>
                  <w:rFonts w:ascii="Times New Roman" w:cs="Times New Roman" w:eastAsia="Times New Roman" w:hAnsi="Times New Roman"/>
                  <w:sz w:val="18"/>
                  <w:szCs w:val="18"/>
                  <w:color w:val="0000FF"/>
                </w:rPr>
                <w:t>Limited’s Shell Company Report on Form 20-F, filed with the SEC on August 22, 2024).</w:t>
              </w:r>
            </w:hyperlink>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4"/>
                <w:szCs w:val="14"/>
                <w:color w:val="auto"/>
              </w:rPr>
            </w:pPr>
          </w:p>
        </w:tc>
        <w:tc>
          <w:tcPr>
            <w:tcW w:w="9660" w:type="dxa"/>
            <w:vAlign w:val="bottom"/>
            <w:tcBorders>
              <w:bottom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633">
              <w:r>
                <w:rPr>
                  <w:rFonts w:ascii="Times New Roman" w:cs="Times New Roman" w:eastAsia="Times New Roman" w:hAnsi="Times New Roman"/>
                  <w:sz w:val="18"/>
                  <w:szCs w:val="18"/>
                  <w:color w:val="0000FF"/>
                </w:rPr>
                <w:t>Investor Rights Agreement, dated August 15, 2024, by and among Rezolve AI Limited and the holders party thereto (incorporated by</w:t>
              </w:r>
            </w:hyperlink>
          </w:p>
        </w:tc>
        <w:tc>
          <w:tcPr>
            <w:tcW w:w="560" w:type="dxa"/>
            <w:vAlign w:val="bottom"/>
            <w:tcBorders>
              <w:right w:val="single" w:sz="8" w:color="auto"/>
            </w:tcBorders>
            <w:gridSpan w:val="17"/>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33">
              <w:r>
                <w:rPr>
                  <w:rFonts w:ascii="Times New Roman" w:cs="Times New Roman" w:eastAsia="Times New Roman" w:hAnsi="Times New Roman"/>
                  <w:sz w:val="18"/>
                  <w:szCs w:val="18"/>
                  <w:color w:val="0000FF"/>
                </w:rPr>
                <w:t>reference to Exhibit 4.6 of Rezolve AI Limited’s Shell Company Report on Form 20-F, filed with the SEC on August 22,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4"/>
                <w:szCs w:val="14"/>
                <w:color w:val="auto"/>
              </w:rPr>
            </w:pPr>
          </w:p>
        </w:tc>
        <w:tc>
          <w:tcPr>
            <w:tcW w:w="9760" w:type="dxa"/>
            <w:vAlign w:val="bottom"/>
            <w:tcBorders>
              <w:bottom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634">
              <w:r>
                <w:rPr>
                  <w:rFonts w:ascii="Times New Roman" w:cs="Times New Roman" w:eastAsia="Times New Roman" w:hAnsi="Times New Roman"/>
                  <w:sz w:val="18"/>
                  <w:szCs w:val="18"/>
                  <w:color w:val="0000FF"/>
                </w:rPr>
                <w:t>Form of Lock-In Agreement, dated August 15, 2024, by and among Rezolve AI Limited and the holders party thereto (incorporated by</w:t>
              </w:r>
            </w:hyperlink>
          </w:p>
        </w:tc>
        <w:tc>
          <w:tcPr>
            <w:tcW w:w="460" w:type="dxa"/>
            <w:vAlign w:val="bottom"/>
            <w:tcBorders>
              <w:right w:val="single" w:sz="8" w:color="auto"/>
            </w:tcBorders>
            <w:gridSpan w:val="14"/>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34">
              <w:r>
                <w:rPr>
                  <w:rFonts w:ascii="Times New Roman" w:cs="Times New Roman" w:eastAsia="Times New Roman" w:hAnsi="Times New Roman"/>
                  <w:sz w:val="18"/>
                  <w:szCs w:val="18"/>
                  <w:color w:val="0000FF"/>
                </w:rPr>
                <w:t>reference to Exhibit 4.7 of Rezolve AI Limited’s Shell Company Report on Form 20-F, filed with the SEC on August 22, 2024).</w:t>
              </w:r>
            </w:hyperlink>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4"/>
                <w:szCs w:val="14"/>
                <w:color w:val="auto"/>
              </w:rPr>
            </w:pPr>
          </w:p>
        </w:tc>
        <w:tc>
          <w:tcPr>
            <w:tcW w:w="10120" w:type="dxa"/>
            <w:vAlign w:val="bottom"/>
            <w:tcBorders>
              <w:bottom w:val="single" w:sz="8" w:color="0000FF"/>
            </w:tcBorders>
            <w:gridSpan w:val="37"/>
          </w:tcPr>
          <w:p>
            <w:pPr>
              <w:spacing w:after="0" w:line="169" w:lineRule="exact"/>
              <w:rPr>
                <w:rFonts w:ascii="Times New Roman" w:cs="Times New Roman" w:eastAsia="Times New Roman" w:hAnsi="Times New Roman"/>
                <w:sz w:val="18"/>
                <w:szCs w:val="18"/>
                <w:color w:val="0000FF"/>
              </w:rPr>
            </w:pPr>
            <w:hyperlink r:id="rId635">
              <w:r>
                <w:rPr>
                  <w:rFonts w:ascii="Times New Roman" w:cs="Times New Roman" w:eastAsia="Times New Roman" w:hAnsi="Times New Roman"/>
                  <w:sz w:val="18"/>
                  <w:szCs w:val="18"/>
                  <w:color w:val="0000FF"/>
                </w:rPr>
                <w:t>Opinion of Taylor Wessing LLP. (incorporated by reference to Exhibit 5.1 of Rezolve AI Limited's Amendment 1 to Registration Statement</w:t>
              </w:r>
            </w:hyperlink>
          </w:p>
        </w:tc>
        <w:tc>
          <w:tcPr>
            <w:tcW w:w="100" w:type="dxa"/>
            <w:vAlign w:val="bottom"/>
            <w:tcBorders>
              <w:right w:val="single" w:sz="8" w:color="auto"/>
            </w:tcBorders>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35">
              <w:r>
                <w:rPr>
                  <w:rFonts w:ascii="Times New Roman" w:cs="Times New Roman" w:eastAsia="Times New Roman" w:hAnsi="Times New Roman"/>
                  <w:sz w:val="18"/>
                  <w:szCs w:val="18"/>
                  <w:color w:val="0000FF"/>
                </w:rPr>
                <w:t>on Form F-1, filed with the SEC on October 29, 2024).</w:t>
              </w:r>
            </w:hyperlink>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4"/>
                <w:szCs w:val="14"/>
                <w:color w:val="auto"/>
              </w:rPr>
            </w:pPr>
          </w:p>
        </w:tc>
        <w:tc>
          <w:tcPr>
            <w:tcW w:w="9980" w:type="dxa"/>
            <w:vAlign w:val="bottom"/>
            <w:tcBorders>
              <w:bottom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636">
              <w:r>
                <w:rPr>
                  <w:rFonts w:ascii="Times New Roman" w:cs="Times New Roman" w:eastAsia="Times New Roman" w:hAnsi="Times New Roman"/>
                  <w:sz w:val="18"/>
                  <w:szCs w:val="18"/>
                  <w:color w:val="0000FF"/>
                </w:rPr>
                <w:t>Loan Note Instrument dated December 16, 2021, as amended and restated on November 21, 2022, and as further amended and restated on</w:t>
              </w:r>
            </w:hyperlink>
          </w:p>
        </w:tc>
        <w:tc>
          <w:tcPr>
            <w:tcW w:w="240" w:type="dxa"/>
            <w:vAlign w:val="bottom"/>
            <w:tcBorders>
              <w:right w:val="single" w:sz="8" w:color="auto"/>
            </w:tcBorders>
            <w:gridSpan w:val="6"/>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12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636">
              <w:r>
                <w:rPr>
                  <w:rFonts w:ascii="Times New Roman" w:cs="Times New Roman" w:eastAsia="Times New Roman" w:hAnsi="Times New Roman"/>
                  <w:sz w:val="18"/>
                  <w:szCs w:val="18"/>
                  <w:color w:val="0000FF"/>
                </w:rPr>
                <w:t>May 23, 2023 (incorporated by reference to Exhibit 10.17 of Rezolve AI Limited’s Registration Statement on Form F-4, Amendment No. 6,</w:t>
              </w:r>
            </w:hyperlink>
          </w:p>
        </w:tc>
        <w:tc>
          <w:tcPr>
            <w:tcW w:w="100" w:type="dxa"/>
            <w:vAlign w:val="bottom"/>
            <w:tcBorders>
              <w:right w:val="single" w:sz="8" w:color="auto"/>
            </w:tcBorders>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36">
              <w:r>
                <w:rPr>
                  <w:rFonts w:ascii="Times New Roman" w:cs="Times New Roman" w:eastAsia="Times New Roman" w:hAnsi="Times New Roman"/>
                  <w:sz w:val="18"/>
                  <w:szCs w:val="18"/>
                  <w:color w:val="0000FF"/>
                </w:rPr>
                <w:t>filed with the SEC on June 11,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4"/>
                <w:szCs w:val="14"/>
                <w:color w:val="auto"/>
              </w:rPr>
            </w:pPr>
          </w:p>
        </w:tc>
        <w:tc>
          <w:tcPr>
            <w:tcW w:w="10000" w:type="dxa"/>
            <w:vAlign w:val="bottom"/>
            <w:tcBorders>
              <w:bottom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637">
              <w:r>
                <w:rPr>
                  <w:rFonts w:ascii="Times New Roman" w:cs="Times New Roman" w:eastAsia="Times New Roman" w:hAnsi="Times New Roman"/>
                  <w:sz w:val="18"/>
                  <w:szCs w:val="18"/>
                  <w:color w:val="0000FF"/>
                </w:rPr>
                <w:t>Binding Term Sheet, dated August 30, 2021, by and among Rezolve, Radio Group and the other parties thereto (incorporated by reference</w:t>
              </w:r>
            </w:hyperlink>
          </w:p>
        </w:tc>
        <w:tc>
          <w:tcPr>
            <w:tcW w:w="220" w:type="dxa"/>
            <w:vAlign w:val="bottom"/>
            <w:tcBorders>
              <w:right w:val="single" w:sz="8" w:color="auto"/>
            </w:tcBorders>
            <w:gridSpan w:val="5"/>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37">
              <w:r>
                <w:rPr>
                  <w:rFonts w:ascii="Times New Roman" w:cs="Times New Roman" w:eastAsia="Times New Roman" w:hAnsi="Times New Roman"/>
                  <w:sz w:val="18"/>
                  <w:szCs w:val="18"/>
                  <w:color w:val="0000FF"/>
                </w:rPr>
                <w:t>to Exhibit 10.18 of Rezolve AI Limited’s Registration Statement on Form F-4, Amendment No. 5, filed with the SEC on May 20, 2024).</w:t>
              </w:r>
            </w:hyperlink>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4"/>
                <w:szCs w:val="14"/>
                <w:color w:val="auto"/>
              </w:rPr>
            </w:pPr>
          </w:p>
        </w:tc>
        <w:tc>
          <w:tcPr>
            <w:tcW w:w="10000" w:type="dxa"/>
            <w:vAlign w:val="bottom"/>
            <w:tcBorders>
              <w:bottom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638">
              <w:r>
                <w:rPr>
                  <w:rFonts w:ascii="Times New Roman" w:cs="Times New Roman" w:eastAsia="Times New Roman" w:hAnsi="Times New Roman"/>
                  <w:sz w:val="18"/>
                  <w:szCs w:val="18"/>
                  <w:color w:val="0000FF"/>
                </w:rPr>
                <w:t>Amendment to Binding Term Sheet, dated May 24, 2023, by and among Rezolve, Radio Group and the other parties thereto (incorporated</w:t>
              </w:r>
            </w:hyperlink>
          </w:p>
        </w:tc>
        <w:tc>
          <w:tcPr>
            <w:tcW w:w="220" w:type="dxa"/>
            <w:vAlign w:val="bottom"/>
            <w:tcBorders>
              <w:right w:val="single" w:sz="8" w:color="auto"/>
            </w:tcBorders>
            <w:gridSpan w:val="5"/>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6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638">
              <w:r>
                <w:rPr>
                  <w:rFonts w:ascii="Times New Roman" w:cs="Times New Roman" w:eastAsia="Times New Roman" w:hAnsi="Times New Roman"/>
                  <w:sz w:val="18"/>
                  <w:szCs w:val="18"/>
                  <w:color w:val="0000FF"/>
                </w:rPr>
                <w:t>by reference to Exhibit 10.19 of Rezolve AI Limited’s Registration Statement on Form F-4, Amendment No. 5, filed with the SEC on May</w:t>
              </w:r>
            </w:hyperlink>
          </w:p>
        </w:tc>
        <w:tc>
          <w:tcPr>
            <w:tcW w:w="160" w:type="dxa"/>
            <w:vAlign w:val="bottom"/>
            <w:tcBorders>
              <w:right w:val="single" w:sz="8" w:color="auto"/>
            </w:tcBorders>
            <w:gridSpan w:val="4"/>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560" w:type="dxa"/>
            <w:vAlign w:val="bottom"/>
            <w:gridSpan w:val="4"/>
          </w:tcPr>
          <w:p>
            <w:pPr>
              <w:ind w:left="80"/>
              <w:spacing w:after="0" w:line="196" w:lineRule="exact"/>
              <w:rPr>
                <w:rFonts w:ascii="Times New Roman" w:cs="Times New Roman" w:eastAsia="Times New Roman" w:hAnsi="Times New Roman"/>
                <w:sz w:val="18"/>
                <w:szCs w:val="18"/>
                <w:color w:val="0000FF"/>
              </w:rPr>
            </w:pPr>
            <w:hyperlink r:id="rId638">
              <w:r>
                <w:rPr>
                  <w:rFonts w:ascii="Times New Roman" w:cs="Times New Roman" w:eastAsia="Times New Roman" w:hAnsi="Times New Roman"/>
                  <w:sz w:val="18"/>
                  <w:szCs w:val="18"/>
                  <w:color w:val="0000FF"/>
                </w:rPr>
                <w:t>20, 2024).</w:t>
              </w:r>
            </w:hyperlink>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4"/>
                <w:szCs w:val="14"/>
                <w:color w:val="auto"/>
              </w:rPr>
            </w:pPr>
          </w:p>
        </w:tc>
        <w:tc>
          <w:tcPr>
            <w:tcW w:w="9960" w:type="dxa"/>
            <w:vAlign w:val="bottom"/>
            <w:tcBorders>
              <w:bottom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639">
              <w:r>
                <w:rPr>
                  <w:rFonts w:ascii="Times New Roman" w:cs="Times New Roman" w:eastAsia="Times New Roman" w:hAnsi="Times New Roman"/>
                  <w:sz w:val="18"/>
                  <w:szCs w:val="18"/>
                  <w:color w:val="0000FF"/>
                </w:rPr>
                <w:t>Agreement in Context of the Binding Term Sheet, dated May 24, 2023, by and among Rezolve, Radio Group and the other parties thereto</w:t>
              </w:r>
            </w:hyperlink>
          </w:p>
        </w:tc>
        <w:tc>
          <w:tcPr>
            <w:tcW w:w="260" w:type="dxa"/>
            <w:vAlign w:val="bottom"/>
            <w:tcBorders>
              <w:right w:val="single" w:sz="8" w:color="auto"/>
            </w:tcBorders>
            <w:gridSpan w:val="7"/>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10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639">
              <w:r>
                <w:rPr>
                  <w:rFonts w:ascii="Times New Roman" w:cs="Times New Roman" w:eastAsia="Times New Roman" w:hAnsi="Times New Roman"/>
                  <w:sz w:val="18"/>
                  <w:szCs w:val="18"/>
                  <w:color w:val="0000FF"/>
                </w:rPr>
                <w:t>(incorporated by reference to Exhibit 10.20 of Rezolve AI Limited’s Registration Statement on Form F-4, Amendment No. 6, filed with the</w:t>
              </w:r>
            </w:hyperlink>
          </w:p>
        </w:tc>
        <w:tc>
          <w:tcPr>
            <w:tcW w:w="120" w:type="dxa"/>
            <w:vAlign w:val="bottom"/>
            <w:tcBorders>
              <w:right w:val="single" w:sz="8" w:color="auto"/>
            </w:tcBorders>
            <w:gridSpan w:val="2"/>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39">
              <w:r>
                <w:rPr>
                  <w:rFonts w:ascii="Times New Roman" w:cs="Times New Roman" w:eastAsia="Times New Roman" w:hAnsi="Times New Roman"/>
                  <w:sz w:val="18"/>
                  <w:szCs w:val="18"/>
                  <w:color w:val="0000FF"/>
                </w:rPr>
                <w:t>SEC on June 11, 2024).</w:t>
              </w:r>
            </w:hyperlink>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4"/>
                <w:szCs w:val="14"/>
                <w:color w:val="auto"/>
              </w:rPr>
            </w:pPr>
          </w:p>
        </w:tc>
        <w:tc>
          <w:tcPr>
            <w:tcW w:w="9520" w:type="dxa"/>
            <w:vAlign w:val="bottom"/>
            <w:tcBorders>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640">
              <w:r>
                <w:rPr>
                  <w:rFonts w:ascii="Times New Roman" w:cs="Times New Roman" w:eastAsia="Times New Roman" w:hAnsi="Times New Roman"/>
                  <w:sz w:val="18"/>
                  <w:szCs w:val="18"/>
                  <w:color w:val="0000FF"/>
                </w:rPr>
                <w:t>Contractual Agreement, dated August 30, 2021, by and among Rezolve, Radio Group and the other parties thereto (incorporated by</w:t>
              </w:r>
            </w:hyperlink>
          </w:p>
        </w:tc>
        <w:tc>
          <w:tcPr>
            <w:tcW w:w="700" w:type="dxa"/>
            <w:vAlign w:val="bottom"/>
            <w:tcBorders>
              <w:right w:val="single" w:sz="8" w:color="auto"/>
            </w:tcBorders>
            <w:gridSpan w:val="19"/>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12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640">
              <w:r>
                <w:rPr>
                  <w:rFonts w:ascii="Times New Roman" w:cs="Times New Roman" w:eastAsia="Times New Roman" w:hAnsi="Times New Roman"/>
                  <w:sz w:val="18"/>
                  <w:szCs w:val="18"/>
                  <w:color w:val="0000FF"/>
                </w:rPr>
                <w:t>reference to Exhibit 10.21 of Rezolve AI Limited’s Registration Statement on Form F-4, Amendment No. 6, filed with the SEC on June 11,</w:t>
              </w:r>
            </w:hyperlink>
          </w:p>
        </w:tc>
        <w:tc>
          <w:tcPr>
            <w:tcW w:w="100" w:type="dxa"/>
            <w:vAlign w:val="bottom"/>
            <w:tcBorders>
              <w:right w:val="single" w:sz="8" w:color="auto"/>
            </w:tcBorders>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20" w:type="dxa"/>
            <w:vAlign w:val="bottom"/>
            <w:gridSpan w:val="3"/>
          </w:tcPr>
          <w:p>
            <w:pPr>
              <w:ind w:left="80"/>
              <w:spacing w:after="0" w:line="196" w:lineRule="exact"/>
              <w:rPr>
                <w:rFonts w:ascii="Times New Roman" w:cs="Times New Roman" w:eastAsia="Times New Roman" w:hAnsi="Times New Roman"/>
                <w:sz w:val="18"/>
                <w:szCs w:val="18"/>
                <w:color w:val="0000FF"/>
              </w:rPr>
            </w:pPr>
            <w:hyperlink r:id="rId640">
              <w:r>
                <w:rPr>
                  <w:rFonts w:ascii="Times New Roman" w:cs="Times New Roman" w:eastAsia="Times New Roman" w:hAnsi="Times New Roman"/>
                  <w:sz w:val="18"/>
                  <w:szCs w:val="18"/>
                  <w:color w:val="0000FF"/>
                </w:rPr>
                <w:t>2024).</w:t>
              </w:r>
            </w:hyperlink>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4"/>
                <w:szCs w:val="14"/>
                <w:color w:val="auto"/>
              </w:rPr>
            </w:pPr>
          </w:p>
        </w:tc>
        <w:tc>
          <w:tcPr>
            <w:tcW w:w="10080" w:type="dxa"/>
            <w:vAlign w:val="bottom"/>
            <w:tcBorders>
              <w:bottom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641">
              <w:r>
                <w:rPr>
                  <w:rFonts w:ascii="Times New Roman" w:cs="Times New Roman" w:eastAsia="Times New Roman" w:hAnsi="Times New Roman"/>
                  <w:sz w:val="18"/>
                  <w:szCs w:val="18"/>
                  <w:color w:val="0000FF"/>
                </w:rPr>
                <w:t>Contractual Relationship, dated April 30, 2023 (incorporated by reference to Exhibit 10.22 of Rezolve AI Limited’s Registration Statement</w:t>
              </w:r>
            </w:hyperlink>
          </w:p>
        </w:tc>
        <w:tc>
          <w:tcPr>
            <w:tcW w:w="140" w:type="dxa"/>
            <w:vAlign w:val="bottom"/>
            <w:tcBorders>
              <w:right w:val="single" w:sz="8" w:color="auto"/>
            </w:tcBorders>
            <w:gridSpan w:val="3"/>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41">
              <w:r>
                <w:rPr>
                  <w:rFonts w:ascii="Times New Roman" w:cs="Times New Roman" w:eastAsia="Times New Roman" w:hAnsi="Times New Roman"/>
                  <w:sz w:val="18"/>
                  <w:szCs w:val="18"/>
                  <w:color w:val="0000FF"/>
                </w:rPr>
                <w:t>on Form F-4, Amendment No. 5, filed with the SEC on May 20,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4"/>
                <w:szCs w:val="14"/>
                <w:color w:val="auto"/>
              </w:rPr>
            </w:pPr>
          </w:p>
        </w:tc>
        <w:tc>
          <w:tcPr>
            <w:tcW w:w="10120" w:type="dxa"/>
            <w:vAlign w:val="bottom"/>
            <w:tcBorders>
              <w:bottom w:val="single" w:sz="8" w:color="0000FF"/>
            </w:tcBorders>
            <w:gridSpan w:val="37"/>
          </w:tcPr>
          <w:p>
            <w:pPr>
              <w:spacing w:after="0" w:line="169" w:lineRule="exact"/>
              <w:rPr>
                <w:rFonts w:ascii="Times New Roman" w:cs="Times New Roman" w:eastAsia="Times New Roman" w:hAnsi="Times New Roman"/>
                <w:sz w:val="18"/>
                <w:szCs w:val="18"/>
                <w:color w:val="0000FF"/>
              </w:rPr>
            </w:pPr>
            <w:hyperlink r:id="rId642">
              <w:r>
                <w:rPr>
                  <w:rFonts w:ascii="Times New Roman" w:cs="Times New Roman" w:eastAsia="Times New Roman" w:hAnsi="Times New Roman"/>
                  <w:sz w:val="18"/>
                  <w:szCs w:val="18"/>
                  <w:color w:val="0000FF"/>
                </w:rPr>
                <w:t>Power of Disposal over ANY Lifestyle Marketing GmbH, dated November 17, 2023 (incorporated by reference to Exhibit 10.23 of Rezolve</w:t>
              </w:r>
            </w:hyperlink>
          </w:p>
        </w:tc>
        <w:tc>
          <w:tcPr>
            <w:tcW w:w="100" w:type="dxa"/>
            <w:vAlign w:val="bottom"/>
            <w:tcBorders>
              <w:right w:val="single" w:sz="8" w:color="auto"/>
            </w:tcBorders>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42">
              <w:r>
                <w:rPr>
                  <w:rFonts w:ascii="Times New Roman" w:cs="Times New Roman" w:eastAsia="Times New Roman" w:hAnsi="Times New Roman"/>
                  <w:sz w:val="18"/>
                  <w:szCs w:val="18"/>
                  <w:color w:val="0000FF"/>
                </w:rPr>
                <w:t>AI Limited’s Registration Statement on Form F-4, filed with the SEC on May 20,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4"/>
                <w:szCs w:val="14"/>
                <w:color w:val="auto"/>
              </w:rPr>
            </w:pPr>
          </w:p>
        </w:tc>
        <w:tc>
          <w:tcPr>
            <w:tcW w:w="10000" w:type="dxa"/>
            <w:vAlign w:val="bottom"/>
            <w:tcBorders>
              <w:bottom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643">
              <w:r>
                <w:rPr>
                  <w:rFonts w:ascii="Times New Roman" w:cs="Times New Roman" w:eastAsia="Times New Roman" w:hAnsi="Times New Roman"/>
                  <w:sz w:val="18"/>
                  <w:szCs w:val="18"/>
                  <w:color w:val="0000FF"/>
                </w:rPr>
                <w:t>Loan Agreement, dated September 28, 2023, by and among Rezolve, Radio Group and the other parties thereto (incorporated by reference</w:t>
              </w:r>
            </w:hyperlink>
          </w:p>
        </w:tc>
        <w:tc>
          <w:tcPr>
            <w:tcW w:w="220" w:type="dxa"/>
            <w:vAlign w:val="bottom"/>
            <w:tcBorders>
              <w:right w:val="single" w:sz="8" w:color="auto"/>
            </w:tcBorders>
            <w:gridSpan w:val="5"/>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43">
              <w:r>
                <w:rPr>
                  <w:rFonts w:ascii="Times New Roman" w:cs="Times New Roman" w:eastAsia="Times New Roman" w:hAnsi="Times New Roman"/>
                  <w:sz w:val="18"/>
                  <w:szCs w:val="18"/>
                  <w:color w:val="0000FF"/>
                </w:rPr>
                <w:t>to Exhibit 10.24 of Rezolve AI Limited’s Registration Statement on Form F-4, filed with the SEC on May 20,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4"/>
                <w:szCs w:val="14"/>
                <w:color w:val="auto"/>
              </w:rPr>
            </w:pPr>
          </w:p>
        </w:tc>
        <w:tc>
          <w:tcPr>
            <w:tcW w:w="9580" w:type="dxa"/>
            <w:vAlign w:val="bottom"/>
            <w:tcBorders>
              <w:bottom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644">
              <w:r>
                <w:rPr>
                  <w:rFonts w:ascii="Times New Roman" w:cs="Times New Roman" w:eastAsia="Times New Roman" w:hAnsi="Times New Roman"/>
                  <w:sz w:val="18"/>
                  <w:szCs w:val="18"/>
                  <w:color w:val="0000FF"/>
                </w:rPr>
                <w:t>Amended and Restated Standby Equity Purchase Agreement, dated as of February 2, 2024, by and between YA II PN, Ltd., Armada</w:t>
              </w:r>
            </w:hyperlink>
          </w:p>
        </w:tc>
        <w:tc>
          <w:tcPr>
            <w:tcW w:w="640" w:type="dxa"/>
            <w:vAlign w:val="bottom"/>
            <w:tcBorders>
              <w:right w:val="single" w:sz="8" w:color="auto"/>
            </w:tcBorders>
            <w:gridSpan w:val="18"/>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6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644">
              <w:r>
                <w:rPr>
                  <w:rFonts w:ascii="Times New Roman" w:cs="Times New Roman" w:eastAsia="Times New Roman" w:hAnsi="Times New Roman"/>
                  <w:sz w:val="18"/>
                  <w:szCs w:val="18"/>
                  <w:color w:val="0000FF"/>
                </w:rPr>
                <w:t>Acquisition Corp. I, Rezolve Limited and Rezolve AI Limited (incorporated by reference to Exhibit 2.1 of Aramada's Current Report on</w:t>
              </w:r>
            </w:hyperlink>
          </w:p>
        </w:tc>
        <w:tc>
          <w:tcPr>
            <w:tcW w:w="360" w:type="dxa"/>
            <w:vAlign w:val="bottom"/>
            <w:tcBorders>
              <w:right w:val="single" w:sz="8" w:color="auto"/>
            </w:tcBorders>
            <w:gridSpan w:val="11"/>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44">
              <w:r>
                <w:rPr>
                  <w:rFonts w:ascii="Times New Roman" w:cs="Times New Roman" w:eastAsia="Times New Roman" w:hAnsi="Times New Roman"/>
                  <w:sz w:val="18"/>
                  <w:szCs w:val="18"/>
                  <w:color w:val="0000FF"/>
                </w:rPr>
                <w:t>Form 8-K, filed with the SEC on February 9,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14"/>
                <w:szCs w:val="14"/>
                <w:color w:val="auto"/>
              </w:rPr>
            </w:pPr>
          </w:p>
        </w:tc>
        <w:tc>
          <w:tcPr>
            <w:tcW w:w="9920" w:type="dxa"/>
            <w:vAlign w:val="bottom"/>
            <w:tcBorders>
              <w:bottom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645">
              <w:r>
                <w:rPr>
                  <w:rFonts w:ascii="Times New Roman" w:cs="Times New Roman" w:eastAsia="Times New Roman" w:hAnsi="Times New Roman"/>
                  <w:sz w:val="18"/>
                  <w:szCs w:val="18"/>
                  <w:color w:val="0000FF"/>
                </w:rPr>
                <w:t>Second Amended and Restated Standby Equity Purchase Agreement, dated as of September 6, 2024, by and between YA II PN, Ltd. and</w:t>
              </w:r>
            </w:hyperlink>
          </w:p>
        </w:tc>
        <w:tc>
          <w:tcPr>
            <w:tcW w:w="300" w:type="dxa"/>
            <w:vAlign w:val="bottom"/>
            <w:tcBorders>
              <w:right w:val="single" w:sz="8" w:color="auto"/>
            </w:tcBorders>
            <w:gridSpan w:val="9"/>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45">
              <w:r>
                <w:rPr>
                  <w:rFonts w:ascii="Times New Roman" w:cs="Times New Roman" w:eastAsia="Times New Roman" w:hAnsi="Times New Roman"/>
                  <w:sz w:val="18"/>
                  <w:szCs w:val="18"/>
                  <w:color w:val="0000FF"/>
                </w:rPr>
                <w:t>Rezolve AI Limited.</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14"/>
                <w:szCs w:val="14"/>
                <w:color w:val="auto"/>
              </w:rPr>
            </w:pPr>
          </w:p>
        </w:tc>
        <w:tc>
          <w:tcPr>
            <w:tcW w:w="9700" w:type="dxa"/>
            <w:vAlign w:val="bottom"/>
            <w:tcBorders>
              <w:bottom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646">
              <w:r>
                <w:rPr>
                  <w:rFonts w:ascii="Times New Roman" w:cs="Times New Roman" w:eastAsia="Times New Roman" w:hAnsi="Times New Roman"/>
                  <w:sz w:val="18"/>
                  <w:szCs w:val="18"/>
                  <w:color w:val="0000FF"/>
                </w:rPr>
                <w:t>Promissory Note, dated as of September 9, 2024, by and among YA II PN, Ltd. and Rezolve AI Limited (incorporated by reference to</w:t>
              </w:r>
            </w:hyperlink>
          </w:p>
        </w:tc>
        <w:tc>
          <w:tcPr>
            <w:tcW w:w="520" w:type="dxa"/>
            <w:vAlign w:val="bottom"/>
            <w:tcBorders>
              <w:right w:val="single" w:sz="8" w:color="auto"/>
            </w:tcBorders>
            <w:gridSpan w:val="16"/>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46">
              <w:r>
                <w:rPr>
                  <w:rFonts w:ascii="Times New Roman" w:cs="Times New Roman" w:eastAsia="Times New Roman" w:hAnsi="Times New Roman"/>
                  <w:sz w:val="18"/>
                  <w:szCs w:val="18"/>
                  <w:color w:val="0000FF"/>
                </w:rPr>
                <w:t>Exhibit 99.2 of Rezolve’s Report on Form 6-K, filed with the SEC on September 13,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10.12</w:t>
            </w:r>
          </w:p>
        </w:tc>
        <w:tc>
          <w:tcPr>
            <w:tcW w:w="80" w:type="dxa"/>
            <w:vAlign w:val="bottom"/>
          </w:tcPr>
          <w:p>
            <w:pPr>
              <w:spacing w:after="0"/>
              <w:rPr>
                <w:sz w:val="14"/>
                <w:szCs w:val="14"/>
                <w:color w:val="auto"/>
              </w:rPr>
            </w:pPr>
          </w:p>
        </w:tc>
        <w:tc>
          <w:tcPr>
            <w:tcW w:w="9780" w:type="dxa"/>
            <w:vAlign w:val="bottom"/>
            <w:tcBorders>
              <w:bottom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647">
              <w:r>
                <w:rPr>
                  <w:rFonts w:ascii="Times New Roman" w:cs="Times New Roman" w:eastAsia="Times New Roman" w:hAnsi="Times New Roman"/>
                  <w:sz w:val="18"/>
                  <w:szCs w:val="18"/>
                  <w:color w:val="0000FF"/>
                </w:rPr>
                <w:t>Promissory Note, dated as of November 29, 2024, by and among YA II PN, Ltd. and Rezolve AI Limited (incorporated by reference to</w:t>
              </w:r>
            </w:hyperlink>
          </w:p>
        </w:tc>
        <w:tc>
          <w:tcPr>
            <w:tcW w:w="440" w:type="dxa"/>
            <w:vAlign w:val="bottom"/>
            <w:tcBorders>
              <w:right w:val="single" w:sz="8" w:color="auto"/>
            </w:tcBorders>
            <w:gridSpan w:val="13"/>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47">
              <w:r>
                <w:rPr>
                  <w:rFonts w:ascii="Times New Roman" w:cs="Times New Roman" w:eastAsia="Times New Roman" w:hAnsi="Times New Roman"/>
                  <w:sz w:val="18"/>
                  <w:szCs w:val="18"/>
                  <w:color w:val="0000FF"/>
                </w:rPr>
                <w:t>Exhibit 99.1 of Rezolve's Report on Form 6-K, filed December 5,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1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10.13</w:t>
            </w:r>
          </w:p>
        </w:tc>
        <w:tc>
          <w:tcPr>
            <w:tcW w:w="80" w:type="dxa"/>
            <w:vAlign w:val="bottom"/>
          </w:tcPr>
          <w:p>
            <w:pPr>
              <w:spacing w:after="0"/>
              <w:rPr>
                <w:sz w:val="14"/>
                <w:szCs w:val="14"/>
                <w:color w:val="auto"/>
              </w:rPr>
            </w:pPr>
          </w:p>
        </w:tc>
        <w:tc>
          <w:tcPr>
            <w:tcW w:w="9740" w:type="dxa"/>
            <w:vAlign w:val="bottom"/>
            <w:tcBorders>
              <w:bottom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648">
              <w:r>
                <w:rPr>
                  <w:rFonts w:ascii="Times New Roman" w:cs="Times New Roman" w:eastAsia="Times New Roman" w:hAnsi="Times New Roman"/>
                  <w:sz w:val="18"/>
                  <w:szCs w:val="18"/>
                  <w:color w:val="0000FF"/>
                </w:rPr>
                <w:t>Letter Agreement, dated as of December 17, 2024, by and among the Company, Apeiron Investment Group Ltd. and Bradley Wickens</w:t>
              </w:r>
            </w:hyperlink>
          </w:p>
        </w:tc>
        <w:tc>
          <w:tcPr>
            <w:tcW w:w="480" w:type="dxa"/>
            <w:vAlign w:val="bottom"/>
            <w:tcBorders>
              <w:right w:val="single" w:sz="8" w:color="auto"/>
            </w:tcBorders>
            <w:gridSpan w:val="15"/>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48">
              <w:r>
                <w:rPr>
                  <w:rFonts w:ascii="Times New Roman" w:cs="Times New Roman" w:eastAsia="Times New Roman" w:hAnsi="Times New Roman"/>
                  <w:sz w:val="18"/>
                  <w:szCs w:val="18"/>
                  <w:color w:val="0000FF"/>
                </w:rPr>
                <w:t>(incorporated by reference to Exhibit 10.2 of Rezolve's Report on Form 6-K, filed December 18,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324"/>
        </w:trPr>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4" w:name="page195"/>
    <w:bookmarkEnd w:id="194"/>
    <w:tbl>
      <w:tblPr>
        <w:tblLayout w:type="fixed"/>
        <w:tblInd w:w="10" w:type="dxa"/>
        <w:tblCellMar>
          <w:top w:w="0" w:type="dxa"/>
          <w:left w:w="0" w:type="dxa"/>
          <w:bottom w:w="0" w:type="dxa"/>
          <w:right w:w="0" w:type="dxa"/>
        </w:tblCellMar>
      </w:tblPr>
      <w:tr>
        <w:trPr>
          <w:trHeight w:val="192"/>
        </w:trPr>
        <w:tc>
          <w:tcPr>
            <w:tcW w:w="920" w:type="dxa"/>
            <w:vAlign w:val="bottom"/>
            <w:tcBorders>
              <w:top w:val="single" w:sz="8" w:color="auto"/>
              <w:left w:val="single" w:sz="8" w:color="auto"/>
              <w:right w:val="single" w:sz="8" w:color="auto"/>
            </w:tcBorders>
          </w:tcPr>
          <w:p>
            <w:pPr>
              <w:ind w:left="120"/>
              <w:spacing w:after="0" w:line="192" w:lineRule="exact"/>
              <w:rPr>
                <w:sz w:val="20"/>
                <w:szCs w:val="20"/>
                <w:color w:val="auto"/>
              </w:rPr>
            </w:pPr>
            <w:r>
              <w:rPr>
                <w:rFonts w:ascii="Times New Roman" w:cs="Times New Roman" w:eastAsia="Times New Roman" w:hAnsi="Times New Roman"/>
                <w:sz w:val="18"/>
                <w:szCs w:val="18"/>
                <w:color w:val="auto"/>
              </w:rPr>
              <w:t>10.14</w:t>
            </w:r>
          </w:p>
        </w:tc>
        <w:tc>
          <w:tcPr>
            <w:tcW w:w="10320" w:type="dxa"/>
            <w:vAlign w:val="bottom"/>
            <w:tcBorders>
              <w:top w:val="single" w:sz="8" w:color="auto"/>
              <w:right w:val="single" w:sz="8" w:color="auto"/>
            </w:tcBorders>
            <w:gridSpan w:val="21"/>
          </w:tcPr>
          <w:p>
            <w:pPr>
              <w:ind w:left="100"/>
              <w:spacing w:after="0" w:line="192" w:lineRule="exact"/>
              <w:rPr>
                <w:rFonts w:ascii="Times New Roman" w:cs="Times New Roman" w:eastAsia="Times New Roman" w:hAnsi="Times New Roman"/>
                <w:sz w:val="18"/>
                <w:szCs w:val="18"/>
                <w:color w:val="0000FF"/>
              </w:rPr>
            </w:pPr>
            <w:hyperlink r:id="rId651">
              <w:r>
                <w:rPr>
                  <w:rFonts w:ascii="Times New Roman" w:cs="Times New Roman" w:eastAsia="Times New Roman" w:hAnsi="Times New Roman"/>
                  <w:sz w:val="18"/>
                  <w:szCs w:val="18"/>
                  <w:color w:val="0000FF"/>
                </w:rPr>
                <w:t>Form of Deed of Amendment (incorporated by reference to Exhibit 10.3 of Rezolve's Report on Form 6-K, filed December 18, 2024).</w:t>
              </w:r>
            </w:hyperlink>
          </w:p>
        </w:tc>
      </w:tr>
      <w:tr>
        <w:trPr>
          <w:trHeight w:val="60"/>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top w:val="single" w:sz="8" w:color="0000EE"/>
              <w:bottom w:val="single" w:sz="8" w:color="0000EE"/>
            </w:tcBorders>
          </w:tcPr>
          <w:p>
            <w:pPr>
              <w:spacing w:after="0"/>
              <w:rPr>
                <w:sz w:val="5"/>
                <w:szCs w:val="5"/>
                <w:color w:val="auto"/>
              </w:rPr>
            </w:pPr>
          </w:p>
        </w:tc>
        <w:tc>
          <w:tcPr>
            <w:tcW w:w="100" w:type="dxa"/>
            <w:vAlign w:val="bottom"/>
            <w:tcBorders>
              <w:top w:val="single" w:sz="8" w:color="0000EE"/>
              <w:bottom w:val="single" w:sz="8" w:color="0000EE"/>
            </w:tcBorders>
          </w:tcPr>
          <w:p>
            <w:pPr>
              <w:spacing w:after="0"/>
              <w:rPr>
                <w:sz w:val="5"/>
                <w:szCs w:val="5"/>
                <w:color w:val="auto"/>
              </w:rPr>
            </w:pPr>
          </w:p>
        </w:tc>
        <w:tc>
          <w:tcPr>
            <w:tcW w:w="240" w:type="dxa"/>
            <w:vAlign w:val="bottom"/>
            <w:tcBorders>
              <w:top w:val="single" w:sz="8" w:color="0000EE"/>
              <w:bottom w:val="single" w:sz="8" w:color="0000EE"/>
            </w:tcBorders>
          </w:tcPr>
          <w:p>
            <w:pPr>
              <w:spacing w:after="0"/>
              <w:rPr>
                <w:sz w:val="5"/>
                <w:szCs w:val="5"/>
                <w:color w:val="auto"/>
              </w:rPr>
            </w:pPr>
          </w:p>
        </w:tc>
        <w:tc>
          <w:tcPr>
            <w:tcW w:w="1120" w:type="dxa"/>
            <w:vAlign w:val="bottom"/>
            <w:tcBorders>
              <w:top w:val="single" w:sz="8" w:color="0000EE"/>
              <w:bottom w:val="single" w:sz="8" w:color="0000EE"/>
            </w:tcBorders>
          </w:tcPr>
          <w:p>
            <w:pPr>
              <w:spacing w:after="0"/>
              <w:rPr>
                <w:sz w:val="5"/>
                <w:szCs w:val="5"/>
                <w:color w:val="auto"/>
              </w:rPr>
            </w:pPr>
          </w:p>
        </w:tc>
        <w:tc>
          <w:tcPr>
            <w:tcW w:w="220" w:type="dxa"/>
            <w:vAlign w:val="bottom"/>
            <w:tcBorders>
              <w:top w:val="single" w:sz="8" w:color="0000EE"/>
              <w:bottom w:val="single" w:sz="8" w:color="0000EE"/>
            </w:tcBorders>
          </w:tcPr>
          <w:p>
            <w:pPr>
              <w:spacing w:after="0"/>
              <w:rPr>
                <w:sz w:val="5"/>
                <w:szCs w:val="5"/>
                <w:color w:val="auto"/>
              </w:rPr>
            </w:pPr>
          </w:p>
        </w:tc>
        <w:tc>
          <w:tcPr>
            <w:tcW w:w="200" w:type="dxa"/>
            <w:vAlign w:val="bottom"/>
            <w:tcBorders>
              <w:top w:val="single" w:sz="8" w:color="0000EE"/>
              <w:bottom w:val="single" w:sz="8" w:color="0000EE"/>
            </w:tcBorders>
          </w:tcPr>
          <w:p>
            <w:pPr>
              <w:spacing w:after="0"/>
              <w:rPr>
                <w:sz w:val="5"/>
                <w:szCs w:val="5"/>
                <w:color w:val="auto"/>
              </w:rPr>
            </w:pPr>
          </w:p>
        </w:tc>
        <w:tc>
          <w:tcPr>
            <w:tcW w:w="2420" w:type="dxa"/>
            <w:vAlign w:val="bottom"/>
            <w:tcBorders>
              <w:top w:val="single" w:sz="8" w:color="0000EE"/>
              <w:bottom w:val="single" w:sz="8" w:color="0000EE"/>
            </w:tcBorders>
          </w:tcPr>
          <w:p>
            <w:pPr>
              <w:spacing w:after="0"/>
              <w:rPr>
                <w:sz w:val="5"/>
                <w:szCs w:val="5"/>
                <w:color w:val="auto"/>
              </w:rPr>
            </w:pPr>
          </w:p>
        </w:tc>
        <w:tc>
          <w:tcPr>
            <w:tcW w:w="720" w:type="dxa"/>
            <w:vAlign w:val="bottom"/>
            <w:tcBorders>
              <w:top w:val="single" w:sz="8" w:color="0000EE"/>
              <w:bottom w:val="single" w:sz="8" w:color="0000EE"/>
            </w:tcBorders>
          </w:tcPr>
          <w:p>
            <w:pPr>
              <w:spacing w:after="0"/>
              <w:rPr>
                <w:sz w:val="5"/>
                <w:szCs w:val="5"/>
                <w:color w:val="auto"/>
              </w:rPr>
            </w:pPr>
          </w:p>
        </w:tc>
        <w:tc>
          <w:tcPr>
            <w:tcW w:w="2080" w:type="dxa"/>
            <w:vAlign w:val="bottom"/>
            <w:tcBorders>
              <w:top w:val="single" w:sz="8" w:color="0000EE"/>
              <w:bottom w:val="single" w:sz="8" w:color="0000EE"/>
            </w:tcBorders>
          </w:tcPr>
          <w:p>
            <w:pPr>
              <w:spacing w:after="0"/>
              <w:rPr>
                <w:sz w:val="5"/>
                <w:szCs w:val="5"/>
                <w:color w:val="auto"/>
              </w:rPr>
            </w:pPr>
          </w:p>
        </w:tc>
        <w:tc>
          <w:tcPr>
            <w:tcW w:w="2080" w:type="dxa"/>
            <w:vAlign w:val="bottom"/>
            <w:tcBorders>
              <w:top w:val="single" w:sz="8" w:color="0000EE"/>
              <w:bottom w:val="single" w:sz="8" w:color="0000EE"/>
            </w:tcBorders>
          </w:tcPr>
          <w:p>
            <w:pPr>
              <w:spacing w:after="0"/>
              <w:rPr>
                <w:sz w:val="5"/>
                <w:szCs w:val="5"/>
                <w:color w:val="auto"/>
              </w:rPr>
            </w:pPr>
          </w:p>
        </w:tc>
        <w:tc>
          <w:tcPr>
            <w:tcW w:w="160" w:type="dxa"/>
            <w:vAlign w:val="bottom"/>
            <w:tcBorders>
              <w:top w:val="single" w:sz="8" w:color="0000EE"/>
              <w:bottom w:val="single" w:sz="8" w:color="0000EE"/>
            </w:tcBorders>
          </w:tcPr>
          <w:p>
            <w:pPr>
              <w:spacing w:after="0"/>
              <w:rPr>
                <w:sz w:val="5"/>
                <w:szCs w:val="5"/>
                <w:color w:val="auto"/>
              </w:rPr>
            </w:pPr>
          </w:p>
        </w:tc>
        <w:tc>
          <w:tcPr>
            <w:tcW w:w="20" w:type="dxa"/>
            <w:vAlign w:val="bottom"/>
            <w:tcBorders>
              <w:top w:val="single" w:sz="8" w:color="0000EE"/>
              <w:bottom w:val="single" w:sz="8" w:color="0000EE"/>
            </w:tcBorders>
          </w:tcPr>
          <w:p>
            <w:pPr>
              <w:spacing w:after="0"/>
              <w:rPr>
                <w:sz w:val="5"/>
                <w:szCs w:val="5"/>
                <w:color w:val="auto"/>
              </w:rPr>
            </w:pPr>
          </w:p>
        </w:tc>
        <w:tc>
          <w:tcPr>
            <w:tcW w:w="40" w:type="dxa"/>
            <w:vAlign w:val="bottom"/>
            <w:tcBorders>
              <w:top w:val="single" w:sz="8" w:color="0000EE"/>
              <w:bottom w:val="single" w:sz="8" w:color="0000EE"/>
            </w:tcBorders>
          </w:tcPr>
          <w:p>
            <w:pPr>
              <w:spacing w:after="0"/>
              <w:rPr>
                <w:sz w:val="5"/>
                <w:szCs w:val="5"/>
                <w:color w:val="auto"/>
              </w:rPr>
            </w:pPr>
          </w:p>
        </w:tc>
        <w:tc>
          <w:tcPr>
            <w:tcW w:w="180" w:type="dxa"/>
            <w:vAlign w:val="bottom"/>
            <w:tcBorders>
              <w:top w:val="single" w:sz="8" w:color="0000EE"/>
              <w:bottom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r>
      <w:tr>
        <w:trPr>
          <w:trHeight w:val="130"/>
        </w:trPr>
        <w:tc>
          <w:tcPr>
            <w:tcW w:w="920" w:type="dxa"/>
            <w:vAlign w:val="bottom"/>
            <w:tcBorders>
              <w:top w:val="single" w:sz="8" w:color="auto"/>
              <w:right w:val="single" w:sz="8" w:color="auto"/>
            </w:tcBorders>
          </w:tcPr>
          <w:p>
            <w:pPr>
              <w:ind w:left="120"/>
              <w:spacing w:after="0" w:line="130" w:lineRule="exact"/>
              <w:rPr>
                <w:sz w:val="20"/>
                <w:szCs w:val="20"/>
                <w:color w:val="auto"/>
              </w:rPr>
            </w:pPr>
            <w:r>
              <w:rPr>
                <w:rFonts w:ascii="Times New Roman" w:cs="Times New Roman" w:eastAsia="Times New Roman" w:hAnsi="Times New Roman"/>
                <w:sz w:val="15"/>
                <w:szCs w:val="15"/>
                <w:color w:val="auto"/>
              </w:rPr>
              <w:t>10.15</w:t>
            </w:r>
          </w:p>
        </w:tc>
        <w:tc>
          <w:tcPr>
            <w:tcW w:w="100" w:type="dxa"/>
            <w:vAlign w:val="bottom"/>
            <w:tcBorders>
              <w:top w:val="single" w:sz="8" w:color="auto"/>
            </w:tcBorders>
          </w:tcPr>
          <w:p>
            <w:pPr>
              <w:spacing w:after="0"/>
              <w:rPr>
                <w:sz w:val="11"/>
                <w:szCs w:val="11"/>
                <w:color w:val="auto"/>
              </w:rPr>
            </w:pPr>
          </w:p>
        </w:tc>
        <w:tc>
          <w:tcPr>
            <w:tcW w:w="9920" w:type="dxa"/>
            <w:vAlign w:val="bottom"/>
            <w:tcBorders>
              <w:top w:val="single" w:sz="8" w:color="auto"/>
              <w:bottom w:val="single" w:sz="8" w:color="0000FF"/>
            </w:tcBorders>
            <w:gridSpan w:val="16"/>
          </w:tcPr>
          <w:p>
            <w:pPr>
              <w:spacing w:after="0" w:line="130" w:lineRule="exact"/>
              <w:rPr>
                <w:rFonts w:ascii="Times New Roman" w:cs="Times New Roman" w:eastAsia="Times New Roman" w:hAnsi="Times New Roman"/>
                <w:sz w:val="15"/>
                <w:szCs w:val="15"/>
                <w:color w:val="0000FF"/>
              </w:rPr>
            </w:pPr>
            <w:hyperlink r:id="rId652">
              <w:r>
                <w:rPr>
                  <w:rFonts w:ascii="Times New Roman" w:cs="Times New Roman" w:eastAsia="Times New Roman" w:hAnsi="Times New Roman"/>
                  <w:sz w:val="15"/>
                  <w:szCs w:val="15"/>
                  <w:color w:val="0000FF"/>
                </w:rPr>
                <w:t>Form of Securities Purchase Agreement (incorporated by reference to Exhibit 10.1 of Rezolve's Report on Form 6-K, filed December 23,</w:t>
              </w:r>
            </w:hyperlink>
          </w:p>
        </w:tc>
        <w:tc>
          <w:tcPr>
            <w:tcW w:w="300" w:type="dxa"/>
            <w:vAlign w:val="bottom"/>
            <w:tcBorders>
              <w:top w:val="single" w:sz="8" w:color="auto"/>
              <w:right w:val="single" w:sz="8" w:color="auto"/>
            </w:tcBorders>
            <w:gridSpan w:val="4"/>
          </w:tcPr>
          <w:p>
            <w:pPr>
              <w:spacing w:after="0"/>
              <w:rPr>
                <w:sz w:val="11"/>
                <w:szCs w:val="11"/>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680" w:type="dxa"/>
            <w:vAlign w:val="bottom"/>
            <w:gridSpan w:val="5"/>
          </w:tcPr>
          <w:p>
            <w:pPr>
              <w:ind w:left="100"/>
              <w:spacing w:after="0" w:line="196" w:lineRule="exact"/>
              <w:rPr>
                <w:rFonts w:ascii="Times New Roman" w:cs="Times New Roman" w:eastAsia="Times New Roman" w:hAnsi="Times New Roman"/>
                <w:sz w:val="18"/>
                <w:szCs w:val="18"/>
                <w:color w:val="0000FF"/>
              </w:rPr>
            </w:pPr>
            <w:hyperlink r:id="rId652">
              <w:r>
                <w:rPr>
                  <w:rFonts w:ascii="Times New Roman" w:cs="Times New Roman" w:eastAsia="Times New Roman" w:hAnsi="Times New Roman"/>
                  <w:sz w:val="18"/>
                  <w:szCs w:val="18"/>
                  <w:color w:val="0000FF"/>
                </w:rPr>
                <w:t>2024).</w:t>
              </w:r>
            </w:hyperlink>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4"/>
                <w:szCs w:val="14"/>
                <w:color w:val="auto"/>
              </w:rPr>
            </w:pPr>
          </w:p>
        </w:tc>
        <w:tc>
          <w:tcPr>
            <w:tcW w:w="9520" w:type="dxa"/>
            <w:vAlign w:val="bottom"/>
            <w:tcBorders>
              <w:bottom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653">
              <w:r>
                <w:rPr>
                  <w:rFonts w:ascii="Times New Roman" w:cs="Times New Roman" w:eastAsia="Times New Roman" w:hAnsi="Times New Roman"/>
                  <w:sz w:val="18"/>
                  <w:szCs w:val="18"/>
                  <w:color w:val="0000FF"/>
                </w:rPr>
                <w:t>Loan Agreement, dated January 23, 2025, between Rezolve AI Ltd., as borrower, and Joh. Berenberg, Gossler &amp; Co. KG, as lender</w:t>
              </w:r>
            </w:hyperlink>
          </w:p>
        </w:tc>
        <w:tc>
          <w:tcPr>
            <w:tcW w:w="700" w:type="dxa"/>
            <w:vAlign w:val="bottom"/>
            <w:tcBorders>
              <w:right w:val="single" w:sz="8" w:color="auto"/>
            </w:tcBorders>
            <w:gridSpan w:val="7"/>
          </w:tcPr>
          <w:p>
            <w:pPr>
              <w:spacing w:after="0"/>
              <w:rPr>
                <w:sz w:val="14"/>
                <w:szCs w:val="14"/>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320" w:type="dxa"/>
            <w:vAlign w:val="bottom"/>
            <w:tcBorders>
              <w:right w:val="single" w:sz="8" w:color="auto"/>
            </w:tcBorders>
            <w:gridSpan w:val="21"/>
          </w:tcPr>
          <w:p>
            <w:pPr>
              <w:ind w:left="100"/>
              <w:spacing w:after="0" w:line="196" w:lineRule="exact"/>
              <w:rPr>
                <w:rFonts w:ascii="Times New Roman" w:cs="Times New Roman" w:eastAsia="Times New Roman" w:hAnsi="Times New Roman"/>
                <w:sz w:val="18"/>
                <w:szCs w:val="18"/>
                <w:color w:val="0000FF"/>
              </w:rPr>
            </w:pPr>
            <w:hyperlink r:id="rId653">
              <w:r>
                <w:rPr>
                  <w:rFonts w:ascii="Times New Roman" w:cs="Times New Roman" w:eastAsia="Times New Roman" w:hAnsi="Times New Roman"/>
                  <w:sz w:val="18"/>
                  <w:szCs w:val="18"/>
                  <w:color w:val="0000FF"/>
                </w:rPr>
                <w:t>(incorporated by reference to Exhibit 10.1 of Rezolve's Report on Form 6-K, filed January 29, 2025.</w:t>
              </w:r>
            </w:hyperlink>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42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4"/>
                <w:szCs w:val="14"/>
                <w:color w:val="auto"/>
              </w:rPr>
            </w:pPr>
          </w:p>
        </w:tc>
        <w:tc>
          <w:tcPr>
            <w:tcW w:w="998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654">
              <w:r>
                <w:rPr>
                  <w:rFonts w:ascii="Times New Roman" w:cs="Times New Roman" w:eastAsia="Times New Roman" w:hAnsi="Times New Roman"/>
                  <w:sz w:val="18"/>
                  <w:szCs w:val="18"/>
                  <w:color w:val="0000FF"/>
                </w:rPr>
                <w:t>Purchase Agreement, dated February 4, 2025, by and between Rezolve AI Limited and DBLP Sea Cow Ltd. (incorporated by reference to</w:t>
              </w:r>
            </w:hyperlink>
          </w:p>
        </w:tc>
        <w:tc>
          <w:tcPr>
            <w:tcW w:w="240" w:type="dxa"/>
            <w:vAlign w:val="bottom"/>
            <w:tcBorders>
              <w:right w:val="single" w:sz="8" w:color="auto"/>
            </w:tcBorders>
            <w:gridSpan w:val="3"/>
          </w:tcPr>
          <w:p>
            <w:pPr>
              <w:spacing w:after="0"/>
              <w:rPr>
                <w:sz w:val="14"/>
                <w:szCs w:val="14"/>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320" w:type="dxa"/>
            <w:vAlign w:val="bottom"/>
            <w:tcBorders>
              <w:right w:val="single" w:sz="8" w:color="auto"/>
            </w:tcBorders>
            <w:gridSpan w:val="21"/>
          </w:tcPr>
          <w:p>
            <w:pPr>
              <w:ind w:left="100"/>
              <w:spacing w:after="0" w:line="196" w:lineRule="exact"/>
              <w:rPr>
                <w:rFonts w:ascii="Times New Roman" w:cs="Times New Roman" w:eastAsia="Times New Roman" w:hAnsi="Times New Roman"/>
                <w:sz w:val="18"/>
                <w:szCs w:val="18"/>
                <w:color w:val="0000FF"/>
              </w:rPr>
            </w:pPr>
            <w:hyperlink r:id="rId654">
              <w:r>
                <w:rPr>
                  <w:rFonts w:ascii="Times New Roman" w:cs="Times New Roman" w:eastAsia="Times New Roman" w:hAnsi="Times New Roman"/>
                  <w:sz w:val="18"/>
                  <w:szCs w:val="18"/>
                  <w:color w:val="0000FF"/>
                </w:rPr>
                <w:t>Exhibit 10.1 of Rezolve's Report on Form 6-K, filed February 7, 2025).</w:t>
              </w:r>
            </w:hyperlink>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42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4"/>
                <w:szCs w:val="14"/>
                <w:color w:val="auto"/>
              </w:rPr>
            </w:pPr>
          </w:p>
        </w:tc>
        <w:tc>
          <w:tcPr>
            <w:tcW w:w="986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655">
              <w:r>
                <w:rPr>
                  <w:rFonts w:ascii="Times New Roman" w:cs="Times New Roman" w:eastAsia="Times New Roman" w:hAnsi="Times New Roman"/>
                  <w:sz w:val="18"/>
                  <w:szCs w:val="18"/>
                  <w:color w:val="0000FF"/>
                </w:rPr>
                <w:t>Purchase Agreement, dated February 11, 2025, by and among Rezolve AI Limited, GroupBy Inc, GroupBy International Ltd. and Fortis</w:t>
              </w:r>
            </w:hyperlink>
          </w:p>
        </w:tc>
        <w:tc>
          <w:tcPr>
            <w:tcW w:w="360" w:type="dxa"/>
            <w:vAlign w:val="bottom"/>
            <w:tcBorders>
              <w:right w:val="single" w:sz="8" w:color="auto"/>
            </w:tcBorders>
            <w:gridSpan w:val="5"/>
          </w:tcPr>
          <w:p>
            <w:pPr>
              <w:spacing w:after="0"/>
              <w:rPr>
                <w:sz w:val="14"/>
                <w:szCs w:val="14"/>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655">
              <w:r>
                <w:rPr>
                  <w:rFonts w:ascii="Times New Roman" w:cs="Times New Roman" w:eastAsia="Times New Roman" w:hAnsi="Times New Roman"/>
                  <w:sz w:val="18"/>
                  <w:szCs w:val="18"/>
                  <w:color w:val="0000FF"/>
                </w:rPr>
                <w:t>Advisors LLC, as representative of the sellers party thereto (incorporated by reference to Exhibit 10.1 of Rezolve's Report on Form 6-K,</w:t>
              </w:r>
            </w:hyperlink>
          </w:p>
        </w:tc>
        <w:tc>
          <w:tcPr>
            <w:tcW w:w="360" w:type="dxa"/>
            <w:vAlign w:val="bottom"/>
            <w:tcBorders>
              <w:right w:val="single" w:sz="8" w:color="auto"/>
            </w:tcBorders>
            <w:gridSpan w:val="5"/>
          </w:tcPr>
          <w:p>
            <w:pPr>
              <w:spacing w:after="0"/>
              <w:rPr>
                <w:sz w:val="17"/>
                <w:szCs w:val="17"/>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320" w:type="dxa"/>
            <w:vAlign w:val="bottom"/>
            <w:tcBorders>
              <w:right w:val="single" w:sz="8" w:color="auto"/>
            </w:tcBorders>
            <w:gridSpan w:val="21"/>
          </w:tcPr>
          <w:p>
            <w:pPr>
              <w:ind w:left="100"/>
              <w:spacing w:after="0" w:line="196" w:lineRule="exact"/>
              <w:rPr>
                <w:rFonts w:ascii="Times New Roman" w:cs="Times New Roman" w:eastAsia="Times New Roman" w:hAnsi="Times New Roman"/>
                <w:sz w:val="18"/>
                <w:szCs w:val="18"/>
                <w:color w:val="0000FF"/>
              </w:rPr>
            </w:pPr>
            <w:hyperlink r:id="rId655">
              <w:r>
                <w:rPr>
                  <w:rFonts w:ascii="Times New Roman" w:cs="Times New Roman" w:eastAsia="Times New Roman" w:hAnsi="Times New Roman"/>
                  <w:sz w:val="18"/>
                  <w:szCs w:val="18"/>
                  <w:color w:val="0000FF"/>
                </w:rPr>
                <w:t>filed February 11, 2025).</w:t>
              </w:r>
            </w:hyperlink>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4"/>
                <w:szCs w:val="14"/>
                <w:color w:val="auto"/>
              </w:rPr>
            </w:pPr>
          </w:p>
        </w:tc>
        <w:tc>
          <w:tcPr>
            <w:tcW w:w="9480" w:type="dxa"/>
            <w:vAlign w:val="bottom"/>
            <w:tcBorders>
              <w:bottom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656">
              <w:r>
                <w:rPr>
                  <w:rFonts w:ascii="Times New Roman" w:cs="Times New Roman" w:eastAsia="Times New Roman" w:hAnsi="Times New Roman"/>
                  <w:sz w:val="18"/>
                  <w:szCs w:val="18"/>
                  <w:color w:val="0000FF"/>
                </w:rPr>
                <w:t>Form of Securities Purchase Agreement, dated February 21, 2025, between Rezolve AI Ltd., and each of the investors listed on the</w:t>
              </w:r>
            </w:hyperlink>
          </w:p>
        </w:tc>
        <w:tc>
          <w:tcPr>
            <w:tcW w:w="740" w:type="dxa"/>
            <w:vAlign w:val="bottom"/>
            <w:tcBorders>
              <w:right w:val="single" w:sz="8" w:color="auto"/>
            </w:tcBorders>
            <w:gridSpan w:val="8"/>
          </w:tcPr>
          <w:p>
            <w:pPr>
              <w:spacing w:after="0"/>
              <w:rPr>
                <w:sz w:val="14"/>
                <w:szCs w:val="14"/>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320" w:type="dxa"/>
            <w:vAlign w:val="bottom"/>
            <w:tcBorders>
              <w:right w:val="single" w:sz="8" w:color="auto"/>
            </w:tcBorders>
            <w:gridSpan w:val="21"/>
          </w:tcPr>
          <w:p>
            <w:pPr>
              <w:ind w:left="100"/>
              <w:spacing w:after="0" w:line="196" w:lineRule="exact"/>
              <w:rPr>
                <w:rFonts w:ascii="Times New Roman" w:cs="Times New Roman" w:eastAsia="Times New Roman" w:hAnsi="Times New Roman"/>
                <w:sz w:val="18"/>
                <w:szCs w:val="18"/>
                <w:color w:val="0000FF"/>
              </w:rPr>
            </w:pPr>
            <w:hyperlink r:id="rId656">
              <w:r>
                <w:rPr>
                  <w:rFonts w:ascii="Times New Roman" w:cs="Times New Roman" w:eastAsia="Times New Roman" w:hAnsi="Times New Roman"/>
                  <w:sz w:val="18"/>
                  <w:szCs w:val="18"/>
                  <w:color w:val="0000FF"/>
                </w:rPr>
                <w:t>Schedule of Buyers attached thereto (incorporated by reference to Exhibit 10.1 of Rezolve's Report on Form 6-K, filed February 25, 2025).</w:t>
              </w:r>
            </w:hyperlink>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42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10.20</w:t>
            </w:r>
          </w:p>
        </w:tc>
        <w:tc>
          <w:tcPr>
            <w:tcW w:w="10320" w:type="dxa"/>
            <w:vAlign w:val="bottom"/>
            <w:tcBorders>
              <w:right w:val="single" w:sz="8" w:color="auto"/>
            </w:tcBorders>
            <w:gridSpan w:val="21"/>
          </w:tcPr>
          <w:p>
            <w:pPr>
              <w:ind w:left="100"/>
              <w:spacing w:after="0" w:line="169" w:lineRule="exact"/>
              <w:rPr>
                <w:rFonts w:ascii="Times New Roman" w:cs="Times New Roman" w:eastAsia="Times New Roman" w:hAnsi="Times New Roman"/>
                <w:sz w:val="18"/>
                <w:szCs w:val="18"/>
                <w:color w:val="0000FF"/>
              </w:rPr>
            </w:pPr>
            <w:hyperlink r:id="rId657">
              <w:r>
                <w:rPr>
                  <w:rFonts w:ascii="Times New Roman" w:cs="Times New Roman" w:eastAsia="Times New Roman" w:hAnsi="Times New Roman"/>
                  <w:sz w:val="18"/>
                  <w:szCs w:val="18"/>
                  <w:color w:val="0000FF"/>
                </w:rPr>
                <w:t>Form of Convertible Note (incorporated by reference to Exhibit 10.2 of Rezolve's Report on Form 6-K, filed February 25, 2025).</w:t>
              </w:r>
            </w:hyperlink>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42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4"/>
                <w:szCs w:val="14"/>
                <w:color w:val="auto"/>
              </w:rPr>
            </w:pPr>
          </w:p>
        </w:tc>
        <w:tc>
          <w:tcPr>
            <w:tcW w:w="9460" w:type="dxa"/>
            <w:vAlign w:val="bottom"/>
            <w:tcBorders>
              <w:bottom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658">
              <w:r>
                <w:rPr>
                  <w:rFonts w:ascii="Times New Roman" w:cs="Times New Roman" w:eastAsia="Times New Roman" w:hAnsi="Times New Roman"/>
                  <w:sz w:val="18"/>
                  <w:szCs w:val="18"/>
                  <w:color w:val="0000FF"/>
                </w:rPr>
                <w:t>Amendment to the Purchase Agreement, dated February 28, 2025, by and among Rezolve AI Limited and Fortis Advisors LLC, as</w:t>
              </w:r>
            </w:hyperlink>
          </w:p>
        </w:tc>
        <w:tc>
          <w:tcPr>
            <w:tcW w:w="760" w:type="dxa"/>
            <w:vAlign w:val="bottom"/>
            <w:tcBorders>
              <w:right w:val="single" w:sz="8" w:color="auto"/>
            </w:tcBorders>
            <w:gridSpan w:val="9"/>
          </w:tcPr>
          <w:p>
            <w:pPr>
              <w:spacing w:after="0"/>
              <w:rPr>
                <w:sz w:val="14"/>
                <w:szCs w:val="14"/>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320" w:type="dxa"/>
            <w:vAlign w:val="bottom"/>
            <w:tcBorders>
              <w:right w:val="single" w:sz="8" w:color="auto"/>
            </w:tcBorders>
            <w:gridSpan w:val="21"/>
          </w:tcPr>
          <w:p>
            <w:pPr>
              <w:ind w:left="100"/>
              <w:spacing w:after="0" w:line="196" w:lineRule="exact"/>
              <w:rPr>
                <w:rFonts w:ascii="Times New Roman" w:cs="Times New Roman" w:eastAsia="Times New Roman" w:hAnsi="Times New Roman"/>
                <w:sz w:val="18"/>
                <w:szCs w:val="18"/>
                <w:color w:val="0000FF"/>
              </w:rPr>
            </w:pPr>
            <w:hyperlink r:id="rId658">
              <w:r>
                <w:rPr>
                  <w:rFonts w:ascii="Times New Roman" w:cs="Times New Roman" w:eastAsia="Times New Roman" w:hAnsi="Times New Roman"/>
                  <w:sz w:val="18"/>
                  <w:szCs w:val="18"/>
                  <w:color w:val="0000FF"/>
                </w:rPr>
                <w:t>representative of the sellers party thereto (incorporated by reference to Exhibit 10.1 of Rezolve's Report on Form 6-K, filed March 6, 2025).</w:t>
              </w:r>
            </w:hyperlink>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42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9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23.1</w:t>
            </w:r>
          </w:p>
        </w:tc>
        <w:tc>
          <w:tcPr>
            <w:tcW w:w="10320" w:type="dxa"/>
            <w:vAlign w:val="bottom"/>
            <w:tcBorders>
              <w:bottom w:val="single" w:sz="8" w:color="auto"/>
              <w:right w:val="single" w:sz="8" w:color="auto"/>
            </w:tcBorders>
            <w:gridSpan w:val="21"/>
          </w:tcPr>
          <w:p>
            <w:pPr>
              <w:ind w:left="100"/>
              <w:spacing w:after="0"/>
              <w:rPr>
                <w:sz w:val="20"/>
                <w:szCs w:val="20"/>
                <w:color w:val="auto"/>
              </w:rPr>
            </w:pPr>
            <w:r>
              <w:rPr>
                <w:rFonts w:ascii="Times New Roman" w:cs="Times New Roman" w:eastAsia="Times New Roman" w:hAnsi="Times New Roman"/>
                <w:sz w:val="18"/>
                <w:szCs w:val="18"/>
                <w:color w:val="auto"/>
              </w:rPr>
              <w:t>Consent of Grassi &amp; Co., CPAs, PC.</w:t>
            </w: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23.2</w:t>
            </w:r>
          </w:p>
        </w:tc>
        <w:tc>
          <w:tcPr>
            <w:tcW w:w="10320" w:type="dxa"/>
            <w:vAlign w:val="bottom"/>
            <w:tcBorders>
              <w:right w:val="single" w:sz="8" w:color="auto"/>
            </w:tcBorders>
            <w:gridSpan w:val="21"/>
          </w:tcPr>
          <w:p>
            <w:pPr>
              <w:ind w:left="100"/>
              <w:spacing w:after="0" w:line="169" w:lineRule="exact"/>
              <w:rPr>
                <w:sz w:val="20"/>
                <w:szCs w:val="20"/>
                <w:color w:val="auto"/>
              </w:rPr>
            </w:pPr>
            <w:r>
              <w:rPr>
                <w:rFonts w:ascii="Times New Roman" w:cs="Times New Roman" w:eastAsia="Times New Roman" w:hAnsi="Times New Roman"/>
                <w:sz w:val="18"/>
                <w:szCs w:val="18"/>
                <w:color w:val="0000FF"/>
              </w:rPr>
              <w:t>Consent of MNP LLP</w:t>
            </w:r>
            <w:r>
              <w:rPr>
                <w:rFonts w:ascii="Times New Roman" w:cs="Times New Roman" w:eastAsia="Times New Roman" w:hAnsi="Times New Roman"/>
                <w:sz w:val="18"/>
                <w:szCs w:val="18"/>
                <w:color w:val="000000"/>
              </w:rPr>
              <w:t>.</w:t>
            </w: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II-2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98"/>
        </w:trPr>
        <w:tc>
          <w:tcPr>
            <w:tcW w:w="920" w:type="dxa"/>
            <w:vAlign w:val="bottom"/>
            <w:tcBorders>
              <w:bottom w:val="single" w:sz="8" w:color="A0A0A0"/>
            </w:tcBorders>
          </w:tcPr>
          <w:p>
            <w:pPr>
              <w:spacing w:after="0"/>
              <w:rPr>
                <w:sz w:val="17"/>
                <w:szCs w:val="17"/>
                <w:color w:val="auto"/>
              </w:rPr>
            </w:pPr>
          </w:p>
        </w:tc>
        <w:tc>
          <w:tcPr>
            <w:tcW w:w="100" w:type="dxa"/>
            <w:vAlign w:val="bottom"/>
            <w:tcBorders>
              <w:bottom w:val="single" w:sz="8" w:color="A0A0A0"/>
            </w:tcBorders>
          </w:tcPr>
          <w:p>
            <w:pPr>
              <w:spacing w:after="0"/>
              <w:rPr>
                <w:sz w:val="17"/>
                <w:szCs w:val="17"/>
                <w:color w:val="auto"/>
              </w:rPr>
            </w:pPr>
          </w:p>
        </w:tc>
        <w:tc>
          <w:tcPr>
            <w:tcW w:w="120" w:type="dxa"/>
            <w:vAlign w:val="bottom"/>
            <w:tcBorders>
              <w:bottom w:val="single" w:sz="8" w:color="A0A0A0"/>
            </w:tcBorders>
          </w:tcPr>
          <w:p>
            <w:pPr>
              <w:spacing w:after="0"/>
              <w:rPr>
                <w:sz w:val="17"/>
                <w:szCs w:val="17"/>
                <w:color w:val="auto"/>
              </w:rPr>
            </w:pPr>
          </w:p>
        </w:tc>
        <w:tc>
          <w:tcPr>
            <w:tcW w:w="100" w:type="dxa"/>
            <w:vAlign w:val="bottom"/>
            <w:tcBorders>
              <w:bottom w:val="single" w:sz="8" w:color="A0A0A0"/>
            </w:tcBorders>
          </w:tcPr>
          <w:p>
            <w:pPr>
              <w:spacing w:after="0"/>
              <w:rPr>
                <w:sz w:val="17"/>
                <w:szCs w:val="17"/>
                <w:color w:val="auto"/>
              </w:rPr>
            </w:pPr>
          </w:p>
        </w:tc>
        <w:tc>
          <w:tcPr>
            <w:tcW w:w="240" w:type="dxa"/>
            <w:vAlign w:val="bottom"/>
            <w:tcBorders>
              <w:bottom w:val="single" w:sz="8" w:color="A0A0A0"/>
            </w:tcBorders>
          </w:tcPr>
          <w:p>
            <w:pPr>
              <w:spacing w:after="0"/>
              <w:rPr>
                <w:sz w:val="17"/>
                <w:szCs w:val="17"/>
                <w:color w:val="auto"/>
              </w:rPr>
            </w:pPr>
          </w:p>
        </w:tc>
        <w:tc>
          <w:tcPr>
            <w:tcW w:w="1120" w:type="dxa"/>
            <w:vAlign w:val="bottom"/>
            <w:tcBorders>
              <w:bottom w:val="single" w:sz="8" w:color="A0A0A0"/>
            </w:tcBorders>
          </w:tcPr>
          <w:p>
            <w:pPr>
              <w:spacing w:after="0"/>
              <w:rPr>
                <w:sz w:val="17"/>
                <w:szCs w:val="17"/>
                <w:color w:val="auto"/>
              </w:rPr>
            </w:pPr>
          </w:p>
        </w:tc>
        <w:tc>
          <w:tcPr>
            <w:tcW w:w="220" w:type="dxa"/>
            <w:vAlign w:val="bottom"/>
            <w:tcBorders>
              <w:bottom w:val="single" w:sz="8" w:color="A0A0A0"/>
            </w:tcBorders>
          </w:tcPr>
          <w:p>
            <w:pPr>
              <w:spacing w:after="0"/>
              <w:rPr>
                <w:sz w:val="17"/>
                <w:szCs w:val="17"/>
                <w:color w:val="auto"/>
              </w:rPr>
            </w:pPr>
          </w:p>
        </w:tc>
        <w:tc>
          <w:tcPr>
            <w:tcW w:w="200" w:type="dxa"/>
            <w:vAlign w:val="bottom"/>
            <w:tcBorders>
              <w:bottom w:val="single" w:sz="8" w:color="A0A0A0"/>
            </w:tcBorders>
          </w:tcPr>
          <w:p>
            <w:pPr>
              <w:spacing w:after="0"/>
              <w:rPr>
                <w:sz w:val="17"/>
                <w:szCs w:val="17"/>
                <w:color w:val="auto"/>
              </w:rPr>
            </w:pPr>
          </w:p>
        </w:tc>
        <w:tc>
          <w:tcPr>
            <w:tcW w:w="2420" w:type="dxa"/>
            <w:vAlign w:val="bottom"/>
            <w:tcBorders>
              <w:bottom w:val="single" w:sz="8" w:color="A0A0A0"/>
            </w:tcBorders>
          </w:tcPr>
          <w:p>
            <w:pPr>
              <w:spacing w:after="0"/>
              <w:rPr>
                <w:sz w:val="17"/>
                <w:szCs w:val="17"/>
                <w:color w:val="auto"/>
              </w:rPr>
            </w:pPr>
          </w:p>
        </w:tc>
        <w:tc>
          <w:tcPr>
            <w:tcW w:w="720" w:type="dxa"/>
            <w:vAlign w:val="bottom"/>
            <w:tcBorders>
              <w:bottom w:val="single" w:sz="8" w:color="A0A0A0"/>
            </w:tcBorders>
          </w:tcPr>
          <w:p>
            <w:pPr>
              <w:spacing w:after="0"/>
              <w:rPr>
                <w:sz w:val="17"/>
                <w:szCs w:val="17"/>
                <w:color w:val="auto"/>
              </w:rPr>
            </w:pPr>
          </w:p>
        </w:tc>
        <w:tc>
          <w:tcPr>
            <w:tcW w:w="2080" w:type="dxa"/>
            <w:vAlign w:val="bottom"/>
            <w:tcBorders>
              <w:bottom w:val="single" w:sz="8" w:color="A0A0A0"/>
            </w:tcBorders>
          </w:tcPr>
          <w:p>
            <w:pPr>
              <w:spacing w:after="0"/>
              <w:rPr>
                <w:sz w:val="17"/>
                <w:szCs w:val="17"/>
                <w:color w:val="auto"/>
              </w:rPr>
            </w:pPr>
          </w:p>
        </w:tc>
        <w:tc>
          <w:tcPr>
            <w:tcW w:w="2080" w:type="dxa"/>
            <w:vAlign w:val="bottom"/>
            <w:tcBorders>
              <w:bottom w:val="single" w:sz="8" w:color="A0A0A0"/>
            </w:tcBorders>
          </w:tcPr>
          <w:p>
            <w:pPr>
              <w:spacing w:after="0"/>
              <w:rPr>
                <w:sz w:val="17"/>
                <w:szCs w:val="17"/>
                <w:color w:val="auto"/>
              </w:rPr>
            </w:pPr>
          </w:p>
        </w:tc>
        <w:tc>
          <w:tcPr>
            <w:tcW w:w="160" w:type="dxa"/>
            <w:vAlign w:val="bottom"/>
            <w:tcBorders>
              <w:bottom w:val="single" w:sz="8" w:color="A0A0A0"/>
            </w:tcBorders>
          </w:tcPr>
          <w:p>
            <w:pPr>
              <w:spacing w:after="0"/>
              <w:rPr>
                <w:sz w:val="17"/>
                <w:szCs w:val="17"/>
                <w:color w:val="auto"/>
              </w:rPr>
            </w:pPr>
          </w:p>
        </w:tc>
        <w:tc>
          <w:tcPr>
            <w:tcW w:w="20" w:type="dxa"/>
            <w:vAlign w:val="bottom"/>
            <w:tcBorders>
              <w:bottom w:val="single" w:sz="8" w:color="A0A0A0"/>
            </w:tcBorders>
          </w:tcPr>
          <w:p>
            <w:pPr>
              <w:spacing w:after="0"/>
              <w:rPr>
                <w:sz w:val="17"/>
                <w:szCs w:val="17"/>
                <w:color w:val="auto"/>
              </w:rPr>
            </w:pPr>
          </w:p>
        </w:tc>
        <w:tc>
          <w:tcPr>
            <w:tcW w:w="40" w:type="dxa"/>
            <w:vAlign w:val="bottom"/>
            <w:tcBorders>
              <w:bottom w:val="single" w:sz="8" w:color="A0A0A0"/>
            </w:tcBorders>
          </w:tcPr>
          <w:p>
            <w:pPr>
              <w:spacing w:after="0"/>
              <w:rPr>
                <w:sz w:val="17"/>
                <w:szCs w:val="17"/>
                <w:color w:val="auto"/>
              </w:rPr>
            </w:pPr>
          </w:p>
        </w:tc>
        <w:tc>
          <w:tcPr>
            <w:tcW w:w="180" w:type="dxa"/>
            <w:vAlign w:val="bottom"/>
            <w:tcBorders>
              <w:bottom w:val="single" w:sz="8" w:color="A0A0A0"/>
            </w:tcBorders>
          </w:tcPr>
          <w:p>
            <w:pPr>
              <w:spacing w:after="0"/>
              <w:rPr>
                <w:sz w:val="17"/>
                <w:szCs w:val="17"/>
                <w:color w:val="auto"/>
              </w:rPr>
            </w:pPr>
          </w:p>
        </w:tc>
        <w:tc>
          <w:tcPr>
            <w:tcW w:w="160" w:type="dxa"/>
            <w:vAlign w:val="bottom"/>
            <w:tcBorders>
              <w:bottom w:val="single" w:sz="8" w:color="A0A0A0"/>
            </w:tcBorders>
          </w:tcPr>
          <w:p>
            <w:pPr>
              <w:spacing w:after="0"/>
              <w:rPr>
                <w:sz w:val="17"/>
                <w:szCs w:val="17"/>
                <w:color w:val="auto"/>
              </w:rPr>
            </w:pPr>
          </w:p>
        </w:tc>
        <w:tc>
          <w:tcPr>
            <w:tcW w:w="60" w:type="dxa"/>
            <w:vAlign w:val="bottom"/>
            <w:tcBorders>
              <w:bottom w:val="single" w:sz="8" w:color="A0A0A0"/>
            </w:tcBorders>
          </w:tcPr>
          <w:p>
            <w:pPr>
              <w:spacing w:after="0"/>
              <w:rPr>
                <w:sz w:val="17"/>
                <w:szCs w:val="17"/>
                <w:color w:val="auto"/>
              </w:rPr>
            </w:pPr>
          </w:p>
        </w:tc>
        <w:tc>
          <w:tcPr>
            <w:tcW w:w="60" w:type="dxa"/>
            <w:vAlign w:val="bottom"/>
            <w:tcBorders>
              <w:bottom w:val="single" w:sz="8" w:color="A0A0A0"/>
            </w:tcBorders>
          </w:tcPr>
          <w:p>
            <w:pPr>
              <w:spacing w:after="0"/>
              <w:rPr>
                <w:sz w:val="17"/>
                <w:szCs w:val="17"/>
                <w:color w:val="auto"/>
              </w:rPr>
            </w:pPr>
          </w:p>
        </w:tc>
        <w:tc>
          <w:tcPr>
            <w:tcW w:w="40" w:type="dxa"/>
            <w:vAlign w:val="bottom"/>
            <w:tcBorders>
              <w:bottom w:val="single" w:sz="8" w:color="A0A0A0"/>
            </w:tcBorders>
          </w:tcPr>
          <w:p>
            <w:pPr>
              <w:spacing w:after="0"/>
              <w:rPr>
                <w:sz w:val="17"/>
                <w:szCs w:val="17"/>
                <w:color w:val="auto"/>
              </w:rPr>
            </w:pPr>
          </w:p>
        </w:tc>
        <w:tc>
          <w:tcPr>
            <w:tcW w:w="60" w:type="dxa"/>
            <w:vAlign w:val="bottom"/>
            <w:tcBorders>
              <w:bottom w:val="single" w:sz="8" w:color="A0A0A0"/>
            </w:tcBorders>
          </w:tcPr>
          <w:p>
            <w:pPr>
              <w:spacing w:after="0"/>
              <w:rPr>
                <w:sz w:val="17"/>
                <w:szCs w:val="17"/>
                <w:color w:val="auto"/>
              </w:rPr>
            </w:pPr>
          </w:p>
        </w:tc>
        <w:tc>
          <w:tcPr>
            <w:tcW w:w="140" w:type="dxa"/>
            <w:vAlign w:val="bottom"/>
            <w:tcBorders>
              <w:bottom w:val="single" w:sz="8" w:color="A0A0A0"/>
            </w:tcBorders>
          </w:tcPr>
          <w:p>
            <w:pPr>
              <w:spacing w:after="0"/>
              <w:rPr>
                <w:sz w:val="17"/>
                <w:szCs w:val="17"/>
                <w:color w:val="auto"/>
              </w:rPr>
            </w:pPr>
          </w:p>
        </w:tc>
      </w:tr>
      <w:tr>
        <w:trPr>
          <w:trHeight w:val="462"/>
        </w:trPr>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132"/>
        </w:trPr>
        <w:tc>
          <w:tcPr>
            <w:tcW w:w="920" w:type="dxa"/>
            <w:vAlign w:val="bottom"/>
            <w:tcBorders>
              <w:left w:val="single" w:sz="8" w:color="auto"/>
            </w:tcBorders>
          </w:tcPr>
          <w:p>
            <w:pPr>
              <w:ind w:left="120"/>
              <w:spacing w:after="0" w:line="133" w:lineRule="exact"/>
              <w:rPr>
                <w:sz w:val="20"/>
                <w:szCs w:val="20"/>
                <w:color w:val="auto"/>
              </w:rPr>
            </w:pPr>
            <w:r>
              <w:rPr>
                <w:rFonts w:ascii="Times New Roman" w:cs="Times New Roman" w:eastAsia="Times New Roman" w:hAnsi="Times New Roman"/>
                <w:sz w:val="15"/>
                <w:szCs w:val="15"/>
                <w:color w:val="auto"/>
              </w:rPr>
              <w:t>23.3*</w:t>
            </w:r>
          </w:p>
        </w:tc>
        <w:tc>
          <w:tcPr>
            <w:tcW w:w="1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100" w:type="dxa"/>
            <w:vAlign w:val="bottom"/>
            <w:tcBorders>
              <w:right w:val="single" w:sz="8" w:color="auto"/>
            </w:tcBorders>
            <w:gridSpan w:val="19"/>
          </w:tcPr>
          <w:p>
            <w:pPr>
              <w:ind w:left="100"/>
              <w:spacing w:after="0" w:line="133" w:lineRule="exact"/>
              <w:rPr>
                <w:rFonts w:ascii="Times New Roman" w:cs="Times New Roman" w:eastAsia="Times New Roman" w:hAnsi="Times New Roman"/>
                <w:sz w:val="15"/>
                <w:szCs w:val="15"/>
                <w:color w:val="0000FF"/>
              </w:rPr>
            </w:pPr>
            <w:hyperlink r:id="rId635">
              <w:r>
                <w:rPr>
                  <w:rFonts w:ascii="Times New Roman" w:cs="Times New Roman" w:eastAsia="Times New Roman" w:hAnsi="Times New Roman"/>
                  <w:sz w:val="15"/>
                  <w:szCs w:val="15"/>
                  <w:color w:val="0000FF"/>
                </w:rPr>
                <w:t>Consent of Taylor Wessing LLP (included in Exhibit 5.1).</w:t>
              </w:r>
            </w:hyperlink>
          </w:p>
        </w:tc>
      </w:tr>
      <w:tr>
        <w:trPr>
          <w:trHeight w:val="60"/>
        </w:trPr>
        <w:tc>
          <w:tcPr>
            <w:tcW w:w="920" w:type="dxa"/>
            <w:vAlign w:val="bottom"/>
            <w:tcBorders>
              <w:left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top w:val="single" w:sz="8" w:color="0000FF"/>
              <w:bottom w:val="single" w:sz="8" w:color="0000FF"/>
            </w:tcBorders>
          </w:tcPr>
          <w:p>
            <w:pPr>
              <w:spacing w:after="0"/>
              <w:rPr>
                <w:sz w:val="5"/>
                <w:szCs w:val="5"/>
                <w:color w:val="auto"/>
              </w:rPr>
            </w:pPr>
          </w:p>
        </w:tc>
        <w:tc>
          <w:tcPr>
            <w:tcW w:w="1120" w:type="dxa"/>
            <w:vAlign w:val="bottom"/>
            <w:tcBorders>
              <w:top w:val="single" w:sz="8" w:color="0000FF"/>
              <w:bottom w:val="single" w:sz="8" w:color="0000FF"/>
            </w:tcBorders>
          </w:tcPr>
          <w:p>
            <w:pPr>
              <w:spacing w:after="0"/>
              <w:rPr>
                <w:sz w:val="5"/>
                <w:szCs w:val="5"/>
                <w:color w:val="auto"/>
              </w:rPr>
            </w:pPr>
          </w:p>
        </w:tc>
        <w:tc>
          <w:tcPr>
            <w:tcW w:w="220" w:type="dxa"/>
            <w:vAlign w:val="bottom"/>
            <w:tcBorders>
              <w:top w:val="single" w:sz="8" w:color="0000FF"/>
              <w:bottom w:val="single" w:sz="8" w:color="0000FF"/>
            </w:tcBorders>
          </w:tcPr>
          <w:p>
            <w:pPr>
              <w:spacing w:after="0"/>
              <w:rPr>
                <w:sz w:val="5"/>
                <w:szCs w:val="5"/>
                <w:color w:val="auto"/>
              </w:rPr>
            </w:pPr>
          </w:p>
        </w:tc>
        <w:tc>
          <w:tcPr>
            <w:tcW w:w="200" w:type="dxa"/>
            <w:vAlign w:val="bottom"/>
            <w:tcBorders>
              <w:top w:val="single" w:sz="8" w:color="0000FF"/>
              <w:bottom w:val="single" w:sz="8" w:color="0000FF"/>
            </w:tcBorders>
          </w:tcPr>
          <w:p>
            <w:pPr>
              <w:spacing w:after="0"/>
              <w:rPr>
                <w:sz w:val="5"/>
                <w:szCs w:val="5"/>
                <w:color w:val="auto"/>
              </w:rPr>
            </w:pPr>
          </w:p>
        </w:tc>
        <w:tc>
          <w:tcPr>
            <w:tcW w:w="2420" w:type="dxa"/>
            <w:vAlign w:val="bottom"/>
            <w:tcBorders>
              <w:top w:val="single" w:sz="8" w:color="0000FF"/>
              <w:bottom w:val="single" w:sz="8" w:color="0000FF"/>
            </w:tcBorders>
          </w:tcPr>
          <w:p>
            <w:pPr>
              <w:spacing w:after="0"/>
              <w:rPr>
                <w:sz w:val="5"/>
                <w:szCs w:val="5"/>
                <w:color w:val="auto"/>
              </w:rPr>
            </w:pPr>
          </w:p>
        </w:tc>
        <w:tc>
          <w:tcPr>
            <w:tcW w:w="7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r>
      <w:tr>
        <w:trPr>
          <w:trHeight w:val="152"/>
        </w:trPr>
        <w:tc>
          <w:tcPr>
            <w:tcW w:w="920" w:type="dxa"/>
            <w:vAlign w:val="bottom"/>
            <w:tcBorders>
              <w:top w:val="single" w:sz="8" w:color="auto"/>
            </w:tcBorders>
          </w:tcPr>
          <w:p>
            <w:pPr>
              <w:ind w:left="120"/>
              <w:spacing w:after="0" w:line="152" w:lineRule="exact"/>
              <w:rPr>
                <w:sz w:val="20"/>
                <w:szCs w:val="20"/>
                <w:color w:val="auto"/>
              </w:rPr>
            </w:pPr>
            <w:r>
              <w:rPr>
                <w:rFonts w:ascii="Times New Roman" w:cs="Times New Roman" w:eastAsia="Times New Roman" w:hAnsi="Times New Roman"/>
                <w:sz w:val="17"/>
                <w:szCs w:val="17"/>
                <w:color w:val="auto"/>
              </w:rPr>
              <w:t>101.INS</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10100" w:type="dxa"/>
            <w:vAlign w:val="bottom"/>
            <w:tcBorders>
              <w:top w:val="single" w:sz="8" w:color="auto"/>
              <w:right w:val="single" w:sz="8" w:color="auto"/>
            </w:tcBorders>
            <w:gridSpan w:val="19"/>
          </w:tcPr>
          <w:p>
            <w:pPr>
              <w:ind w:left="100"/>
              <w:spacing w:after="0" w:line="152" w:lineRule="exact"/>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w:t>
            </w:r>
          </w:p>
        </w:tc>
      </w:tr>
      <w:tr>
        <w:trPr>
          <w:trHeight w:val="234"/>
        </w:trPr>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100" w:type="dxa"/>
            <w:vAlign w:val="bottom"/>
            <w:tcBorders>
              <w:bottom w:val="single" w:sz="8" w:color="auto"/>
              <w:right w:val="single" w:sz="8" w:color="auto"/>
            </w:tcBorders>
            <w:gridSpan w:val="19"/>
          </w:tcPr>
          <w:p>
            <w:pPr>
              <w:ind w:left="1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0"/>
        </w:trPr>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00" w:type="dxa"/>
            <w:vAlign w:val="bottom"/>
            <w:tcBorders>
              <w:bottom w:val="single" w:sz="8" w:color="auto"/>
              <w:right w:val="single" w:sz="8" w:color="auto"/>
            </w:tcBorders>
            <w:gridSpan w:val="19"/>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10"/>
        </w:trPr>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00" w:type="dxa"/>
            <w:vAlign w:val="bottom"/>
            <w:tcBorders>
              <w:bottom w:val="single" w:sz="8" w:color="auto"/>
              <w:right w:val="single" w:sz="8" w:color="auto"/>
            </w:tcBorders>
            <w:gridSpan w:val="19"/>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w:t>
            </w:r>
          </w:p>
        </w:tc>
      </w:tr>
      <w:tr>
        <w:trPr>
          <w:trHeight w:val="169"/>
        </w:trPr>
        <w:tc>
          <w:tcPr>
            <w:tcW w:w="92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100" w:type="dxa"/>
            <w:vAlign w:val="bottom"/>
            <w:tcBorders>
              <w:right w:val="single" w:sz="8" w:color="auto"/>
            </w:tcBorders>
            <w:gridSpan w:val="19"/>
          </w:tcPr>
          <w:p>
            <w:pPr>
              <w:ind w:left="100"/>
              <w:spacing w:after="0" w:line="169" w:lineRule="exact"/>
              <w:rPr>
                <w:rFonts w:ascii="Times New Roman" w:cs="Times New Roman" w:eastAsia="Times New Roman" w:hAnsi="Times New Roman"/>
                <w:sz w:val="18"/>
                <w:szCs w:val="18"/>
                <w:color w:val="0000FF"/>
              </w:rPr>
            </w:pPr>
            <w:hyperlink r:id="rId659">
              <w:r>
                <w:rPr>
                  <w:rFonts w:ascii="Times New Roman" w:cs="Times New Roman" w:eastAsia="Times New Roman" w:hAnsi="Times New Roman"/>
                  <w:sz w:val="18"/>
                  <w:szCs w:val="18"/>
                  <w:color w:val="0000FF"/>
                </w:rPr>
                <w:t>Calculation of Fee Table</w:t>
              </w:r>
            </w:hyperlink>
            <w:r>
              <w:rPr>
                <w:rFonts w:ascii="Times New Roman" w:cs="Times New Roman" w:eastAsia="Times New Roman" w:hAnsi="Times New Roman"/>
                <w:sz w:val="18"/>
                <w:szCs w:val="18"/>
                <w:color w:val="000000"/>
              </w:rPr>
              <w:t>.</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As previously filed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(1)To file, during any period in which offers or sales are being made, a post-effective amendment to this registration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(i)To include any prospectus required by Section 10(a)(3) of the Securities Act of 1933, as amended;</w:t>
      </w:r>
    </w:p>
    <w:p>
      <w:pPr>
        <w:spacing w:after="0" w:line="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(iii)To include any material information with respect to the plan of distribution not previously disclosed in the registration statement or any material change to such information in the registration statement.</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(2)That,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825500</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95" w:name="page196"/>
    <w:bookmarkEnd w:id="195"/>
    <w:p>
      <w:pPr>
        <w:ind w:right="260"/>
        <w:spacing w:after="0" w:line="261" w:lineRule="auto"/>
        <w:rPr>
          <w:sz w:val="20"/>
          <w:szCs w:val="20"/>
          <w:color w:val="auto"/>
        </w:rPr>
      </w:pPr>
      <w:r>
        <w:rPr>
          <w:rFonts w:ascii="Times New Roman" w:cs="Times New Roman" w:eastAsia="Times New Roman" w:hAnsi="Times New Roman"/>
          <w:sz w:val="18"/>
          <w:szCs w:val="18"/>
          <w:color w:val="auto"/>
        </w:rPr>
        <w:t>(3)To remove from registration by means of a post-effective amendment any of the securities being registered which remain unsold at the termination of the offering.</w:t>
      </w:r>
    </w:p>
    <w:p>
      <w:pPr>
        <w:ind w:right="40"/>
        <w:spacing w:after="0" w:line="250" w:lineRule="auto"/>
        <w:rPr>
          <w:sz w:val="20"/>
          <w:szCs w:val="20"/>
          <w:color w:val="auto"/>
        </w:rPr>
      </w:pPr>
      <w:r>
        <w:rPr>
          <w:rFonts w:ascii="Times New Roman" w:cs="Times New Roman" w:eastAsia="Times New Roman" w:hAnsi="Times New Roman"/>
          <w:sz w:val="18"/>
          <w:szCs w:val="18"/>
          <w:color w:val="auto"/>
        </w:rPr>
        <w:t>(4)That,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(5)To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p>
      <w:pPr>
        <w:spacing w:after="0" w:line="2"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(6)That,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(i)Any preliminary prospectus or prospectus of the undersigned registrant relating to the offering required to be filed pursuant to Rule 424;</w:t>
      </w:r>
    </w:p>
    <w:p>
      <w:pPr>
        <w:spacing w:after="0" w:line="2"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(ii)Any free writing prospectus relating to the offering prepared by or on behalf of the undersigned registrant or used or referred to by the undersigned registrant;</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(iii)The portion of any other free writing prospectus relating to the offering containing material information about the undersigned registrant or its securities provided by or on behalf of the undersigned registrant;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(iv)Any other communication that is an offer in the offering made by the undersigned registrant to the purchaser.</w:t>
      </w:r>
    </w:p>
    <w:p>
      <w:pPr>
        <w:spacing w:after="0" w:line="207"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821690</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Post-Effective Amendment No. 1 to the Registration Statement on Form F-1 to be signed on its behalf by the undersigned, thereunto duly authorized, in the city of London, United Kingdom, on the 2nd day of May, 2025.</w:t>
      </w:r>
    </w:p>
    <w:p>
      <w:pPr>
        <w:spacing w:after="0" w:line="3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5715</wp:posOffset>
            </wp:positionV>
            <wp:extent cx="185166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62">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ind w:left="2400"/>
        <w:spacing w:after="0"/>
        <w:rPr>
          <w:sz w:val="20"/>
          <w:szCs w:val="20"/>
          <w:color w:val="auto"/>
        </w:rPr>
      </w:pPr>
      <w:r>
        <w:rPr>
          <w:rFonts w:ascii="Times New Roman" w:cs="Times New Roman" w:eastAsia="Times New Roman" w:hAnsi="Times New Roman"/>
          <w:sz w:val="18"/>
          <w:szCs w:val="18"/>
          <w:color w:val="auto"/>
        </w:rPr>
        <w:t>Daniel Wagner</w:t>
      </w:r>
    </w:p>
    <w:p>
      <w:pPr>
        <w:spacing w:after="0" w:line="2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Post-Effective Amendment No. 1 to the Registration Statement on Form F-1 has been signed by the following persons in the capacities and on the dates indicated.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6100" w:type="dxa"/>
            <w:vAlign w:val="bottom"/>
            <w:tcBorders>
              <w:bottom w:val="single" w:sz="8" w:color="auto"/>
            </w:tcBorders>
          </w:tcPr>
          <w:p>
            <w:pPr>
              <w:ind w:left="29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Daniel Wagner</w:t>
            </w:r>
          </w:p>
        </w:tc>
        <w:tc>
          <w:tcPr>
            <w:tcW w:w="12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 2025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Daniel Wagner</w:t>
            </w:r>
          </w:p>
        </w:tc>
        <w:tc>
          <w:tcPr>
            <w:tcW w:w="120" w:type="dxa"/>
            <w:vAlign w:val="bottom"/>
          </w:tcPr>
          <w:p>
            <w:pPr>
              <w:spacing w:after="0"/>
              <w:rPr>
                <w:sz w:val="7"/>
                <w:szCs w:val="7"/>
                <w:color w:val="auto"/>
              </w:rPr>
            </w:pPr>
          </w:p>
        </w:tc>
        <w:tc>
          <w:tcPr>
            <w:tcW w:w="6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7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 Richard Burchill</w:t>
            </w:r>
          </w:p>
        </w:tc>
        <w:tc>
          <w:tcPr>
            <w:tcW w:w="12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 , 2025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Richard Burchill</w:t>
            </w:r>
          </w:p>
        </w:tc>
        <w:tc>
          <w:tcPr>
            <w:tcW w:w="120" w:type="dxa"/>
            <w:vAlign w:val="bottom"/>
          </w:tcPr>
          <w:p>
            <w:pPr>
              <w:spacing w:after="0"/>
              <w:rPr>
                <w:sz w:val="7"/>
                <w:szCs w:val="7"/>
                <w:color w:val="auto"/>
              </w:rPr>
            </w:pPr>
          </w:p>
        </w:tc>
        <w:tc>
          <w:tcPr>
            <w:tcW w:w="6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May 2, 2025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/s/ Anthony Sharp</w:t>
            </w: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2 ,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Anthony Sharp</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Sir David Wright</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May 2,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Sir David Wright</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Stephen Perry</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May 2,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Stephen Perry</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May 2,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John Wagner</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Derek Smith</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May 2,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Derek Smith</w:t>
            </w:r>
          </w:p>
        </w:tc>
        <w:tc>
          <w:tcPr>
            <w:tcW w:w="120" w:type="dxa"/>
            <w:vAlign w:val="bottom"/>
          </w:tcPr>
          <w:p>
            <w:pPr>
              <w:spacing w:after="0"/>
              <w:rPr>
                <w:sz w:val="18"/>
                <w:szCs w:val="18"/>
                <w:color w:val="auto"/>
              </w:rPr>
            </w:pPr>
          </w:p>
        </w:tc>
        <w:tc>
          <w:tcPr>
            <w:tcW w:w="6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Stephen Herbert</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May 2,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Stephen Herbert</w:t>
            </w:r>
          </w:p>
        </w:tc>
        <w:tc>
          <w:tcPr>
            <w:tcW w:w="120" w:type="dxa"/>
            <w:vAlign w:val="bottom"/>
          </w:tcPr>
          <w:p>
            <w:pPr>
              <w:spacing w:after="0"/>
              <w:rPr>
                <w:sz w:val="18"/>
                <w:szCs w:val="18"/>
                <w:color w:val="auto"/>
              </w:rPr>
            </w:pPr>
          </w:p>
        </w:tc>
        <w:tc>
          <w:tcPr>
            <w:tcW w:w="6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1581785</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7" w:name="page198"/>
    <w:bookmarkEnd w:id="1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THE REGISTRANT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Post-Effective Amendment No. 1 to the Registration Statement on Form F-1 to be signed on its behalf by the undersigned, thereunto duly authorized, in the city of New York, New York, on the 2 of May, 2025.</w:t>
      </w:r>
    </w:p>
    <w:p>
      <w:pPr>
        <w:spacing w:after="0" w:line="38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2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 Colleen A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17145</wp:posOffset>
            </wp:positionV>
            <wp:extent cx="567499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64">
                      <a:extLst>
                        <a:ext uri="{28A0092B-C50C-407E-A947-70E740481C1C}"/>
                      </a:extLst>
                    </a:blip>
                    <a:srcRect/>
                    <a:stretch>
                      <a:fillRect/>
                    </a:stretch>
                  </pic:blipFill>
                  <pic:spPr bwMode="auto">
                    <a:xfrm>
                      <a:off x="0" y="0"/>
                      <a:ext cx="5674995" cy="8890"/>
                    </a:xfrm>
                    <a:prstGeom prst="rect">
                      <a:avLst/>
                    </a:prstGeom>
                    <a:noFill/>
                  </pic:spPr>
                </pic:pic>
              </a:graphicData>
            </a:graphic>
          </wp:anchor>
        </w:drawing>
      </w:r>
    </w:p>
    <w:p>
      <w:pPr>
        <w:spacing w:after="0" w:line="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Colleen A. DeVries</w:t>
      </w:r>
    </w:p>
    <w:p>
      <w:pPr>
        <w:spacing w:after="0" w:line="2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Senior Vice-President on behalf of Cogency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970280</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8" w:name="page199"/>
    <w:bookmarkEnd w:id="198"/>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INDEPENDENT REGISTERED PUBLIC ACCOUNTING FIRM’S CONSENT</w:t>
      </w:r>
    </w:p>
    <w:p>
      <w:pPr>
        <w:spacing w:after="0" w:line="200" w:lineRule="exact"/>
        <w:rPr>
          <w:sz w:val="20"/>
          <w:szCs w:val="20"/>
          <w:color w:val="auto"/>
        </w:rPr>
      </w:pPr>
    </w:p>
    <w:p>
      <w:pPr>
        <w:spacing w:after="0" w:line="28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hereby consent to the inclusion in this Registration Statement No. 333-282004 on Form F-1 of our report dated April 23, 2025, relating to the consolidated financial statements of Rezolve AI plc and Subsidiaries as of and for the years ended December 31, 2024 and 2023. We also consent to the reference to our firm under the heading “Experts” appearing therein.</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color w:val="auto"/>
        </w:rPr>
        <w:t>/s/ Grassi &amp; Co., CPAs, P.C.</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Grassi &amp; Co., CPAs, P.C.</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Jericho, New York</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May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383" w:lineRule="exact"/>
        <w:rPr>
          <w:sz w:val="20"/>
          <w:szCs w:val="20"/>
          <w:color w:val="auto"/>
        </w:rPr>
      </w:pPr>
    </w:p>
    <w:p>
      <w:pPr>
        <w:ind w:left="1040"/>
        <w:spacing w:after="0"/>
        <w:rPr>
          <w:sz w:val="20"/>
          <w:szCs w:val="20"/>
          <w:color w:val="auto"/>
        </w:rPr>
      </w:pPr>
      <w:r>
        <w:rPr>
          <w:rFonts w:ascii="Arial" w:cs="Arial" w:eastAsia="Arial" w:hAnsi="Arial"/>
          <w:sz w:val="20"/>
          <w:szCs w:val="20"/>
          <w:u w:val="single" w:color="auto"/>
          <w:color w:val="auto"/>
        </w:rPr>
        <w:t>INDEPENDENT REGISTERED PUBLIC ACCOUNTING FIRM’S CONSENT</w:t>
      </w:r>
    </w:p>
    <w:p>
      <w:pPr>
        <w:spacing w:after="0" w:line="200" w:lineRule="exact"/>
        <w:rPr>
          <w:sz w:val="20"/>
          <w:szCs w:val="20"/>
          <w:color w:val="auto"/>
        </w:rPr>
      </w:pPr>
    </w:p>
    <w:p>
      <w:pPr>
        <w:spacing w:after="0" w:line="329" w:lineRule="exact"/>
        <w:rPr>
          <w:sz w:val="20"/>
          <w:szCs w:val="20"/>
          <w:color w:val="auto"/>
        </w:rPr>
      </w:pPr>
    </w:p>
    <w:p>
      <w:pPr>
        <w:jc w:val="both"/>
        <w:ind w:left="20" w:right="120"/>
        <w:spacing w:after="0" w:line="247" w:lineRule="auto"/>
        <w:rPr>
          <w:sz w:val="20"/>
          <w:szCs w:val="20"/>
          <w:color w:val="auto"/>
        </w:rPr>
      </w:pPr>
      <w:r>
        <w:rPr>
          <w:rFonts w:ascii="Arial" w:cs="Arial" w:eastAsia="Arial" w:hAnsi="Arial"/>
          <w:sz w:val="18"/>
          <w:szCs w:val="18"/>
          <w:color w:val="auto"/>
        </w:rPr>
        <w:t>We consent to the inclusion Registration Statement No. 333-282004 on form F-1 of our auditor’s report dated April 14, 2025, with respect to the combined consolidated financial statements of GroupBy Group of Companies as at December 31, 2024 and 2023 and for each of the years then ended, as filed with the United States Securities and Exchange Commission. We also consent to the reference to our firm under the heading “Experts” in such registration statement.</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MNP LLP</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Chartered Professional Accountants Licensed Public</w:t>
      </w:r>
    </w:p>
    <w:p>
      <w:pPr>
        <w:ind w:left="20"/>
        <w:spacing w:after="0" w:line="229" w:lineRule="auto"/>
        <w:rPr>
          <w:sz w:val="20"/>
          <w:szCs w:val="20"/>
          <w:color w:val="auto"/>
        </w:rPr>
      </w:pPr>
      <w:r>
        <w:rPr>
          <w:rFonts w:ascii="Arial" w:cs="Arial" w:eastAsia="Arial" w:hAnsi="Arial"/>
          <w:sz w:val="20"/>
          <w:szCs w:val="20"/>
          <w:color w:val="auto"/>
        </w:rPr>
        <w:t>Accountants Toronto, Canada</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May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212090</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40" w:right="339" w:bottom="1440" w:gutter="0" w:footer="0" w:header="0"/>
        </w:sectPr>
      </w:pPr>
    </w:p>
    <w:bookmarkStart w:id="200" w:name="page201"/>
    <w:bookmarkEnd w:id="20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F72B14"/>
    <w:multiLevelType w:val="hybridMultilevel"/>
    <w:lvl w:ilvl="0">
      <w:lvlJc w:val="left"/>
      <w:lvlText w:val="•"/>
      <w:numFmt w:val="bullet"/>
      <w:start w:val="1"/>
    </w:lvl>
  </w:abstractNum>
  <w:abstractNum w:abstractNumId="1">
    <w:nsid w:val="11447B73"/>
    <w:multiLevelType w:val="hybridMultilevel"/>
    <w:lvl w:ilvl="0">
      <w:lvlJc w:val="left"/>
      <w:lvlText w:val="•"/>
      <w:numFmt w:val="bullet"/>
      <w:start w:val="1"/>
    </w:lvl>
  </w:abstractNum>
  <w:abstractNum w:abstractNumId="2">
    <w:nsid w:val="42963E5A"/>
    <w:multiLevelType w:val="hybridMultilevel"/>
    <w:lvl w:ilvl="0">
      <w:lvlJc w:val="left"/>
      <w:lvlText w:val="1"/>
      <w:numFmt w:val="bullet"/>
      <w:start w:val="1"/>
    </w:lvl>
  </w:abstractNum>
  <w:abstractNum w:abstractNumId="3">
    <w:nsid w:val="A0382C5"/>
    <w:multiLevelType w:val="hybridMultilevel"/>
    <w:lvl w:ilvl="0">
      <w:lvlJc w:val="left"/>
      <w:lvlText w:val="•"/>
      <w:numFmt w:val="bullet"/>
      <w:start w:val="1"/>
    </w:lvl>
  </w:abstractNum>
  <w:abstractNum w:abstractNumId="4">
    <w:nsid w:val="8F2B15E"/>
    <w:multiLevelType w:val="hybridMultilevel"/>
    <w:lvl w:ilvl="0">
      <w:lvlJc w:val="left"/>
      <w:lvlText w:val="•"/>
      <w:numFmt w:val="bullet"/>
      <w:start w:val="1"/>
    </w:lvl>
  </w:abstractNum>
  <w:abstractNum w:abstractNumId="5">
    <w:nsid w:val="1A32234B"/>
    <w:multiLevelType w:val="hybridMultilevel"/>
    <w:lvl w:ilvl="0">
      <w:lvlJc w:val="left"/>
      <w:lvlText w:val="•"/>
      <w:numFmt w:val="bullet"/>
      <w:start w:val="1"/>
    </w:lvl>
  </w:abstractNum>
  <w:abstractNum w:abstractNumId="6">
    <w:nsid w:val="3B0FD379"/>
    <w:multiLevelType w:val="hybridMultilevel"/>
    <w:lvl w:ilvl="0">
      <w:lvlJc w:val="left"/>
      <w:lvlText w:val="%1."/>
      <w:numFmt w:val="upperLetter"/>
      <w:start w:val="1"/>
    </w:lvl>
  </w:abstractNum>
  <w:abstractNum w:abstractNumId="7">
    <w:nsid w:val="68EB2F63"/>
    <w:multiLevelType w:val="hybridMultilevel"/>
    <w:lvl w:ilvl="0">
      <w:lvlJc w:val="left"/>
      <w:lvlText w:val="%1."/>
      <w:numFmt w:val="upperLetter"/>
      <w:start w:val="1"/>
    </w:lvl>
  </w:abstractNum>
  <w:abstractNum w:abstractNumId="8">
    <w:nsid w:val="4962813B"/>
    <w:multiLevelType w:val="hybridMultilevel"/>
    <w:lvl w:ilvl="0">
      <w:lvlJc w:val="left"/>
      <w:lvlText w:val="%1."/>
      <w:numFmt w:val="upperLetter"/>
      <w:start w:val="7"/>
    </w:lvl>
  </w:abstractNum>
  <w:abstractNum w:abstractNumId="9">
    <w:nsid w:val="60B6DF70"/>
    <w:multiLevelType w:val="hybridMultilevel"/>
    <w:lvl w:ilvl="0">
      <w:lvlJc w:val="left"/>
      <w:lvlText w:val="%1."/>
      <w:numFmt w:val="decimal"/>
      <w:start w:val="1"/>
    </w:lvl>
  </w:abstractNum>
  <w:abstractNum w:abstractNumId="10">
    <w:nsid w:val="6A5EE64"/>
    <w:multiLevelType w:val="hybridMultilevel"/>
    <w:lvl w:ilvl="0">
      <w:lvlJc w:val="left"/>
      <w:lvlText w:val="%1."/>
      <w:numFmt w:val="decimal"/>
      <w:start w:val="1"/>
    </w:lvl>
  </w:abstractNum>
  <w:abstractNum w:abstractNumId="11">
    <w:nsid w:val="14330624"/>
    <w:multiLevelType w:val="hybridMultilevel"/>
    <w:lvl w:ilvl="0">
      <w:lvlJc w:val="left"/>
      <w:lvlText w:val="(%1)"/>
      <w:numFmt w:val="lowerLetter"/>
      <w:start w:val="1"/>
    </w:lvl>
  </w:abstractNum>
  <w:abstractNum w:abstractNumId="12">
    <w:nsid w:val="7FFFCA11"/>
    <w:multiLevelType w:val="hybridMultilevel"/>
    <w:lvl w:ilvl="0">
      <w:lvlJc w:val="left"/>
      <w:lvlText w:val="(%1)"/>
      <w:numFmt w:val="lowerLetter"/>
      <w:start w:val="6"/>
    </w:lvl>
  </w:abstractNum>
  <w:abstractNum w:abstractNumId="13">
    <w:nsid w:val="1A27709E"/>
    <w:multiLevelType w:val="hybridMultilevel"/>
    <w:lvl w:ilvl="0">
      <w:lvlJc w:val="left"/>
      <w:lvlText w:val="%1."/>
      <w:numFmt w:val="decimal"/>
      <w:start w:val="1"/>
    </w:lvl>
  </w:abstractNum>
  <w:abstractNum w:abstractNumId="14">
    <w:nsid w:val="71EA1109"/>
    <w:multiLevelType w:val="hybridMultilevel"/>
    <w:lvl w:ilvl="0">
      <w:lvlJc w:val="left"/>
      <w:lvlText w:val="(%1)"/>
      <w:numFmt w:val="lowerRoman"/>
      <w:start w:val="1"/>
    </w:lvl>
  </w:abstractNum>
  <w:abstractNum w:abstractNumId="15">
    <w:nsid w:val="100F59DC"/>
    <w:multiLevelType w:val="hybridMultilevel"/>
    <w:lvl w:ilvl="0">
      <w:lvlJc w:val="left"/>
      <w:lvlText w:val="%1."/>
      <w:numFmt w:val="decimal"/>
      <w:start w:val="1"/>
    </w:lvl>
  </w:abstractNum>
  <w:abstractNum w:abstractNumId="16">
    <w:nsid w:val="7FB7E0AA"/>
    <w:multiLevelType w:val="hybridMultilevel"/>
    <w:lvl w:ilvl="0">
      <w:lvlJc w:val="left"/>
      <w:lvlText w:val="•"/>
      <w:numFmt w:val="bullet"/>
      <w:start w:val="1"/>
    </w:lvl>
  </w:abstractNum>
  <w:abstractNum w:abstractNumId="17">
    <w:nsid w:val="6EB5BD4"/>
    <w:multiLevelType w:val="hybridMultilevel"/>
    <w:lvl w:ilvl="0">
      <w:lvlJc w:val="left"/>
      <w:lvlText w:val="(%1)"/>
      <w:numFmt w:val="lowerLetter"/>
      <w:start w:val="1"/>
    </w:lvl>
  </w:abstractNum>
  <w:abstractNum w:abstractNumId="18">
    <w:nsid w:val="6F6DD9AC"/>
    <w:multiLevelType w:val="hybridMultilevel"/>
    <w:lvl w:ilvl="0">
      <w:lvlJc w:val="left"/>
      <w:lvlText w:val="(%1)"/>
      <w:numFmt w:val="lowerLetter"/>
      <w:start w:val="4"/>
    </w:lvl>
  </w:abstractNum>
  <w:abstractNum w:abstractNumId="19">
    <w:nsid w:val="94211F2"/>
    <w:multiLevelType w:val="hybridMultilevel"/>
    <w:lvl w:ilvl="0">
      <w:lvlJc w:val="left"/>
      <w:lvlText w:val="(%1)"/>
      <w:numFmt w:val="lowerLetter"/>
      <w:start w:val="18"/>
    </w:lvl>
  </w:abstractNum>
  <w:abstractNum w:abstractNumId="20">
    <w:nsid w:val="885E1B"/>
    <w:multiLevelType w:val="hybridMultilevel"/>
    <w:lvl w:ilvl="0">
      <w:lvlJc w:val="left"/>
      <w:lvlText w:val="(%1)"/>
      <w:numFmt w:val="lowerLetter"/>
      <w:start w:val="20"/>
    </w:lvl>
  </w:abstractNum>
  <w:abstractNum w:abstractNumId="21">
    <w:nsid w:val="76272110"/>
    <w:multiLevelType w:val="hybridMultilevel"/>
    <w:lvl w:ilvl="0">
      <w:lvlJc w:val="left"/>
      <w:lvlText w:val="(%1)"/>
      <w:numFmt w:val="lowerLetter"/>
      <w:start w:val="27"/>
    </w:lvl>
  </w:abstractNum>
  <w:abstractNum w:abstractNumId="22">
    <w:nsid w:val="4C04A8AF"/>
    <w:multiLevelType w:val="hybridMultilevel"/>
    <w:lvl w:ilvl="0">
      <w:lvlJc w:val="left"/>
      <w:lvlText w:val="2"/>
      <w:numFmt w:val="bullet"/>
      <w:start w:val="1"/>
    </w:lvl>
  </w:abstractNum>
  <w:abstractNum w:abstractNumId="23">
    <w:nsid w:val="1716703B"/>
    <w:multiLevelType w:val="hybridMultilevel"/>
    <w:lvl w:ilvl="0">
      <w:lvlJc w:val="left"/>
      <w:lvlText w:val="•"/>
      <w:numFmt w:val="bullet"/>
      <w:start w:val="1"/>
    </w:lvl>
  </w:abstractNum>
  <w:abstractNum w:abstractNumId="24">
    <w:nsid w:val="14E17E33"/>
    <w:multiLevelType w:val="hybridMultilevel"/>
    <w:lvl w:ilvl="0">
      <w:lvlJc w:val="left"/>
      <w:lvlText w:val="•"/>
      <w:numFmt w:val="bullet"/>
      <w:start w:val="1"/>
    </w:lvl>
  </w:abstractNum>
  <w:abstractNum w:abstractNumId="25">
    <w:nsid w:val="3222E7CD"/>
    <w:multiLevelType w:val="hybridMultilevel"/>
    <w:lvl w:ilvl="0">
      <w:lvlJc w:val="left"/>
      <w:lvlText w:val="•"/>
      <w:numFmt w:val="bullet"/>
      <w:start w:val="1"/>
    </w:lvl>
  </w:abstractNum>
  <w:abstractNum w:abstractNumId="26">
    <w:nsid w:val="74DE0EE3"/>
    <w:multiLevelType w:val="hybridMultilevel"/>
    <w:lvl w:ilvl="0">
      <w:lvlJc w:val="left"/>
      <w:lvlText w:val="•"/>
      <w:numFmt w:val="bullet"/>
      <w:start w:val="1"/>
    </w:lvl>
  </w:abstractNum>
  <w:abstractNum w:abstractNumId="27">
    <w:nsid w:val="68EBC550"/>
    <w:multiLevelType w:val="hybridMultilevel"/>
    <w:lvl w:ilvl="0">
      <w:lvlJc w:val="left"/>
      <w:lvlText w:val="•"/>
      <w:numFmt w:val="bullet"/>
      <w:start w:val="1"/>
    </w:lvl>
  </w:abstractNum>
  <w:abstractNum w:abstractNumId="28">
    <w:nsid w:val="2DF6D648"/>
    <w:multiLevelType w:val="hybridMultilevel"/>
    <w:lvl w:ilvl="0">
      <w:lvlJc w:val="left"/>
      <w:lvlText w:val="•"/>
      <w:numFmt w:val="bullet"/>
      <w:start w:val="1"/>
    </w:lvl>
  </w:abstractNum>
  <w:abstractNum w:abstractNumId="29">
    <w:nsid w:val="46B7D447"/>
    <w:multiLevelType w:val="hybridMultilevel"/>
    <w:lvl w:ilvl="0">
      <w:lvlJc w:val="left"/>
      <w:lvlText w:val="•"/>
      <w:numFmt w:val="bullet"/>
      <w:start w:val="1"/>
    </w:lvl>
  </w:abstractNum>
  <w:abstractNum w:abstractNumId="30">
    <w:nsid w:val="4A2AC315"/>
    <w:multiLevelType w:val="hybridMultilevel"/>
    <w:lvl w:ilvl="0">
      <w:lvlJc w:val="left"/>
      <w:lvlText w:val="1"/>
      <w:numFmt w:val="bullet"/>
      <w:start w:val="1"/>
    </w:lvl>
  </w:abstractNum>
  <w:abstractNum w:abstractNumId="31">
    <w:nsid w:val="39EE015C"/>
    <w:multiLevelType w:val="hybridMultilevel"/>
    <w:lvl w:ilvl="0">
      <w:lvlJc w:val="left"/>
      <w:lvlText w:val="2"/>
      <w:numFmt w:val="bullet"/>
      <w:start w:val="1"/>
    </w:lvl>
  </w:abstractNum>
  <w:abstractNum w:abstractNumId="32">
    <w:nsid w:val="57FC4FBB"/>
    <w:multiLevelType w:val="hybridMultilevel"/>
    <w:lvl w:ilvl="0">
      <w:lvlJc w:val="left"/>
      <w:lvlText w:val="3"/>
      <w:numFmt w:val="bullet"/>
      <w:start w:val="1"/>
    </w:lvl>
  </w:abstractNum>
  <w:abstractNum w:abstractNumId="33">
    <w:nsid w:val="CC1016F"/>
    <w:multiLevelType w:val="hybridMultilevel"/>
    <w:lvl w:ilvl="0">
      <w:lvlJc w:val="left"/>
      <w:lvlText w:val="7"/>
      <w:numFmt w:val="bullet"/>
      <w:start w:val="1"/>
    </w:lvl>
    <w:lvl w:ilvl="1">
      <w:lvlJc w:val="left"/>
      <w:lvlText w:val="%2."/>
      <w:numFmt w:val="upperLetter"/>
      <w:start w:val="1"/>
    </w:lvl>
  </w:abstractNum>
  <w:abstractNum w:abstractNumId="34">
    <w:nsid w:val="43F18422"/>
    <w:multiLevelType w:val="hybridMultilevel"/>
    <w:lvl w:ilvl="0">
      <w:lvlJc w:val="left"/>
      <w:lvlText w:val="•"/>
      <w:numFmt w:val="bullet"/>
      <w:start w:val="1"/>
    </w:lvl>
  </w:abstractNum>
  <w:abstractNum w:abstractNumId="35">
    <w:nsid w:val="60EF0119"/>
    <w:multiLevelType w:val="hybridMultilevel"/>
    <w:lvl w:ilvl="0">
      <w:lvlJc w:val="left"/>
      <w:lvlText w:val="1"/>
      <w:numFmt w:val="bullet"/>
      <w:start w:val="1"/>
    </w:lvl>
  </w:abstractNum>
  <w:abstractNum w:abstractNumId="36">
    <w:nsid w:val="26F324BA"/>
    <w:multiLevelType w:val="hybridMultilevel"/>
    <w:lvl w:ilvl="0">
      <w:lvlJc w:val="left"/>
      <w:lvlText w:val="1"/>
      <w:numFmt w:val="bullet"/>
      <w:start w:val="1"/>
    </w:lvl>
  </w:abstractNum>
  <w:abstractNum w:abstractNumId="37">
    <w:nsid w:val="7F01579B"/>
    <w:multiLevelType w:val="hybridMultilevel"/>
    <w:lvl w:ilvl="0">
      <w:lvlJc w:val="left"/>
      <w:lvlText w:val="2"/>
      <w:numFmt w:val="bullet"/>
      <w:start w:val="1"/>
    </w:lvl>
  </w:abstractNum>
  <w:abstractNum w:abstractNumId="38">
    <w:nsid w:val="49DA307D"/>
    <w:multiLevelType w:val="hybridMultilevel"/>
    <w:lvl w:ilvl="0">
      <w:lvlJc w:val="left"/>
      <w:lvlText w:val="•"/>
      <w:numFmt w:val="bullet"/>
      <w:start w:val="1"/>
    </w:lvl>
  </w:abstractNum>
  <w:abstractNum w:abstractNumId="39">
    <w:nsid w:val="7055A5F5"/>
    <w:multiLevelType w:val="hybridMultilevel"/>
    <w:lvl w:ilvl="0">
      <w:lvlJc w:val="left"/>
      <w:lvlText w:val="(%1)"/>
      <w:numFmt w:val="lowerRoman"/>
      <w:start w:val="2"/>
    </w:lvl>
  </w:abstractNum>
  <w:abstractNum w:abstractNumId="40">
    <w:nsid w:val="5FB8370B"/>
    <w:multiLevelType w:val="hybridMultilevel"/>
    <w:lvl w:ilvl="0">
      <w:lvlJc w:val="left"/>
      <w:lvlText w:val="(%1)"/>
      <w:numFmt w:val="decimal"/>
      <w:start w:val="1"/>
    </w:lvl>
  </w:abstractNum>
  <w:abstractNum w:abstractNumId="41">
    <w:nsid w:val="50801EE1"/>
    <w:multiLevelType w:val="hybridMultilevel"/>
    <w:lvl w:ilvl="0">
      <w:lvlJc w:val="left"/>
      <w:lvlText w:val="%1."/>
      <w:numFmt w:val="decimal"/>
      <w:start w:val="1"/>
    </w:lvl>
  </w:abstractNum>
  <w:abstractNum w:abstractNumId="42">
    <w:nsid w:val="488AC1A"/>
    <w:multiLevelType w:val="hybridMultilevel"/>
    <w:lvl w:ilvl="0">
      <w:lvlJc w:val="left"/>
      <w:lvlText w:val="%1."/>
      <w:numFmt w:val="decimal"/>
      <w:start w:val="2"/>
    </w:lvl>
  </w:abstractNum>
  <w:abstractNum w:abstractNumId="43">
    <w:nsid w:val="5FB8011C"/>
    <w:multiLevelType w:val="hybridMultilevel"/>
    <w:lvl w:ilvl="0">
      <w:lvlJc w:val="left"/>
      <w:lvlText w:val="(%1)"/>
      <w:numFmt w:val="lowerLetter"/>
      <w:start w:val="1"/>
    </w:lvl>
  </w:abstractNum>
  <w:abstractNum w:abstractNumId="44">
    <w:nsid w:val="6AA78F7F"/>
    <w:multiLevelType w:val="hybridMultilevel"/>
    <w:lvl w:ilvl="0">
      <w:lvlJc w:val="left"/>
      <w:lvlText w:val="%1."/>
      <w:numFmt w:val="upperLetter"/>
      <w:start w:val="3"/>
    </w:lvl>
  </w:abstractNum>
  <w:abstractNum w:abstractNumId="45">
    <w:nsid w:val="7672BD23"/>
    <w:multiLevelType w:val="hybridMultilevel"/>
    <w:lvl w:ilvl="0">
      <w:lvlJc w:val="left"/>
      <w:lvlText w:val="%1."/>
      <w:numFmt w:val="decimal"/>
      <w:start w:val="1"/>
    </w:lvl>
  </w:abstractNum>
  <w:abstractNum w:abstractNumId="46">
    <w:nsid w:val="6FC75AF8"/>
    <w:multiLevelType w:val="hybridMultilevel"/>
    <w:lvl w:ilvl="0">
      <w:lvlJc w:val="left"/>
      <w:lvlText w:val="%1."/>
      <w:numFmt w:val="upperLetter"/>
      <w:start w:val="5"/>
    </w:lvl>
  </w:abstractNum>
  <w:abstractNum w:abstractNumId="47">
    <w:nsid w:val="6A5F7029"/>
    <w:multiLevelType w:val="hybridMultilevel"/>
    <w:lvl w:ilvl="0">
      <w:lvlJc w:val="left"/>
      <w:lvlText w:val="%1."/>
      <w:numFmt w:val="decimal"/>
      <w:start w:val="1"/>
    </w:lvl>
  </w:abstractNum>
  <w:abstractNum w:abstractNumId="48">
    <w:nsid w:val="7D5E18F8"/>
    <w:multiLevelType w:val="hybridMultilevel"/>
    <w:lvl w:ilvl="0">
      <w:lvlJc w:val="left"/>
      <w:lvlText w:val="%1."/>
      <w:numFmt w:val="decimal"/>
      <w:start w:val="1"/>
    </w:lvl>
  </w:abstractNum>
  <w:abstractNum w:abstractNumId="49">
    <w:nsid w:val="5F3534A4"/>
    <w:multiLevelType w:val="hybridMultilevel"/>
    <w:lvl w:ilvl="0">
      <w:lvlJc w:val="left"/>
      <w:lvlText w:val="%1."/>
      <w:numFmt w:val="decimal"/>
      <w:start w:val="6"/>
    </w:lvl>
  </w:abstractNum>
  <w:abstractNum w:abstractNumId="50">
    <w:nsid w:val="73A1821B"/>
    <w:multiLevelType w:val="hybridMultilevel"/>
    <w:lvl w:ilvl="0">
      <w:lvlJc w:val="left"/>
      <w:lvlText w:val="%1."/>
      <w:numFmt w:val="decimal"/>
      <w:start w:val="1"/>
    </w:lvl>
  </w:abstractNum>
  <w:abstractNum w:abstractNumId="51">
    <w:nsid w:val="7DE67713"/>
    <w:multiLevelType w:val="hybridMultilevel"/>
    <w:lvl w:ilvl="0">
      <w:lvlJc w:val="left"/>
      <w:lvlText w:val="%1."/>
      <w:numFmt w:val="upperLetter"/>
      <w:start w:val="1"/>
    </w:lvl>
  </w:abstractNum>
  <w:abstractNum w:abstractNumId="52">
    <w:nsid w:val="555C55B5"/>
    <w:multiLevelType w:val="hybridMultilevel"/>
    <w:lvl w:ilvl="0">
      <w:lvlJc w:val="left"/>
      <w:lvlText w:val="%1."/>
      <w:numFmt w:val="upperLetter"/>
      <w:start w:val="4"/>
    </w:lvl>
  </w:abstractNum>
  <w:abstractNum w:abstractNumId="53">
    <w:nsid w:val="3FA62ACA"/>
    <w:multiLevelType w:val="hybridMultilevel"/>
    <w:lvl w:ilvl="0">
      <w:lvlJc w:val="left"/>
      <w:lvlText w:val="%1."/>
      <w:numFmt w:val="decimal"/>
      <w:start w:val="1"/>
    </w:lvl>
  </w:abstractNum>
  <w:abstractNum w:abstractNumId="54">
    <w:nsid w:val="14FCE74E"/>
    <w:multiLevelType w:val="hybridMultilevel"/>
    <w:lvl w:ilvl="0">
      <w:lvlJc w:val="left"/>
      <w:lvlText w:val="%1."/>
      <w:numFmt w:val="decimal"/>
      <w:start w:val="1"/>
    </w:lvl>
  </w:abstractNum>
  <w:abstractNum w:abstractNumId="55">
    <w:nsid w:val="6A3DD3E8"/>
    <w:multiLevelType w:val="hybridMultilevel"/>
    <w:lvl w:ilvl="0">
      <w:lvlJc w:val="left"/>
      <w:lvlText w:val="%1."/>
      <w:numFmt w:val="decimal"/>
      <w:start w:val="1"/>
    </w:lvl>
  </w:abstractNum>
  <w:abstractNum w:abstractNumId="56">
    <w:nsid w:val="71C91298"/>
    <w:multiLevelType w:val="hybridMultilevel"/>
    <w:lvl w:ilvl="0">
      <w:lvlJc w:val="left"/>
      <w:lvlText w:val="%1."/>
      <w:numFmt w:val="decimal"/>
      <w:start w:val="5"/>
    </w:lvl>
  </w:abstractNum>
  <w:abstractNum w:abstractNumId="57">
    <w:nsid w:val="9DAF632"/>
    <w:multiLevelType w:val="hybridMultilevel"/>
    <w:lvl w:ilvl="0">
      <w:lvlJc w:val="left"/>
      <w:lvlText w:val="%1."/>
      <w:numFmt w:val="decimal"/>
      <w:start w:val="1"/>
    </w:lvl>
  </w:abstractNum>
  <w:abstractNum w:abstractNumId="58">
    <w:nsid w:val="53299938"/>
    <w:multiLevelType w:val="hybridMultilevel"/>
    <w:lvl w:ilvl="0">
      <w:lvlJc w:val="left"/>
      <w:lvlText w:val="(%1)"/>
      <w:numFmt w:val="decimal"/>
      <w:start w:val="1"/>
    </w:lvl>
  </w:abstractNum>
  <w:abstractNum w:abstractNumId="59">
    <w:nsid w:val="1FBFE8E0"/>
    <w:multiLevelType w:val="hybridMultilevel"/>
    <w:lvl w:ilvl="0">
      <w:lvlJc w:val="left"/>
      <w:lvlText w:val="(%1)"/>
      <w:numFmt w:val="decimal"/>
      <w:start w:val="4"/>
    </w:lvl>
  </w:abstractNum>
  <w:abstractNum w:abstractNumId="60">
    <w:nsid w:val="5092CA79"/>
    <w:multiLevelType w:val="hybridMultilevel"/>
    <w:lvl w:ilvl="0">
      <w:lvlJc w:val="left"/>
      <w:lvlText w:val="(%1)"/>
      <w:numFmt w:val="lowerRoman"/>
      <w:start w:val="1"/>
    </w:lvl>
  </w:abstractNum>
  <w:abstractNum w:abstractNumId="61">
    <w:nsid w:val="1D545C4D"/>
    <w:multiLevelType w:val="hybridMultilevel"/>
    <w:lvl w:ilvl="0">
      <w:lvlJc w:val="left"/>
      <w:lvlText w:val="(%1)"/>
      <w:numFmt w:val="lowerRoman"/>
      <w:start w:val="5"/>
    </w:lvl>
  </w:abstractNum>
  <w:abstractNum w:abstractNumId="62">
    <w:nsid w:val="59ADEA3D"/>
    <w:multiLevelType w:val="hybridMultilevel"/>
    <w:lvl w:ilvl="0">
      <w:lvlJc w:val="left"/>
      <w:lvlText w:val="(%1)"/>
      <w:numFmt w:val="decimal"/>
      <w:start w:val="2"/>
    </w:lvl>
  </w:abstractNum>
  <w:abstractNum w:abstractNumId="63">
    <w:nsid w:val="288F1A34"/>
    <w:multiLevelType w:val="hybridMultilevel"/>
    <w:lvl w:ilvl="0">
      <w:lvlJc w:val="left"/>
      <w:lvlText w:val="(%1)"/>
      <w:numFmt w:val="decimal"/>
      <w:start w:val="3"/>
    </w:lvl>
  </w:abstractNum>
  <w:abstractNum w:abstractNumId="64">
    <w:nsid w:val="2A155DBC"/>
    <w:multiLevelType w:val="hybridMultilevel"/>
    <w:lvl w:ilvl="0">
      <w:lvlJc w:val="left"/>
      <w:lvlText w:val="(%1)"/>
      <w:numFmt w:val="upperLetter"/>
      <w:start w:val="1"/>
    </w:lvl>
  </w:abstractNum>
  <w:abstractNum w:abstractNumId="65">
    <w:nsid w:val="1D9F6E5F"/>
    <w:multiLevelType w:val="hybridMultilevel"/>
    <w:lvl w:ilvl="0">
      <w:lvlJc w:val="left"/>
      <w:lvlText w:val="•"/>
      <w:numFmt w:val="bullet"/>
      <w:start w:val="1"/>
    </w:lvl>
  </w:abstractNum>
  <w:abstractNum w:abstractNumId="66">
    <w:nsid w:val="97E1B4E"/>
    <w:multiLevelType w:val="hybridMultilevel"/>
    <w:lvl w:ilvl="0">
      <w:lvlJc w:val="left"/>
      <w:lvlText w:val="•"/>
      <w:numFmt w:val="bullet"/>
      <w:start w:val="1"/>
    </w:lvl>
  </w:abstractNum>
  <w:abstractNum w:abstractNumId="67">
    <w:nsid w:val="51088277"/>
    <w:multiLevelType w:val="hybridMultilevel"/>
    <w:lvl w:ilvl="0">
      <w:lvlJc w:val="left"/>
      <w:lvlText w:val="•"/>
      <w:numFmt w:val="bullet"/>
      <w:start w:val="1"/>
    </w:lvl>
  </w:abstractNum>
  <w:abstractNum w:abstractNumId="68">
    <w:nsid w:val="1CA0C5FA"/>
    <w:multiLevelType w:val="hybridMultilevel"/>
    <w:lvl w:ilvl="0">
      <w:lvlJc w:val="left"/>
      <w:lvlText w:val="•"/>
      <w:numFmt w:val="bullet"/>
      <w:start w:val="1"/>
    </w:lvl>
  </w:abstractNum>
  <w:abstractNum w:abstractNumId="69">
    <w:nsid w:val="53584BCB"/>
    <w:multiLevelType w:val="hybridMultilevel"/>
    <w:lvl w:ilvl="0">
      <w:lvlJc w:val="left"/>
      <w:lvlText w:val="%1."/>
      <w:numFmt w:val="decimal"/>
      <w:start w:val="1"/>
    </w:lvl>
  </w:abstractNum>
  <w:abstractNum w:abstractNumId="70">
    <w:nsid w:val="415E286C"/>
    <w:multiLevelType w:val="hybridMultilevel"/>
    <w:lvl w:ilvl="0">
      <w:lvlJc w:val="left"/>
      <w:lvlText w:val="%1."/>
      <w:numFmt w:val="decimal"/>
      <w:start w:val="3"/>
    </w:lvl>
  </w:abstractNum>
  <w:abstractNum w:abstractNumId="71">
    <w:nsid w:val="7C58FD05"/>
    <w:multiLevelType w:val="hybridMultilevel"/>
    <w:lvl w:ilvl="0">
      <w:lvlJc w:val="left"/>
      <w:lvlText w:val="(%1)"/>
      <w:numFmt w:val="decimal"/>
      <w:start w:val="10"/>
    </w:lvl>
  </w:abstractNum>
  <w:abstractNum w:abstractNumId="72">
    <w:nsid w:val="23D86AAC"/>
    <w:multiLevelType w:val="hybridMultilevel"/>
    <w:lvl w:ilvl="0">
      <w:lvlJc w:val="left"/>
      <w:lvlText w:val="(%1)"/>
      <w:numFmt w:val="lowerRoman"/>
      <w:start w:val="2"/>
    </w:lvl>
  </w:abstractNum>
  <w:abstractNum w:abstractNumId="73">
    <w:nsid w:val="45E6D486"/>
    <w:multiLevelType w:val="hybridMultilevel"/>
    <w:lvl w:ilvl="0">
      <w:lvlJc w:val="left"/>
      <w:lvlText w:val="(%1)"/>
      <w:numFmt w:val="lowerRoman"/>
      <w:start w:val="1"/>
    </w:lvl>
  </w:abstractNum>
  <w:abstractNum w:abstractNumId="74">
    <w:nsid w:val="5C10FE21"/>
    <w:multiLevelType w:val="hybridMultilevel"/>
    <w:lvl w:ilvl="0">
      <w:lvlJc w:val="left"/>
      <w:lvlText w:val="(%1)"/>
      <w:numFmt w:val="decimal"/>
      <w:start w:val="36"/>
    </w:lvl>
  </w:abstractNum>
  <w:abstractNum w:abstractNumId="75">
    <w:nsid w:val="E7FFA2B"/>
    <w:multiLevelType w:val="hybridMultilevel"/>
    <w:lvl w:ilvl="0">
      <w:lvlJc w:val="left"/>
      <w:lvlText w:val="(%1)"/>
      <w:numFmt w:val="decimal"/>
      <w:start w:val="41"/>
    </w:lvl>
  </w:abstractNum>
  <w:abstractNum w:abstractNumId="76">
    <w:nsid w:val="3C5991AA"/>
    <w:multiLevelType w:val="hybridMultilevel"/>
    <w:lvl w:ilvl="0">
      <w:lvlJc w:val="left"/>
      <w:lvlText w:val="(%1)"/>
      <w:numFmt w:val="decimal"/>
      <w:start w:val="50"/>
    </w:lvl>
  </w:abstractNum>
  <w:abstractNum w:abstractNumId="77">
    <w:nsid w:val="4BD8591A"/>
    <w:multiLevelType w:val="hybridMultilevel"/>
    <w:lvl w:ilvl="0">
      <w:lvlJc w:val="left"/>
      <w:lvlText w:val="(%1)"/>
      <w:numFmt w:val="decimal"/>
      <w:start w:val="64"/>
    </w:lvl>
  </w:abstractNum>
  <w:abstractNum w:abstractNumId="78">
    <w:nsid w:val="78DF6A55"/>
    <w:multiLevelType w:val="hybridMultilevel"/>
    <w:lvl w:ilvl="0">
      <w:lvlJc w:val="left"/>
      <w:lvlText w:val="(%1)"/>
      <w:numFmt w:val="decimal"/>
      <w:start w:val="70"/>
    </w:lvl>
  </w:abstractNum>
  <w:abstractNum w:abstractNumId="79">
    <w:nsid w:val="39B7AAA2"/>
    <w:multiLevelType w:val="hybridMultilevel"/>
    <w:lvl w:ilvl="0">
      <w:lvlJc w:val="left"/>
      <w:lvlText w:val="(%1)"/>
      <w:numFmt w:val="decimal"/>
      <w:start w:val="73"/>
    </w:lvl>
  </w:abstractNum>
  <w:abstractNum w:abstractNumId="80">
    <w:nsid w:val="2B0D8DBE"/>
    <w:multiLevelType w:val="hybridMultilevel"/>
    <w:lvl w:ilvl="0">
      <w:lvlJc w:val="left"/>
      <w:lvlText w:val="(%1)"/>
      <w:numFmt w:val="decimal"/>
      <w:start w:val="91"/>
    </w:lvl>
  </w:abstractNum>
  <w:abstractNum w:abstractNumId="81">
    <w:nsid w:val="6C80EC70"/>
    <w:multiLevelType w:val="hybridMultilevel"/>
    <w:lvl w:ilvl="0">
      <w:lvlJc w:val="left"/>
      <w:lvlText w:val="(%1)"/>
      <w:numFmt w:val="decimal"/>
      <w:start w:val="94"/>
    </w:lvl>
  </w:abstractNum>
  <w:abstractNum w:abstractNumId="82">
    <w:nsid w:val="379E21B5"/>
    <w:multiLevelType w:val="hybridMultilevel"/>
    <w:lvl w:ilvl="0">
      <w:lvlJc w:val="left"/>
      <w:lvlText w:val="•"/>
      <w:numFmt w:val="bullet"/>
      <w:start w:val="1"/>
    </w:lvl>
  </w:abstractNum>
  <w:abstractNum w:abstractNumId="83">
    <w:nsid w:val="69E373"/>
    <w:multiLevelType w:val="hybridMultilevel"/>
    <w:lvl w:ilvl="0">
      <w:lvlJc w:val="left"/>
      <w:lvlText w:val="•"/>
      <w:numFmt w:val="bullet"/>
      <w:start w:val="1"/>
    </w:lvl>
  </w:abstractNum>
  <w:abstractNum w:abstractNumId="84">
    <w:nsid w:val="2C27173B"/>
    <w:multiLevelType w:val="hybridMultilevel"/>
    <w:lvl w:ilvl="0">
      <w:lvlJc w:val="left"/>
      <w:lvlText w:val="•"/>
      <w:numFmt w:val="bullet"/>
      <w:start w:val="1"/>
    </w:lvl>
  </w:abstractNum>
  <w:abstractNum w:abstractNumId="85">
    <w:nsid w:val="4C9B0904"/>
    <w:multiLevelType w:val="hybridMultilevel"/>
    <w:lvl w:ilvl="0">
      <w:lvlJc w:val="left"/>
      <w:lvlText w:val="•"/>
      <w:numFmt w:val="bullet"/>
      <w:start w:val="1"/>
    </w:lvl>
  </w:abstractNum>
  <w:abstractNum w:abstractNumId="86">
    <w:nsid w:val="6AA7B75C"/>
    <w:multiLevelType w:val="hybridMultilevel"/>
    <w:lvl w:ilvl="0">
      <w:lvlJc w:val="left"/>
      <w:lvlText w:val="•"/>
      <w:numFmt w:val="bullet"/>
      <w:start w:val="1"/>
    </w:lvl>
  </w:abstractNum>
  <w:abstractNum w:abstractNumId="87">
    <w:nsid w:val="1DF029D3"/>
    <w:multiLevelType w:val="hybridMultilevel"/>
    <w:lvl w:ilvl="0">
      <w:lvlJc w:val="left"/>
      <w:lvlText w:val="•"/>
      <w:numFmt w:val="bullet"/>
      <w:start w:val="1"/>
    </w:lvl>
  </w:abstractNum>
  <w:abstractNum w:abstractNumId="88">
    <w:nsid w:val="5675FF36"/>
    <w:multiLevelType w:val="hybridMultilevel"/>
    <w:lvl w:ilvl="0">
      <w:lvlJc w:val="left"/>
      <w:lvlText w:val="•"/>
      <w:numFmt w:val="bullet"/>
      <w:start w:val="1"/>
    </w:lvl>
  </w:abstractNum>
  <w:abstractNum w:abstractNumId="89">
    <w:nsid w:val="3DD15094"/>
    <w:multiLevelType w:val="hybridMultilevel"/>
    <w:lvl w:ilvl="0">
      <w:lvlJc w:val="left"/>
      <w:lvlText w:val="•"/>
      <w:numFmt w:val="bullet"/>
      <w:start w:val="1"/>
    </w:lvl>
  </w:abstractNum>
  <w:abstractNum w:abstractNumId="90">
    <w:nsid w:val="3DB012B3"/>
    <w:multiLevelType w:val="hybridMultilevel"/>
    <w:lvl w:ilvl="0">
      <w:lvlJc w:val="left"/>
      <w:lvlText w:val="•"/>
      <w:numFmt w:val="bullet"/>
      <w:start w:val="1"/>
    </w:lvl>
  </w:abstractNum>
  <w:abstractNum w:abstractNumId="91">
    <w:nsid w:val="2708C9AF"/>
    <w:multiLevelType w:val="hybridMultilevel"/>
    <w:lvl w:ilvl="0">
      <w:lvlJc w:val="left"/>
      <w:lvlText w:val="•"/>
      <w:numFmt w:val="bullet"/>
      <w:start w:val="1"/>
    </w:lvl>
  </w:abstractNum>
  <w:abstractNum w:abstractNumId="92">
    <w:nsid w:val="5B25ACE2"/>
    <w:multiLevelType w:val="hybridMultilevel"/>
    <w:lvl w:ilvl="0">
      <w:lvlJc w:val="left"/>
      <w:lvlText w:val="•"/>
      <w:numFmt w:val="bullet"/>
      <w:start w:val="1"/>
    </w:lvl>
  </w:abstractNum>
  <w:abstractNum w:abstractNumId="93">
    <w:nsid w:val="175DFCF0"/>
    <w:multiLevelType w:val="hybridMultilevel"/>
    <w:lvl w:ilvl="0">
      <w:lvlJc w:val="left"/>
      <w:lvlText w:val="•"/>
      <w:numFmt w:val="bullet"/>
      <w:start w:val="1"/>
    </w:lvl>
  </w:abstractNum>
  <w:abstractNum w:abstractNumId="94">
    <w:nsid w:val="4F97E3E4"/>
    <w:multiLevelType w:val="hybridMultilevel"/>
    <w:lvl w:ilvl="0">
      <w:lvlJc w:val="left"/>
      <w:lvlText w:val="•"/>
      <w:numFmt w:val="bullet"/>
      <w:start w:val="1"/>
    </w:lvl>
  </w:abstractNum>
  <w:abstractNum w:abstractNumId="95">
    <w:nsid w:val="53B0A9E"/>
    <w:multiLevelType w:val="hybridMultilevel"/>
    <w:lvl w:ilvl="0">
      <w:lvlJc w:val="left"/>
      <w:lvlText w:val="•"/>
      <w:numFmt w:val="bullet"/>
      <w:start w:val="1"/>
    </w:lvl>
  </w:abstractNum>
  <w:abstractNum w:abstractNumId="96">
    <w:nsid w:val="34FD6B4F"/>
    <w:multiLevelType w:val="hybridMultilevel"/>
    <w:lvl w:ilvl="0">
      <w:lvlJc w:val="left"/>
      <w:lvlText w:val="*"/>
      <w:numFmt w:val="bullet"/>
      <w:start w:val="1"/>
    </w:lvl>
  </w:abstractNum>
  <w:abstractNum w:abstractNumId="97">
    <w:nsid w:val="5915FF32"/>
    <w:multiLevelType w:val="hybridMultilevel"/>
    <w:lvl w:ilvl="0">
      <w:lvlJc w:val="left"/>
      <w:lvlText w:val="%1."/>
      <w:numFmt w:val="decimal"/>
      <w:start w:val="1"/>
    </w:lvl>
  </w:abstractNum>
  <w:abstractNum w:abstractNumId="98">
    <w:nsid w:val="56438D15"/>
    <w:multiLevelType w:val="hybridMultilevel"/>
    <w:lvl w:ilvl="0">
      <w:lvlJc w:val="left"/>
      <w:lvlText w:val="2"/>
      <w:numFmt w:val="bullet"/>
      <w:start w:val="1"/>
    </w:lvl>
  </w:abstractNum>
  <w:abstractNum w:abstractNumId="99">
    <w:nsid w:val="519E3149"/>
    <w:multiLevelType w:val="hybridMultilevel"/>
    <w:lvl w:ilvl="0">
      <w:lvlJc w:val="left"/>
      <w:lvlText w:val="•"/>
      <w:numFmt w:val="bullet"/>
      <w:start w:val="1"/>
    </w:lvl>
  </w:abstractNum>
  <w:abstractNum w:abstractNumId="100">
    <w:nsid w:val="2C6E4AFD"/>
    <w:multiLevelType w:val="hybridMultilevel"/>
    <w:lvl w:ilvl="0">
      <w:lvlJc w:val="left"/>
      <w:lvlText w:val="•"/>
      <w:numFmt w:val="bullet"/>
      <w:start w:val="1"/>
    </w:lvl>
  </w:abstractNum>
  <w:abstractNum w:abstractNumId="101">
    <w:nsid w:val="17A1B582"/>
    <w:multiLevelType w:val="hybridMultilevel"/>
    <w:lvl w:ilvl="0">
      <w:lvlJc w:val="left"/>
      <w:lvlText w:val="•"/>
      <w:numFmt w:val="bullet"/>
      <w:start w:val="1"/>
    </w:lvl>
  </w:abstractNum>
  <w:abstractNum w:abstractNumId="102">
    <w:nsid w:val="4DF72E4E"/>
    <w:multiLevelType w:val="hybridMultilevel"/>
    <w:lvl w:ilvl="0">
      <w:lvlJc w:val="left"/>
      <w:lvlText w:val="•"/>
      <w:numFmt w:val="bullet"/>
      <w:start w:val="1"/>
    </w:lvl>
  </w:abstractNum>
  <w:abstractNum w:abstractNumId="103">
    <w:nsid w:val="5046B5A9"/>
    <w:multiLevelType w:val="hybridMultilevel"/>
    <w:lvl w:ilvl="0">
      <w:lvlJc w:val="left"/>
      <w:lvlText w:val="•"/>
      <w:numFmt w:val="bullet"/>
      <w:start w:val="1"/>
    </w:lvl>
  </w:abstractNum>
  <w:abstractNum w:abstractNumId="104">
    <w:nsid w:val="5D888A08"/>
    <w:multiLevelType w:val="hybridMultilevel"/>
    <w:lvl w:ilvl="0">
      <w:lvlJc w:val="left"/>
      <w:lvlText w:val="•"/>
      <w:numFmt w:val="bullet"/>
      <w:start w:val="1"/>
    </w:lvl>
  </w:abstractNum>
  <w:abstractNum w:abstractNumId="105">
    <w:nsid w:val="2A082C70"/>
    <w:multiLevelType w:val="hybridMultilevel"/>
    <w:lvl w:ilvl="0">
      <w:lvlJc w:val="left"/>
      <w:lvlText w:val="(%1)"/>
      <w:numFmt w:val="decimal"/>
      <w:start w:val="1"/>
    </w:lvl>
  </w:abstractNum>
  <w:abstractNum w:abstractNumId="106">
    <w:nsid w:val="5EC6AFD4"/>
    <w:multiLevelType w:val="hybridMultilevel"/>
    <w:lvl w:ilvl="0">
      <w:lvlJc w:val="left"/>
      <w:lvlText w:val="•"/>
      <w:numFmt w:val="bullet"/>
      <w:start w:val="1"/>
    </w:lvl>
  </w:abstractNum>
  <w:abstractNum w:abstractNumId="107">
    <w:nsid w:val="19E21BB2"/>
    <w:multiLevelType w:val="hybridMultilevel"/>
    <w:lvl w:ilvl="0">
      <w:lvlJc w:val="left"/>
      <w:lvlText w:val="%1."/>
      <w:numFmt w:val="decimal"/>
      <w:start w:val="3"/>
    </w:lvl>
  </w:abstractNum>
  <w:abstractNum w:abstractNumId="108">
    <w:nsid w:val="75E0858A"/>
    <w:multiLevelType w:val="hybridMultilevel"/>
    <w:lvl w:ilvl="0">
      <w:lvlJc w:val="left"/>
      <w:lvlText w:val="•"/>
      <w:numFmt w:val="bullet"/>
      <w:start w:val="1"/>
    </w:lvl>
  </w:abstractNum>
  <w:abstractNum w:abstractNumId="109">
    <w:nsid w:val="57A61A29"/>
    <w:multiLevelType w:val="hybridMultilevel"/>
    <w:lvl w:ilvl="0">
      <w:lvlJc w:val="left"/>
      <w:lvlText w:val="•"/>
      <w:numFmt w:val="bullet"/>
      <w:start w:val="1"/>
    </w:lvl>
  </w:abstractNum>
  <w:abstractNum w:abstractNumId="110">
    <w:nsid w:val="5399C654"/>
    <w:multiLevelType w:val="hybridMultilevel"/>
    <w:lvl w:ilvl="0">
      <w:lvlJc w:val="left"/>
      <w:lvlText w:val="•"/>
      <w:numFmt w:val="bullet"/>
      <w:start w:val="1"/>
    </w:lvl>
  </w:abstractNum>
  <w:abstractNum w:abstractNumId="111">
    <w:nsid w:val="20EE1348"/>
    <w:multiLevelType w:val="hybridMultilevel"/>
    <w:lvl w:ilvl="0">
      <w:lvlJc w:val="left"/>
      <w:lvlText w:val="•"/>
      <w:numFmt w:val="bullet"/>
      <w:start w:val="1"/>
    </w:lvl>
  </w:abstractNum>
  <w:abstractNum w:abstractNumId="112">
    <w:nsid w:val="4427069A"/>
    <w:multiLevelType w:val="hybridMultilevel"/>
    <w:lvl w:ilvl="0">
      <w:lvlJc w:val="left"/>
      <w:lvlText w:val="•"/>
      <w:numFmt w:val="bullet"/>
      <w:start w:val="1"/>
    </w:lvl>
  </w:abstractNum>
  <w:abstractNum w:abstractNumId="113">
    <w:nsid w:val="B37E80A"/>
    <w:multiLevelType w:val="hybridMultilevel"/>
    <w:lvl w:ilvl="0">
      <w:lvlJc w:val="left"/>
      <w:lvlText w:val="(%1)"/>
      <w:numFmt w:val="lowerRoman"/>
      <w:start w:val="2"/>
    </w:lvl>
  </w:abstractNum>
  <w:abstractNum w:abstractNumId="114">
    <w:nsid w:val="2157F6BC"/>
    <w:multiLevelType w:val="hybridMultilevel"/>
    <w:lvl w:ilvl="0">
      <w:lvlJc w:val="left"/>
      <w:lvlText w:val="%1."/>
      <w:numFmt w:val="decimal"/>
      <w:start w:val="8"/>
    </w:lvl>
  </w:abstractNum>
  <w:abstractNum w:abstractNumId="115">
    <w:nsid w:val="704E1DD5"/>
    <w:multiLevelType w:val="hybridMultilevel"/>
    <w:lvl w:ilvl="0">
      <w:lvlJc w:val="left"/>
      <w:lvlText w:val="%1."/>
      <w:numFmt w:val="decimal"/>
      <w:start w:val="9"/>
    </w:lvl>
  </w:abstractNum>
  <w:abstractNum w:abstractNumId="116">
    <w:nsid w:val="57D2F10E"/>
    <w:multiLevelType w:val="hybridMultilevel"/>
    <w:lvl w:ilvl="0">
      <w:lvlJc w:val="left"/>
      <w:lvlText w:val="%1."/>
      <w:numFmt w:val="decimal"/>
      <w:start w:val="10"/>
    </w:lvl>
  </w:abstractNum>
  <w:abstractNum w:abstractNumId="117">
    <w:nsid w:val="BFFAE18"/>
    <w:multiLevelType w:val="hybridMultilevel"/>
    <w:lvl w:ilvl="0">
      <w:lvlJc w:val="left"/>
      <w:lvlText w:val="%1."/>
      <w:numFmt w:val="decimal"/>
      <w:start w:val="1"/>
    </w:lvl>
  </w:abstractNum>
  <w:abstractNum w:abstractNumId="118">
    <w:nsid w:val="E3E47A8"/>
    <w:multiLevelType w:val="hybridMultilevel"/>
    <w:lvl w:ilvl="0">
      <w:lvlJc w:val="left"/>
      <w:lvlText w:val="%1."/>
      <w:numFmt w:val="decimal"/>
      <w:start w:val="1"/>
    </w:lvl>
  </w:abstractNum>
  <w:abstractNum w:abstractNumId="119">
    <w:nsid w:val="2E48F044"/>
    <w:multiLevelType w:val="hybridMultilevel"/>
    <w:lvl w:ilvl="0">
      <w:lvlJc w:val="left"/>
      <w:lvlText w:val="(%1)"/>
      <w:numFmt w:val="decimal"/>
      <w:start w:val="1"/>
    </w:lvl>
  </w:abstractNum>
  <w:abstractNum w:abstractNumId="120">
    <w:nsid w:val="49D0FEAC"/>
    <w:multiLevelType w:val="hybridMultilevel"/>
    <w:lvl w:ilvl="0">
      <w:lvlJc w:val="left"/>
      <w:lvlText w:val="%1."/>
      <w:numFmt w:val="decimal"/>
      <w:start w:val="11"/>
    </w:lvl>
  </w:abstractNum>
  <w:abstractNum w:abstractNumId="121">
    <w:nsid w:val="4BEE5A5B"/>
    <w:multiLevelType w:val="hybridMultilevel"/>
    <w:lvl w:ilvl="0">
      <w:lvlJc w:val="left"/>
      <w:lvlText w:val="%1."/>
      <w:numFmt w:val="decimal"/>
      <w:start w:val="12"/>
    </w:lvl>
  </w:abstractNum>
  <w:abstractNum w:abstractNumId="122">
    <w:nsid w:val="5551B9F3"/>
    <w:multiLevelType w:val="hybridMultilevel"/>
    <w:lvl w:ilvl="0">
      <w:lvlJc w:val="left"/>
      <w:lvlText w:val="%1."/>
      <w:numFmt w:val="decimal"/>
      <w:start w:val="1"/>
    </w:lvl>
  </w:abstractNum>
  <w:abstractNum w:abstractNumId="123">
    <w:nsid w:val="24F6AB8E"/>
    <w:multiLevelType w:val="hybridMultilevel"/>
    <w:lvl w:ilvl="0">
      <w:lvlJc w:val="left"/>
      <w:lvlText w:val="%1"/>
      <w:numFmt w:val="decimal"/>
      <w:start w:val="1"/>
    </w:lvl>
    <w:lvl w:ilvl="1">
      <w:lvlJc w:val="left"/>
      <w:lvlText w:val="%2."/>
      <w:numFmt w:val="decimal"/>
      <w:start w:val="2"/>
    </w:lvl>
  </w:abstractNum>
  <w:abstractNum w:abstractNumId="124">
    <w:nsid w:val="634C574C"/>
    <w:multiLevelType w:val="hybridMultilevel"/>
    <w:lvl w:ilvl="0">
      <w:lvlJc w:val="left"/>
      <w:lvlText w:val="%1."/>
      <w:numFmt w:val="decimal"/>
      <w:start w:val="14"/>
    </w:lvl>
    <w:lvl w:ilvl="1">
      <w:lvlJc w:val="left"/>
      <w:lvlText w:val="%2"/>
      <w:numFmt w:val="decimal"/>
      <w:start w:val="1"/>
    </w:lvl>
  </w:abstractNum>
  <w:abstractNum w:abstractNumId="125">
    <w:nsid w:val="24E99DD7"/>
    <w:multiLevelType w:val="hybridMultilevel"/>
    <w:lvl w:ilvl="0">
      <w:lvlJc w:val="left"/>
      <w:lvlText w:val="%1."/>
      <w:numFmt w:val="decimal"/>
      <w:start w:val="15"/>
    </w:lvl>
  </w:abstractNum>
  <w:abstractNum w:abstractNumId="126">
    <w:nsid w:val="2A31B62D"/>
    <w:multiLevelType w:val="hybridMultilevel"/>
    <w:lvl w:ilvl="0">
      <w:lvlJc w:val="left"/>
      <w:lvlText w:val="%1."/>
      <w:numFmt w:val="lowerLetter"/>
      <w:start w:val="1"/>
    </w:lvl>
  </w:abstractNum>
  <w:abstractNum w:abstractNumId="127">
    <w:nsid w:val="1849C29B"/>
    <w:multiLevelType w:val="hybridMultilevel"/>
    <w:lvl w:ilvl="0">
      <w:lvlJc w:val="left"/>
      <w:lvlText w:val="%1."/>
      <w:numFmt w:val="decimal"/>
      <w:start w:val="1"/>
    </w:lvl>
  </w:abstractNum>
  <w:abstractNum w:abstractNumId="128">
    <w:nsid w:val="7DFF9D09"/>
    <w:multiLevelType w:val="hybridMultilevel"/>
    <w:lvl w:ilvl="0">
      <w:lvlJc w:val="left"/>
      <w:lvlText w:val="%1"/>
      <w:numFmt w:val="decimal"/>
      <w:start w:val="1"/>
    </w:lvl>
    <w:lvl w:ilvl="1">
      <w:lvlJc w:val="left"/>
      <w:lvlText w:val="(%2)"/>
      <w:numFmt w:val="lowerLetter"/>
      <w:start w:val="1"/>
    </w:lvl>
  </w:abstractNum>
  <w:abstractNum w:abstractNumId="129">
    <w:nsid w:val="754342"/>
    <w:multiLevelType w:val="hybridMultilevel"/>
    <w:lvl w:ilvl="0">
      <w:lvlJc w:val="left"/>
      <w:lvlText w:val="%1."/>
      <w:numFmt w:val="decimal"/>
      <w:start w:val="17"/>
    </w:lvl>
    <w:lvl w:ilvl="1">
      <w:lvlJc w:val="left"/>
      <w:lvlText w:val="%2"/>
      <w:numFmt w:val="lowerLetter"/>
      <w:start w:val="1"/>
    </w:lvl>
  </w:abstractNum>
  <w:abstractNum w:abstractNumId="130">
    <w:nsid w:val="69E7F3E5"/>
    <w:multiLevelType w:val="hybridMultilevel"/>
    <w:lvl w:ilvl="0">
      <w:lvlJc w:val="left"/>
      <w:lvlText w:val="▪"/>
      <w:numFmt w:val="bullet"/>
      <w:start w:val="1"/>
    </w:lvl>
  </w:abstractNum>
  <w:abstractNum w:abstractNumId="131">
    <w:nsid w:val="2A6DE806"/>
    <w:multiLevelType w:val="hybridMultilevel"/>
    <w:lvl w:ilvl="0">
      <w:lvlJc w:val="left"/>
      <w:lvlText w:val="▪"/>
      <w:numFmt w:val="bullet"/>
      <w:start w:val="1"/>
    </w:lvl>
  </w:abstractNum>
  <w:abstractNum w:abstractNumId="132">
    <w:nsid w:val="1816F8C4"/>
    <w:multiLevelType w:val="hybridMultilevel"/>
    <w:lvl w:ilvl="0">
      <w:lvlJc w:val="left"/>
      <w:lvlText w:val="%1."/>
      <w:numFmt w:val="decimal"/>
      <w:start w:val="1"/>
    </w:lvl>
  </w:abstractNum>
  <w:abstractNum w:abstractNumId="133">
    <w:nsid w:val="37DF2233"/>
    <w:multiLevelType w:val="hybridMultilevel"/>
    <w:lvl w:ilvl="0">
      <w:lvlJc w:val="left"/>
      <w:lvlText w:val="%1."/>
      <w:numFmt w:val="decimal"/>
      <w:start w:val="2"/>
    </w:lvl>
  </w:abstractNum>
  <w:abstractNum w:abstractNumId="134">
    <w:nsid w:val="7AB49DAF"/>
    <w:multiLevelType w:val="hybridMultilevel"/>
    <w:lvl w:ilvl="0">
      <w:lvlJc w:val="left"/>
      <w:lvlText w:val="%1."/>
      <w:numFmt w:val="decimal"/>
      <w:start w:val="3"/>
    </w:lvl>
  </w:abstractNum>
  <w:abstractNum w:abstractNumId="135">
    <w:nsid w:val="759F82CD"/>
    <w:multiLevelType w:val="hybridMultilevel"/>
    <w:lvl w:ilvl="0">
      <w:lvlJc w:val="left"/>
      <w:lvlText w:val=")"/>
      <w:numFmt w:val="bullet"/>
      <w:start w:val="1"/>
    </w:lvl>
  </w:abstractNum>
  <w:abstractNum w:abstractNumId="136">
    <w:nsid w:val="61E74EA3"/>
    <w:multiLevelType w:val="hybridMultilevel"/>
    <w:lvl w:ilvl="0">
      <w:lvlJc w:val="left"/>
      <w:lvlText w:val="%1."/>
      <w:numFmt w:val="decimal"/>
      <w:start w:val="1"/>
    </w:lvl>
  </w:abstractNum>
  <w:abstractNum w:abstractNumId="137">
    <w:nsid w:val="597B4D84"/>
    <w:multiLevelType w:val="hybridMultilevel"/>
    <w:lvl w:ilvl="0">
      <w:lvlJc w:val="left"/>
      <w:lvlText w:val="%1."/>
      <w:numFmt w:val="decimal"/>
      <w:start w:val="5"/>
    </w:lvl>
  </w:abstractNum>
  <w:abstractNum w:abstractNumId="138">
    <w:nsid w:val="F819E7F"/>
    <w:multiLevelType w:val="hybridMultilevel"/>
    <w:lvl w:ilvl="0">
      <w:lvlJc w:val="left"/>
      <w:lvlText w:val="%1."/>
      <w:numFmt w:val="decimal"/>
      <w:start w:val="6"/>
    </w:lvl>
  </w:abstractNum>
  <w:abstractNum w:abstractNumId="139">
    <w:nsid w:val="57C7D42D"/>
    <w:multiLevelType w:val="hybridMultilevel"/>
    <w:lvl w:ilvl="0">
      <w:lvlJc w:val="left"/>
      <w:lvlText w:val="%1."/>
      <w:numFmt w:val="decimal"/>
      <w:start w:val="7"/>
    </w:lvl>
  </w:abstractNum>
  <w:abstractNum w:abstractNumId="140">
    <w:nsid w:val="312167AD"/>
    <w:multiLevelType w:val="hybridMultilevel"/>
    <w:lvl w:ilvl="0">
      <w:lvlJc w:val="left"/>
      <w:lvlText w:val="%1."/>
      <w:numFmt w:val="decimal"/>
      <w:start w:val="8"/>
    </w:lvl>
  </w:abstractNum>
  <w:abstractNum w:abstractNumId="141">
    <w:nsid w:val="631B64D4"/>
    <w:multiLevelType w:val="hybridMultilevel"/>
    <w:lvl w:ilvl="0">
      <w:lvlJc w:val="left"/>
      <w:lvlText w:val="%1."/>
      <w:numFmt w:val="decimal"/>
      <w:start w:val="9"/>
    </w:lvl>
  </w:abstractNum>
  <w:abstractNum w:abstractNumId="142">
    <w:nsid w:val="78B5E776"/>
    <w:multiLevelType w:val="hybridMultilevel"/>
    <w:lvl w:ilvl="0">
      <w:lvlJc w:val="left"/>
      <w:lvlText w:val="%1."/>
      <w:numFmt w:val="decimal"/>
      <w:start w:val="10"/>
    </w:lvl>
  </w:abstractNum>
  <w:abstractNum w:abstractNumId="143">
    <w:nsid w:val="75486E47"/>
    <w:multiLevelType w:val="hybridMultilevel"/>
    <w:lvl w:ilvl="0">
      <w:lvlJc w:val="left"/>
      <w:lvlText w:val="%1."/>
      <w:numFmt w:val="decimal"/>
      <w:start w:val="11"/>
    </w:lvl>
  </w:abstractNum>
  <w:abstractNum w:abstractNumId="144">
    <w:nsid w:val="6E534CDE"/>
    <w:multiLevelType w:val="hybridMultilevel"/>
    <w:lvl w:ilvl="0">
      <w:lvlJc w:val="left"/>
      <w:lvlText w:val="%1."/>
      <w:numFmt w:val="decimal"/>
      <w:start w:val="13"/>
    </w:lvl>
  </w:abstractNum>
  <w:abstractNum w:abstractNumId="145">
    <w:nsid w:val="1A0DDE32"/>
    <w:multiLevelType w:val="hybridMultilevel"/>
    <w:lvl w:ilvl="0">
      <w:lvlJc w:val="left"/>
      <w:lvlText w:val="-"/>
      <w:numFmt w:val="bullet"/>
      <w:start w:val="1"/>
    </w:lvl>
  </w:abstractNum>
  <w:abstractNum w:abstractNumId="146">
    <w:nsid w:val="65968C1C"/>
    <w:multiLevelType w:val="hybridMultilevel"/>
    <w:lvl w:ilvl="0">
      <w:lvlJc w:val="left"/>
      <w:lvlText w:val="-"/>
      <w:numFmt w:val="bullet"/>
      <w:start w:val="1"/>
    </w:lvl>
  </w:abstractNum>
  <w:abstractNum w:abstractNumId="147">
    <w:nsid w:val="46263DEC"/>
    <w:multiLevelType w:val="hybridMultilevel"/>
    <w:lvl w:ilvl="0">
      <w:lvlJc w:val="left"/>
      <w:lvlText w:val="%1."/>
      <w:numFmt w:val="decimal"/>
      <w:start w:val="15"/>
    </w:lvl>
  </w:abstractNum>
  <w:abstractNum w:abstractNumId="148">
    <w:nsid w:val="260D8C4A"/>
    <w:multiLevelType w:val="hybridMultilevel"/>
    <w:lvl w:ilvl="0">
      <w:lvlJc w:val="left"/>
      <w:lvlText w:val="%1."/>
      <w:numFmt w:val="decimal"/>
      <w:start w:val="16"/>
    </w:lvl>
  </w:abstractNum>
  <w:abstractNum w:abstractNumId="149">
    <w:nsid w:val="73D4D3C4"/>
    <w:multiLevelType w:val="hybridMultilevel"/>
    <w:lvl w:ilvl="0">
      <w:lvlJc w:val="left"/>
      <w:lvlText w:val="%1."/>
      <w:numFmt w:val="decimal"/>
      <w:start w:val="17"/>
    </w:lvl>
  </w:abstractNum>
  <w:abstractNum w:abstractNumId="150">
    <w:nsid w:val="746F2E30"/>
    <w:multiLevelType w:val="hybridMultilevel"/>
    <w:lvl w:ilvl="0">
      <w:lvlJc w:val="left"/>
      <w:lvlText w:val="%1."/>
      <w:numFmt w:val="decimal"/>
      <w:start w:val="18"/>
    </w:lvl>
  </w:abstractNum>
  <w:abstractNum w:abstractNumId="151">
    <w:nsid w:val="6FDE8AF6"/>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9" Type="http://schemas.openxmlformats.org/officeDocument/2006/relationships/image" Target="media/image617.png"/><Relationship Id="rId630" Type="http://schemas.openxmlformats.org/officeDocument/2006/relationships/image" Target="media/image618.png"/><Relationship Id="rId649" Type="http://schemas.openxmlformats.org/officeDocument/2006/relationships/image" Target="media/image619.png"/><Relationship Id="rId650" Type="http://schemas.openxmlformats.org/officeDocument/2006/relationships/image" Target="media/image620.png"/><Relationship Id="rId660" Type="http://schemas.openxmlformats.org/officeDocument/2006/relationships/image" Target="media/image621.png"/><Relationship Id="rId661" Type="http://schemas.openxmlformats.org/officeDocument/2006/relationships/image" Target="media/image622.png"/><Relationship Id="rId662" Type="http://schemas.openxmlformats.org/officeDocument/2006/relationships/image" Target="media/image623.png"/><Relationship Id="rId663" Type="http://schemas.openxmlformats.org/officeDocument/2006/relationships/image" Target="media/image624.png"/><Relationship Id="rId664" Type="http://schemas.openxmlformats.org/officeDocument/2006/relationships/image" Target="media/image625.png"/><Relationship Id="rId665" Type="http://schemas.openxmlformats.org/officeDocument/2006/relationships/image" Target="media/image626.png"/><Relationship Id="rId666" Type="http://schemas.openxmlformats.org/officeDocument/2006/relationships/image" Target="media/image627.png"/><Relationship Id="rId667" Type="http://schemas.openxmlformats.org/officeDocument/2006/relationships/image" Target="media/image628.png"/><Relationship Id="rId624" Type="http://schemas.openxmlformats.org/officeDocument/2006/relationships/hyperlink" Target="https://www.sec.gov/Archives/edgar/data/1920294/000119312523240685/d309194df4a.htm#anxacov" TargetMode="External"/><Relationship Id="rId625" Type="http://schemas.openxmlformats.org/officeDocument/2006/relationships/hyperlink" Target="https://www.sec.gov/Archives/edgar/data/1920294/000119312523240685/d309194df4a.htm#anxaa" TargetMode="External"/><Relationship Id="rId626" Type="http://schemas.openxmlformats.org/officeDocument/2006/relationships/hyperlink" Target="https://www.sec.gov/ix?doc=/Archives/edgar/data/0001920294/000095017025057622/rzlv-20241231.htm" TargetMode="External"/><Relationship Id="rId627" Type="http://schemas.openxmlformats.org/officeDocument/2006/relationships/hyperlink" Target="https://www.sec.gov/Archives/edgar/data/1920294/000119312524204510/d885107dex21.htm" TargetMode="External"/><Relationship Id="rId628" Type="http://schemas.openxmlformats.org/officeDocument/2006/relationships/hyperlink" Target="https://www.sec.gov/Archives/edgar/data/1920294/000119312524204510/d885107dex22.htm" TargetMode="External"/><Relationship Id="rId631" Type="http://schemas.openxmlformats.org/officeDocument/2006/relationships/hyperlink" Target="https://www.sec.gov/Archives/edgar/data/1920294/000119312524204510/d885107dex43.htm" TargetMode="External"/><Relationship Id="rId632" Type="http://schemas.openxmlformats.org/officeDocument/2006/relationships/hyperlink" Target="https://www.sec.gov/Archives/edgar/data/1920294/000119312524204510/d885107dex44.htm" TargetMode="External"/><Relationship Id="rId633" Type="http://schemas.openxmlformats.org/officeDocument/2006/relationships/hyperlink" Target="https://www.sec.gov/Archives/edgar/data/1920294/000119312524204510/d885107dex46.htm" TargetMode="External"/><Relationship Id="rId634" Type="http://schemas.openxmlformats.org/officeDocument/2006/relationships/hyperlink" Target="https://www.sec.gov/Archives/edgar/data/1920294/000119312524204510/d885107dex47.htm" TargetMode="External"/><Relationship Id="rId635" Type="http://schemas.openxmlformats.org/officeDocument/2006/relationships/hyperlink" Target="https://www.sec.gov/ix?doc=/Archives/edgar/data/0001920294/000095017024117881/rzlv-20241028.htm" TargetMode="External"/><Relationship Id="rId636" Type="http://schemas.openxmlformats.org/officeDocument/2006/relationships/hyperlink" Target="https://www.sec.gov/Archives/edgar/data/1920294/000119312524159410/d309194dex1017.htm" TargetMode="External"/><Relationship Id="rId637" Type="http://schemas.openxmlformats.org/officeDocument/2006/relationships/hyperlink" Target="https://www.sec.gov/Archives/edgar/data/1920294/000119312524143103/d309194dex1018.htm" TargetMode="External"/><Relationship Id="rId638" Type="http://schemas.openxmlformats.org/officeDocument/2006/relationships/hyperlink" Target="https://www.sec.gov/Archives/edgar/data/1920294/000119312524143103/d309194dex1019.htm" TargetMode="External"/><Relationship Id="rId639" Type="http://schemas.openxmlformats.org/officeDocument/2006/relationships/hyperlink" Target="https://www.sec.gov/Archives/edgar/data/1920294/000119312524143103/d309194dex1020.htm" TargetMode="External"/><Relationship Id="rId640" Type="http://schemas.openxmlformats.org/officeDocument/2006/relationships/hyperlink" Target="https://www.sec.gov/Archives/edgar/data/1920294/000119312524143103/d309194dex1021.htm" TargetMode="External"/><Relationship Id="rId641" Type="http://schemas.openxmlformats.org/officeDocument/2006/relationships/hyperlink" Target="https://www.sec.gov/Archives/edgar/data/1920294/000119312524143103/d309194dex1022.htm" TargetMode="External"/><Relationship Id="rId642" Type="http://schemas.openxmlformats.org/officeDocument/2006/relationships/hyperlink" Target="https://www.sec.gov/Archives/edgar/data/1920294/000119312524143103/d309194dex1023.htm" TargetMode="External"/><Relationship Id="rId643" Type="http://schemas.openxmlformats.org/officeDocument/2006/relationships/hyperlink" Target="https://www.sec.gov/Archives/edgar/data/1920294/000119312524143103/d309194dex1024.htm" TargetMode="External"/><Relationship Id="rId644" Type="http://schemas.openxmlformats.org/officeDocument/2006/relationships/hyperlink" Target="https://www.sec.gov/Archives/edgar/data/1844817/000119312524028592/d701134dex21.htm" TargetMode="External"/><Relationship Id="rId645" Type="http://schemas.openxmlformats.org/officeDocument/2006/relationships/hyperlink" Target="https://www.sec.gov/Archives/edgar/data/1920294/000095017024104513/rzlv-ex10_13.htm" TargetMode="External"/><Relationship Id="rId646" Type="http://schemas.openxmlformats.org/officeDocument/2006/relationships/hyperlink" Target="https://www.sec.gov/Archives/edgar/data/1920294/000095017024106474/rzlv-ex99_2.htm" TargetMode="External"/><Relationship Id="rId647" Type="http://schemas.openxmlformats.org/officeDocument/2006/relationships/hyperlink" Target="https://www.sec.gov/Archives/edgar/data/1920294/000095017024133740/rzlv-ex99_1.htm" TargetMode="External"/><Relationship Id="rId648" Type="http://schemas.openxmlformats.org/officeDocument/2006/relationships/hyperlink" Target="https://www.sec.gov/Archives/edgar/data/1920294/000095017024137626/rzlv-ex10_2.htm" TargetMode="External"/><Relationship Id="rId651" Type="http://schemas.openxmlformats.org/officeDocument/2006/relationships/hyperlink" Target="https://www.sec.gov/Archives/edgar/data/1920294/000095017024137626/rzlv-ex10_3.htm" TargetMode="External"/><Relationship Id="rId652" Type="http://schemas.openxmlformats.org/officeDocument/2006/relationships/hyperlink" Target="https://www.sec.gov/Archives/edgar/data/1920294/000095017024139714/rzlv-ex10_1.htm" TargetMode="External"/><Relationship Id="rId653" Type="http://schemas.openxmlformats.org/officeDocument/2006/relationships/hyperlink" Target="https://www.sec.gov/Archives/edgar/data/1920294/000095017025010226/rzlv-ex10_1.htm" TargetMode="External"/><Relationship Id="rId654" Type="http://schemas.openxmlformats.org/officeDocument/2006/relationships/hyperlink" Target="https://www.sec.gov/Archives/edgar/data/1920294/000095017025016341/rzlv-ex10_1.htm" TargetMode="External"/><Relationship Id="rId655" Type="http://schemas.openxmlformats.org/officeDocument/2006/relationships/hyperlink" Target="https://www.sec.gov/Archives/edgar/data/1920294/000095017025024898/rzlv-ex10_1.htm" TargetMode="External"/><Relationship Id="rId656" Type="http://schemas.openxmlformats.org/officeDocument/2006/relationships/hyperlink" Target="https://www.sec.gov/Archives/edgar/data/1920294/000095017025026125/rzlv-ex10_1.htm" TargetMode="External"/><Relationship Id="rId657" Type="http://schemas.openxmlformats.org/officeDocument/2006/relationships/hyperlink" Target="https://www.sec.gov/Archives/edgar/data/1920294/000095017025026125/rzlv-ex10_2.htm" TargetMode="External"/><Relationship Id="rId658" Type="http://schemas.openxmlformats.org/officeDocument/2006/relationships/hyperlink" Target="https://www.sec.gov/Archives/edgar/data/1920294/000095017025034867/rzlv-ex10_1.htm" TargetMode="External"/><Relationship Id="rId659" Type="http://schemas.openxmlformats.org/officeDocument/2006/relationships/hyperlink" Target="https://www.sec.gov/Archives/edgar/data/1920294/000095017024117881/rzlv-exfiling_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2025-05-02T15:58:15Z</dcterms:created>
  <dcterms:modified xsi:type="dcterms:W3CDTF">2025-05-02T15:58:15Z</dcterms:modified>
</cp:coreProperties>
</file>