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11, 2024</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234" w:lineRule="exact"/>
        <w:rPr>
          <w:sz w:val="24"/>
          <w:szCs w:val="24"/>
          <w:color w:val="auto"/>
        </w:rPr>
      </w:pPr>
    </w:p>
    <w:p>
      <w:pPr>
        <w:ind w:left="4"/>
        <w:spacing w:after="0"/>
        <w:tabs>
          <w:tab w:leader="none" w:pos="98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Kyle Wiley</w:t>
      </w:r>
    </w:p>
    <w:p>
      <w:pPr>
        <w:spacing w:after="0" w:line="27" w:lineRule="exact"/>
        <w:rPr>
          <w:sz w:val="24"/>
          <w:szCs w:val="24"/>
          <w:color w:val="auto"/>
        </w:rPr>
      </w:pPr>
    </w:p>
    <w:p>
      <w:pPr>
        <w:ind w:left="1004"/>
        <w:spacing w:after="0"/>
        <w:rPr>
          <w:sz w:val="20"/>
          <w:szCs w:val="20"/>
          <w:color w:val="auto"/>
        </w:rPr>
      </w:pPr>
      <w:r>
        <w:rPr>
          <w:rFonts w:ascii="Times New Roman" w:cs="Times New Roman" w:eastAsia="Times New Roman" w:hAnsi="Times New Roman"/>
          <w:sz w:val="18"/>
          <w:szCs w:val="18"/>
          <w:color w:val="auto"/>
        </w:rPr>
        <w:t>Matthew Crispino</w:t>
      </w:r>
    </w:p>
    <w:p>
      <w:pPr>
        <w:spacing w:after="0" w:line="9" w:lineRule="exact"/>
        <w:rPr>
          <w:sz w:val="24"/>
          <w:szCs w:val="24"/>
          <w:color w:val="auto"/>
        </w:rPr>
      </w:pPr>
    </w:p>
    <w:p>
      <w:pPr>
        <w:ind w:left="1004"/>
        <w:spacing w:after="0"/>
        <w:rPr>
          <w:sz w:val="20"/>
          <w:szCs w:val="20"/>
          <w:color w:val="auto"/>
        </w:rPr>
      </w:pPr>
      <w:r>
        <w:rPr>
          <w:rFonts w:ascii="Times New Roman" w:cs="Times New Roman" w:eastAsia="Times New Roman" w:hAnsi="Times New Roman"/>
          <w:sz w:val="18"/>
          <w:szCs w:val="18"/>
          <w:color w:val="auto"/>
        </w:rPr>
        <w:t>Inessa Kessman</w:t>
      </w:r>
    </w:p>
    <w:p>
      <w:pPr>
        <w:spacing w:after="0" w:line="9" w:lineRule="exact"/>
        <w:rPr>
          <w:sz w:val="24"/>
          <w:szCs w:val="24"/>
          <w:color w:val="auto"/>
        </w:rPr>
      </w:pPr>
    </w:p>
    <w:p>
      <w:pPr>
        <w:ind w:left="1004"/>
        <w:spacing w:after="0"/>
        <w:rPr>
          <w:sz w:val="20"/>
          <w:szCs w:val="20"/>
          <w:color w:val="auto"/>
        </w:rPr>
      </w:pPr>
      <w:r>
        <w:rPr>
          <w:rFonts w:ascii="Times New Roman" w:cs="Times New Roman" w:eastAsia="Times New Roman" w:hAnsi="Times New Roman"/>
          <w:sz w:val="18"/>
          <w:szCs w:val="18"/>
          <w:color w:val="auto"/>
        </w:rPr>
        <w:t>Robert Littlepage</w:t>
      </w:r>
    </w:p>
    <w:p>
      <w:pPr>
        <w:spacing w:after="0" w:line="230" w:lineRule="exact"/>
        <w:rPr>
          <w:sz w:val="24"/>
          <w:szCs w:val="24"/>
          <w:color w:val="auto"/>
        </w:rPr>
      </w:pPr>
    </w:p>
    <w:p>
      <w:pPr>
        <w:ind w:left="4"/>
        <w:spacing w:after="0"/>
        <w:tabs>
          <w:tab w:leader="none" w:pos="424" w:val="left"/>
        </w:tabs>
        <w:rPr>
          <w:sz w:val="20"/>
          <w:szCs w:val="20"/>
          <w:color w:val="auto"/>
        </w:rPr>
      </w:pPr>
      <w:r>
        <w:rPr>
          <w:rFonts w:ascii="Times New Roman" w:cs="Times New Roman" w:eastAsia="Times New Roman" w:hAnsi="Times New Roman"/>
          <w:sz w:val="18"/>
          <w:szCs w:val="18"/>
          <w:b w:val="1"/>
          <w:bCs w:val="1"/>
          <w:color w:val="auto"/>
        </w:rPr>
        <w:t>Re:</w:t>
        <w:tab/>
        <w:t>Rezolve AI Limited</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Amendment No. 5 to Registration Statement on Form F-4</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Filed May 20, 2024</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 No. 333-272751</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This letter is submitted in response to the comments of the staff of the Division of Corporation Finance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as set forth in the Staff’s comment letter dated June 4, 2024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in respect of Rezolve AI Limited’s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Amendment No. 5 to Registration Statement on Form F-4, filed with the Commission on May 20, 2024 (the “Registration Statement”).</w:t>
      </w:r>
    </w:p>
    <w:p>
      <w:pPr>
        <w:spacing w:after="0" w:line="176" w:lineRule="exact"/>
        <w:rPr>
          <w:sz w:val="24"/>
          <w:szCs w:val="24"/>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In order to facilitate your review, we have restated the Staff’s comments in this letter, and we have set forth the Registrant’s responses immediately below the Staff’s comments.</w:t>
      </w:r>
    </w:p>
    <w:p>
      <w:pPr>
        <w:spacing w:after="0" w:line="162" w:lineRule="exact"/>
        <w:rPr>
          <w:sz w:val="24"/>
          <w:szCs w:val="24"/>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In addition, the Registrant has revised the Registration Statement in response to the Staff’s comments and is filing an amendment to the Registration Statement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concurrently with this letter, which reflects the revisions and clarifies certain other information. The page numbers in the text of the Registrant’s responses correspond to the page numbers in the Amendment. Unless otherwise indicated, capitalized terms used herein have the meanings assigned to them in the Amendment.</w:t>
      </w:r>
    </w:p>
    <w:p>
      <w:pPr>
        <w:spacing w:after="0" w:line="28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 No. 5 to Registration Statement on Form F-4</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The Business Combination Proposal</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Armada Board of Directors’ Reasons for the Approval of the Business Combination, page 139</w:t>
      </w:r>
    </w:p>
    <w:p>
      <w:pPr>
        <w:spacing w:after="0" w:line="230" w:lineRule="exact"/>
        <w:rPr>
          <w:sz w:val="24"/>
          <w:szCs w:val="24"/>
          <w:color w:val="auto"/>
        </w:rPr>
      </w:pPr>
    </w:p>
    <w:p>
      <w:pPr>
        <w:ind w:left="424" w:right="100" w:hanging="424"/>
        <w:spacing w:after="0" w:line="268"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Given that you are unable to consolidate ANY Lifestyle Marketing GmbH as a primary beneficiary, please disclose whether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 has affected the board’s recommendation that stockholders approve the transaction. Also, disclose if the board believes Marshall &amp; Steven’s fairness opinion remains valid.</w:t>
      </w:r>
    </w:p>
    <w:p>
      <w:pPr>
        <w:spacing w:after="0" w:line="6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139-142 of the Amendment.</w:t>
      </w:r>
    </w:p>
    <w:p>
      <w:pPr>
        <w:sectPr>
          <w:pgSz w:w="11900" w:h="16838" w:orient="portrait"/>
          <w:cols w:equalWidth="0" w:num="1">
            <w:col w:w="11024"/>
          </w:cols>
          <w:pgMar w:left="436" w:top="229"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11,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Rezolve Financial Projections, page 148</w:t>
      </w:r>
    </w:p>
    <w:p>
      <w:pPr>
        <w:spacing w:after="0" w:line="127"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tell us what consideration you have given to revising the projections to include the actual historical results for CY 2023.</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155 of the Amendment.</w:t>
      </w:r>
    </w:p>
    <w:p>
      <w:pPr>
        <w:spacing w:after="0" w:line="3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Rezolve AI Limited and Subsidiaries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Carve-out Consolidated Statements of Changes in Shareholders’ Deficit, page F-7</w:t>
      </w:r>
    </w:p>
    <w:p>
      <w:pPr>
        <w:spacing w:after="0" w:line="108" w:lineRule="exact"/>
        <w:rPr>
          <w:sz w:val="20"/>
          <w:szCs w:val="20"/>
          <w:color w:val="auto"/>
        </w:rPr>
      </w:pPr>
    </w:p>
    <w:p>
      <w:pPr>
        <w:ind w:left="424" w:right="540" w:hanging="424"/>
        <w:spacing w:after="0" w:line="28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clarify why you continue to have deferred shares for ANY recorded on your Carveout Consolidated Statements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in Shareholders’ Deficit.</w:t>
      </w:r>
    </w:p>
    <w:p>
      <w:pPr>
        <w:spacing w:after="0" w:line="46" w:lineRule="exact"/>
        <w:rPr>
          <w:rFonts w:ascii="Times New Roman" w:cs="Times New Roman" w:eastAsia="Times New Roman" w:hAnsi="Times New Roman"/>
          <w:sz w:val="18"/>
          <w:szCs w:val="18"/>
          <w:color w:val="auto"/>
        </w:rPr>
      </w:pPr>
    </w:p>
    <w:p>
      <w:pPr>
        <w:ind w:left="444" w:right="240"/>
        <w:spacing w:after="0" w:line="3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Response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Registrant respectfully acknowledges the Staff’s comment and respectfully advises the Staff that the Financial statements have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been restated to reflect the removal of the deferred shares and equity return to APIC, on return of the shares and cancellation of the transaction.</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14. Related party disclosures, page F-35</w:t>
      </w:r>
    </w:p>
    <w:p>
      <w:pPr>
        <w:spacing w:after="0" w:line="127" w:lineRule="exact"/>
        <w:rPr>
          <w:sz w:val="20"/>
          <w:szCs w:val="20"/>
          <w:color w:val="auto"/>
        </w:rPr>
      </w:pPr>
    </w:p>
    <w:p>
      <w:pPr>
        <w:ind w:left="424" w:right="80" w:hanging="424"/>
        <w:spacing w:after="0" w:line="28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revise your related party disclosure to allow readers to reconcile related party transactions to your consolidated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w:t>
      </w:r>
    </w:p>
    <w:p>
      <w:pPr>
        <w:spacing w:after="0" w:line="4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F-35 of the Amendment.</w:t>
      </w:r>
    </w:p>
    <w:p>
      <w:pPr>
        <w:spacing w:after="0" w:line="3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7" w:lineRule="exact"/>
        <w:rPr>
          <w:sz w:val="20"/>
          <w:szCs w:val="20"/>
          <w:color w:val="auto"/>
        </w:rPr>
      </w:pPr>
    </w:p>
    <w:p>
      <w:pPr>
        <w:ind w:left="424" w:right="60" w:hanging="424"/>
        <w:spacing w:after="0" w:line="268"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disclose on page 35 and 233 that you expect to commercialize the Rezolve platform in quarter 4 of 2024 with Grupo Carso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that you expect revenues to increase significantly in 2024 and 2025. Please expand your disclosure to state the basis for these statements. Explain if you have executed contracts with certain partners.</w:t>
      </w:r>
    </w:p>
    <w:p>
      <w:pPr>
        <w:spacing w:after="0" w:line="62" w:lineRule="exact"/>
        <w:rPr>
          <w:rFonts w:ascii="Times New Roman" w:cs="Times New Roman" w:eastAsia="Times New Roman" w:hAnsi="Times New Roman"/>
          <w:sz w:val="18"/>
          <w:szCs w:val="18"/>
          <w:color w:val="auto"/>
        </w:rPr>
      </w:pPr>
    </w:p>
    <w:p>
      <w:pPr>
        <w:ind w:left="444" w:right="3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35, 218, 223 and 233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pacing w:after="0" w:line="60" w:lineRule="exact"/>
        <w:rPr>
          <w:rFonts w:ascii="Times New Roman" w:cs="Times New Roman" w:eastAsia="Times New Roman" w:hAnsi="Times New Roman"/>
          <w:sz w:val="18"/>
          <w:szCs w:val="18"/>
          <w:color w:val="auto"/>
        </w:rPr>
      </w:pPr>
    </w:p>
    <w:p>
      <w:pPr>
        <w:ind w:left="424" w:right="60" w:hanging="424"/>
        <w:spacing w:after="0" w:line="268"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statement on page 35, 233 and F-9 that Rezolve was incorporated on January 5, 2023 under the name Rezolve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Group Limited and changed its name on June 5, 2023 to Rezolve AI Limited. Please reconcile this statement to the organization charts on pages 6 through 8. Your disclosure should accurately reflect all names and dates.</w:t>
      </w:r>
    </w:p>
    <w:p>
      <w:pPr>
        <w:spacing w:after="0" w:line="62" w:lineRule="exact"/>
        <w:rPr>
          <w:rFonts w:ascii="Times New Roman" w:cs="Times New Roman" w:eastAsia="Times New Roman" w:hAnsi="Times New Roman"/>
          <w:sz w:val="18"/>
          <w:szCs w:val="18"/>
          <w:color w:val="auto"/>
        </w:rPr>
      </w:pPr>
    </w:p>
    <w:p>
      <w:pPr>
        <w:ind w:left="44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organization charts on pages 6-8 and 121-122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ectPr>
          <w:pgSz w:w="11900" w:h="16838" w:orient="portrait"/>
          <w:cols w:equalWidth="0" w:num="1">
            <w:col w:w="10984"/>
          </w:cols>
          <w:pgMar w:left="436" w:top="270"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11,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ind w:left="424" w:right="60" w:hanging="424"/>
        <w:spacing w:after="0" w:line="268"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pages 108, 242, and F-16, you discuss the granting 58,315,800 employee shares. However, on page 108 these shares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valued at $62,239,276, on page 242 they are valued at $5,831,580, and on F-16 they are valued at $36,738,954. Please explain the inconsistency with regards to valuing these shares. Revise accordingly.</w:t>
      </w:r>
    </w:p>
    <w:p>
      <w:pPr>
        <w:spacing w:after="0" w:line="62" w:lineRule="exact"/>
        <w:rPr>
          <w:rFonts w:ascii="Times New Roman" w:cs="Times New Roman" w:eastAsia="Times New Roman" w:hAnsi="Times New Roman"/>
          <w:sz w:val="18"/>
          <w:szCs w:val="18"/>
          <w:color w:val="auto"/>
        </w:rPr>
      </w:pPr>
    </w:p>
    <w:p>
      <w:pPr>
        <w:ind w:left="44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46,47, 102-108 and 242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pacing w:after="0" w:line="158" w:lineRule="exact"/>
        <w:rPr>
          <w:rFonts w:ascii="Times New Roman" w:cs="Times New Roman" w:eastAsia="Times New Roman" w:hAnsi="Times New Roman"/>
          <w:sz w:val="18"/>
          <w:szCs w:val="18"/>
          <w:color w:val="auto"/>
        </w:rPr>
      </w:pPr>
    </w:p>
    <w:p>
      <w:pPr>
        <w:ind w:left="5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ectPr>
          <w:pgSz w:w="11900" w:h="16838" w:orient="portrait"/>
          <w:cols w:equalWidth="0" w:num="1">
            <w:col w:w="10864"/>
          </w:cols>
          <w:pgMar w:left="436" w:top="270" w:right="59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11,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or require further information, please contact Gerry Williams at (404) 736-7891 or Penny Minna at (410) 580-4228.</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ind w:left="344" w:right="8940" w:hanging="344"/>
        <w:spacing w:after="0" w:line="312" w:lineRule="auto"/>
        <w:tabs>
          <w:tab w:leader="none" w:pos="3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Penny Minna, Esq. </w:t>
      </w:r>
      <w:r>
        <w:rPr>
          <w:rFonts w:ascii="Times New Roman" w:cs="Times New Roman" w:eastAsia="Times New Roman" w:hAnsi="Times New Roman"/>
          <w:sz w:val="17"/>
          <w:szCs w:val="17"/>
          <w:i w:val="1"/>
          <w:iCs w:val="1"/>
          <w:color w:val="auto"/>
        </w:rPr>
        <w:t>DLA Piper LLP (US)</w:t>
      </w:r>
    </w:p>
    <w:sectPr>
      <w:pgSz w:w="11900" w:h="16838" w:orient="portrait"/>
      <w:cols w:equalWidth="0" w:num="1">
        <w:col w:w="10804"/>
      </w:cols>
      <w:pgMar w:left="436"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7"/>
    </w:lvl>
    <w:lvl w:ilvl="1">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2024-08-07T23:08:07Z</dcterms:created>
  <dcterms:modified xsi:type="dcterms:W3CDTF">2024-08-07T23:08:07Z</dcterms:modified>
</cp:coreProperties>
</file>