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(Amendment No. 1 – Exit Filing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0"/>
          <w:szCs w:val="40"/>
          <w:b w:val="1"/>
          <w:bCs w:val="1"/>
          <w:color w:val="auto"/>
        </w:rPr>
        <w:t>REZOLVE AI LIMITED</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Ordinary Shares, par value £0.0001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G75398 100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October 14, 2024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140" w:hanging="119"/>
        <w:spacing w:after="0" w:line="282" w:lineRule="auto"/>
        <w:tabs>
          <w:tab w:leader="none" w:pos="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1362075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500" w:val="left"/>
          <w:tab w:leader="none" w:pos="9860" w:val="left"/>
        </w:tabs>
        <w:rPr>
          <w:sz w:val="20"/>
          <w:szCs w:val="20"/>
          <w:color w:val="auto"/>
        </w:rPr>
      </w:pPr>
      <w:r>
        <w:rPr>
          <w:rFonts w:ascii="Times New Roman" w:cs="Times New Roman" w:eastAsia="Times New Roman" w:hAnsi="Times New Roman"/>
          <w:sz w:val="18"/>
          <w:szCs w:val="18"/>
          <w:b w:val="1"/>
          <w:bCs w:val="1"/>
          <w:color w:val="auto"/>
        </w:rPr>
        <w:t>CUSIP No. G75398 100</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2 of 6 Pages</w:t>
      </w:r>
    </w:p>
    <w:p>
      <w:pPr>
        <w:spacing w:after="0" w:line="391" w:lineRule="exact"/>
        <w:rPr>
          <w:sz w:val="20"/>
          <w:szCs w:val="20"/>
          <w:color w:val="auto"/>
        </w:rPr>
      </w:pPr>
    </w:p>
    <w:p>
      <w:pPr>
        <w:ind w:left="840" w:hanging="642"/>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654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54175"/>
                    </a:xfrm>
                    <a:prstGeom prst="rect">
                      <a:avLst/>
                    </a:prstGeom>
                    <a:noFill/>
                  </pic:spPr>
                </pic:pic>
              </a:graphicData>
            </a:graphic>
          </wp:anchor>
        </w:drawing>
      </w:r>
    </w:p>
    <w:p>
      <w:pPr>
        <w:spacing w:after="0" w:line="2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Cocoa Wagner</w:t>
      </w:r>
    </w:p>
    <w:p>
      <w:pPr>
        <w:spacing w:after="0" w:line="36" w:lineRule="exact"/>
        <w:rPr>
          <w:sz w:val="20"/>
          <w:szCs w:val="20"/>
          <w:color w:val="auto"/>
        </w:rPr>
      </w:pPr>
    </w:p>
    <w:p>
      <w:pPr>
        <w:ind w:left="840" w:hanging="642"/>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8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1" w:lineRule="exact"/>
        <w:rPr>
          <w:sz w:val="20"/>
          <w:szCs w:val="20"/>
          <w:color w:val="auto"/>
        </w:rPr>
      </w:pPr>
    </w:p>
    <w:p>
      <w:pPr>
        <w:ind w:left="840" w:hanging="642"/>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840" w:right="6700" w:hanging="642"/>
        <w:spacing w:after="0" w:line="563"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8890" cy="1774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74190"/>
                    </a:xfrm>
                    <a:prstGeom prst="rect">
                      <a:avLst/>
                    </a:prstGeom>
                    <a:noFill/>
                  </pic:spPr>
                </pic:pic>
              </a:graphicData>
            </a:graphic>
          </wp:anchor>
        </w:drawing>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254"/>
        </w:trPr>
        <w:tc>
          <w:tcPr>
            <w:tcW w:w="2520" w:type="dxa"/>
            <w:vAlign w:val="bottom"/>
            <w:tcBorders>
              <w:right w:val="single" w:sz="8" w:color="auto"/>
            </w:tcBorders>
          </w:tcPr>
          <w:p>
            <w:pPr>
              <w:spacing w:after="0"/>
              <w:rPr>
                <w:sz w:val="22"/>
                <w:szCs w:val="22"/>
                <w:color w:val="auto"/>
              </w:rPr>
            </w:pPr>
          </w:p>
        </w:tc>
        <w:tc>
          <w:tcPr>
            <w:tcW w:w="3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6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4"/>
        </w:trPr>
        <w:tc>
          <w:tcPr>
            <w:tcW w:w="2520" w:type="dxa"/>
            <w:vAlign w:val="bottom"/>
            <w:tcBorders>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7,015,966</w:t>
            </w:r>
          </w:p>
        </w:tc>
        <w:tc>
          <w:tcPr>
            <w:tcW w:w="0" w:type="dxa"/>
            <w:vAlign w:val="bottom"/>
          </w:tcPr>
          <w:p>
            <w:pPr>
              <w:spacing w:after="0"/>
              <w:rPr>
                <w:sz w:val="1"/>
                <w:szCs w:val="1"/>
                <w:color w:val="auto"/>
              </w:rPr>
            </w:pPr>
          </w:p>
        </w:tc>
      </w:tr>
      <w:tr>
        <w:trPr>
          <w:trHeight w:val="232"/>
        </w:trPr>
        <w:tc>
          <w:tcPr>
            <w:tcW w:w="2520" w:type="dxa"/>
            <w:vAlign w:val="bottom"/>
            <w:tcBorders>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6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Borders>
              <w:right w:val="single" w:sz="8" w:color="auto"/>
            </w:tcBorders>
          </w:tcPr>
          <w:p>
            <w:pPr>
              <w:spacing w:after="0"/>
              <w:rPr>
                <w:sz w:val="18"/>
                <w:szCs w:val="18"/>
                <w:color w:val="auto"/>
              </w:rPr>
            </w:pPr>
          </w:p>
        </w:tc>
        <w:tc>
          <w:tcPr>
            <w:tcW w:w="69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2520" w:type="dxa"/>
            <w:vAlign w:val="bottom"/>
            <w:tcBorders>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Borders>
              <w:bottom w:val="single" w:sz="8" w:color="auto"/>
              <w:right w:val="single" w:sz="8" w:color="auto"/>
            </w:tcBorders>
          </w:tcPr>
          <w:p>
            <w:pPr>
              <w:spacing w:after="0"/>
              <w:rPr>
                <w:sz w:val="20"/>
                <w:szCs w:val="20"/>
                <w:color w:val="auto"/>
              </w:rPr>
            </w:pPr>
          </w:p>
        </w:tc>
        <w:tc>
          <w:tcPr>
            <w:tcW w:w="69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520" w:type="dxa"/>
            <w:vAlign w:val="bottom"/>
            <w:tcBorders>
              <w:right w:val="single" w:sz="8" w:color="auto"/>
            </w:tcBorders>
          </w:tcPr>
          <w:p>
            <w:pPr>
              <w:jc w:val="center"/>
              <w:ind w:right="117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80" w:type="dxa"/>
            <w:vAlign w:val="bottom"/>
            <w:tcBorders>
              <w:right w:val="single" w:sz="8" w:color="auto"/>
            </w:tcBorders>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940" w:type="dxa"/>
            <w:vAlign w:val="bottom"/>
            <w:tcBorders>
              <w:right w:val="single" w:sz="8" w:color="auto"/>
            </w:tcBorders>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520" w:type="dxa"/>
            <w:vAlign w:val="bottom"/>
            <w:tcBorders>
              <w:right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380" w:type="dxa"/>
            <w:vAlign w:val="bottom"/>
            <w:tcBorders>
              <w:right w:val="single" w:sz="8" w:color="auto"/>
            </w:tcBorders>
          </w:tcPr>
          <w:p>
            <w:pPr>
              <w:spacing w:after="0"/>
              <w:rPr>
                <w:sz w:val="18"/>
                <w:szCs w:val="18"/>
                <w:color w:val="auto"/>
              </w:rPr>
            </w:pPr>
          </w:p>
        </w:tc>
        <w:tc>
          <w:tcPr>
            <w:tcW w:w="6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20" w:type="dxa"/>
            <w:vAlign w:val="bottom"/>
            <w:tcBorders>
              <w:right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PERSON</w:t>
            </w:r>
          </w:p>
        </w:tc>
        <w:tc>
          <w:tcPr>
            <w:tcW w:w="380" w:type="dxa"/>
            <w:vAlign w:val="bottom"/>
            <w:tcBorders>
              <w:right w:val="single" w:sz="8" w:color="auto"/>
            </w:tcBorders>
          </w:tcPr>
          <w:p>
            <w:pPr>
              <w:spacing w:after="0"/>
              <w:rPr>
                <w:sz w:val="19"/>
                <w:szCs w:val="19"/>
                <w:color w:val="auto"/>
              </w:rPr>
            </w:pPr>
          </w:p>
        </w:tc>
        <w:tc>
          <w:tcPr>
            <w:tcW w:w="6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7,015,966</w:t>
            </w:r>
          </w:p>
        </w:tc>
        <w:tc>
          <w:tcPr>
            <w:tcW w:w="0" w:type="dxa"/>
            <w:vAlign w:val="bottom"/>
          </w:tcPr>
          <w:p>
            <w:pPr>
              <w:spacing w:after="0"/>
              <w:rPr>
                <w:sz w:val="1"/>
                <w:szCs w:val="1"/>
                <w:color w:val="auto"/>
              </w:rPr>
            </w:pPr>
          </w:p>
        </w:tc>
      </w:tr>
      <w:tr>
        <w:trPr>
          <w:trHeight w:val="68"/>
        </w:trPr>
        <w:tc>
          <w:tcPr>
            <w:tcW w:w="2520" w:type="dxa"/>
            <w:vAlign w:val="bottom"/>
            <w:tcBorders>
              <w:right w:val="single" w:sz="8" w:color="auto"/>
            </w:tcBorders>
            <w:vMerge w:val="restart"/>
          </w:tcPr>
          <w:p>
            <w:pPr>
              <w:jc w:val="center"/>
              <w:ind w:right="1170"/>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right w:val="single" w:sz="8" w:color="auto"/>
            </w:tcBorders>
          </w:tcPr>
          <w:p>
            <w:pPr>
              <w:spacing w:after="0"/>
              <w:rPr>
                <w:sz w:val="5"/>
                <w:szCs w:val="5"/>
                <w:color w:val="auto"/>
              </w:rPr>
            </w:pPr>
          </w:p>
        </w:tc>
        <w:tc>
          <w:tcPr>
            <w:tcW w:w="6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52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694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252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6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252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9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40" w:hanging="44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791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133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7,015,966</w:t>
      </w:r>
    </w:p>
    <w:p>
      <w:pPr>
        <w:spacing w:after="0" w:line="36" w:lineRule="exact"/>
        <w:rPr>
          <w:sz w:val="20"/>
          <w:szCs w:val="20"/>
          <w:color w:val="auto"/>
        </w:rPr>
      </w:pPr>
    </w:p>
    <w:p>
      <w:pPr>
        <w:ind w:left="160"/>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w:t>
      </w:r>
    </w:p>
    <w:p>
      <w:pPr>
        <w:spacing w:after="0" w:line="211" w:lineRule="exact"/>
        <w:rPr>
          <w:sz w:val="20"/>
          <w:szCs w:val="20"/>
          <w:color w:val="auto"/>
        </w:rPr>
      </w:pPr>
    </w:p>
    <w:p>
      <w:pPr>
        <w:ind w:left="600"/>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60" w:right="5500" w:hanging="507"/>
        <w:spacing w:after="0" w:line="39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4.07%</w:t>
      </w:r>
    </w:p>
    <w:p>
      <w:pPr>
        <w:spacing w:after="0" w:line="1" w:lineRule="exact"/>
        <w:rPr>
          <w:rFonts w:ascii="Times New Roman" w:cs="Times New Roman" w:eastAsia="Times New Roman" w:hAnsi="Times New Roman"/>
          <w:sz w:val="18"/>
          <w:szCs w:val="18"/>
          <w:color w:val="auto"/>
        </w:rPr>
      </w:pPr>
    </w:p>
    <w:p>
      <w:pPr>
        <w:ind w:left="660" w:right="8060" w:hanging="507"/>
        <w:spacing w:after="0" w:line="563"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856615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CUSIP No. G75398 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-399415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3 of 6 Pages</w:t>
      </w:r>
    </w:p>
    <w:p>
      <w:pPr>
        <w:spacing w:after="0" w:line="169" w:lineRule="exact"/>
        <w:rPr>
          <w:sz w:val="20"/>
          <w:szCs w:val="20"/>
          <w:color w:val="auto"/>
        </w:rPr>
      </w:pPr>
    </w:p>
    <w:p>
      <w:pPr>
        <w:sectPr>
          <w:pgSz w:w="11900" w:h="16838" w:orient="portrait"/>
          <w:cols w:equalWidth="0" w:num="3">
            <w:col w:w="4820" w:space="720"/>
            <w:col w:w="3640" w:space="720"/>
            <w:col w:w="1320"/>
          </w:cols>
          <w:pgMar w:left="320" w:top="1440"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 Name of Issuer</w:t>
      </w:r>
    </w:p>
    <w:p>
      <w:pPr>
        <w:spacing w:after="0" w:line="121" w:lineRule="exact"/>
        <w:rPr>
          <w:sz w:val="20"/>
          <w:szCs w:val="20"/>
          <w:color w:val="auto"/>
        </w:rPr>
      </w:pPr>
    </w:p>
    <w:p>
      <w:pPr>
        <w:sectPr>
          <w:pgSz w:w="11900" w:h="16838" w:orient="portrait"/>
          <w:cols w:equalWidth="0" w:num="2">
            <w:col w:w="2360" w:space="720"/>
            <w:col w:w="814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Rezolve AI Limited</w:t>
      </w:r>
    </w:p>
    <w:p>
      <w:pPr>
        <w:sectPr>
          <w:pgSz w:w="11900" w:h="16838" w:orient="portrait"/>
          <w:cols w:equalWidth="0" w:num="1">
            <w:col w:w="11220"/>
          </w:cols>
          <w:pgMar w:left="320" w:top="1440" w:right="359" w:bottom="1440" w:gutter="0" w:footer="0" w:header="0"/>
          <w:type w:val="continuous"/>
        </w:sect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Address of Issuer’s Principal Executive Offices</w:t>
      </w:r>
    </w:p>
    <w:p>
      <w:pPr>
        <w:spacing w:after="0" w:line="132" w:lineRule="exact"/>
        <w:rPr>
          <w:sz w:val="20"/>
          <w:szCs w:val="20"/>
          <w:color w:val="auto"/>
        </w:rPr>
      </w:pPr>
    </w:p>
    <w:p>
      <w:pPr>
        <w:sectPr>
          <w:pgSz w:w="11900" w:h="16838" w:orient="portrait"/>
          <w:cols w:equalWidth="0" w:num="2">
            <w:col w:w="660" w:space="720"/>
            <w:col w:w="984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3"/>
          <w:szCs w:val="13"/>
          <w:color w:val="auto"/>
        </w:rPr>
        <w:t>rd</w:t>
      </w:r>
      <w:r>
        <w:rPr>
          <w:rFonts w:ascii="Times New Roman" w:cs="Times New Roman" w:eastAsia="Times New Roman" w:hAnsi="Times New Roman"/>
          <w:sz w:val="18"/>
          <w:szCs w:val="18"/>
          <w:color w:val="auto"/>
        </w:rPr>
        <w:t xml:space="preserve"> Floor, 80 New Bond Street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WIS 1SB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1340" w:hanging="1116"/>
        <w:spacing w:after="0"/>
        <w:tabs>
          <w:tab w:leader="none" w:pos="13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Cocoa Wagner</w:t>
      </w:r>
    </w:p>
    <w:p>
      <w:pPr>
        <w:spacing w:after="0" w:line="130" w:lineRule="exact"/>
        <w:rPr>
          <w:rFonts w:ascii="Times New Roman" w:cs="Times New Roman" w:eastAsia="Times New Roman" w:hAnsi="Times New Roman"/>
          <w:sz w:val="18"/>
          <w:szCs w:val="18"/>
          <w:color w:val="auto"/>
        </w:rPr>
      </w:pPr>
    </w:p>
    <w:p>
      <w:pPr>
        <w:ind w:left="580" w:hanging="437"/>
        <w:spacing w:after="0"/>
        <w:tabs>
          <w:tab w:leader="none" w:pos="5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OR PRINCIPAL BUSINESS OFFICE OR, IF NONE, RESIDENCE: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Flat 1, 15 Wedderburn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NW3 5QS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2" w:lineRule="exact"/>
        <w:rPr>
          <w:sz w:val="20"/>
          <w:szCs w:val="20"/>
          <w:color w:val="auto"/>
        </w:rPr>
      </w:pPr>
    </w:p>
    <w:p>
      <w:pPr>
        <w:ind w:left="380"/>
        <w:spacing w:after="0"/>
        <w:tabs>
          <w:tab w:leader="none" w:pos="22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CITIZENSHIP: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70"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par value £0.0001 per share (the “Ordinary Shares”)</w:t>
      </w:r>
    </w:p>
    <w:p>
      <w:pPr>
        <w:spacing w:after="0" w:line="370" w:lineRule="exact"/>
        <w:rPr>
          <w:sz w:val="20"/>
          <w:szCs w:val="20"/>
          <w:color w:val="auto"/>
        </w:rPr>
      </w:pPr>
    </w:p>
    <w:p>
      <w:pPr>
        <w:ind w:left="2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G75398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500" w:val="left"/>
          <w:tab w:leader="none" w:pos="9860" w:val="left"/>
        </w:tabs>
        <w:rPr>
          <w:sz w:val="20"/>
          <w:szCs w:val="20"/>
          <w:color w:val="auto"/>
        </w:rPr>
      </w:pPr>
      <w:r>
        <w:rPr>
          <w:rFonts w:ascii="Times New Roman" w:cs="Times New Roman" w:eastAsia="Times New Roman" w:hAnsi="Times New Roman"/>
          <w:sz w:val="18"/>
          <w:szCs w:val="18"/>
          <w:b w:val="1"/>
          <w:bCs w:val="1"/>
          <w:color w:val="auto"/>
        </w:rPr>
        <w:t>CUSIP No. G75398 100</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4 of 6 Pages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310" w:lineRule="exact"/>
        <w:rPr>
          <w:sz w:val="20"/>
          <w:szCs w:val="20"/>
          <w:color w:val="auto"/>
        </w:rPr>
      </w:pPr>
    </w:p>
    <w:p>
      <w:pPr>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Broker or dealer registered under section 15 of the Act (15 U.S.C. 78o);</w:t>
      </w:r>
    </w:p>
    <w:p>
      <w:pPr>
        <w:spacing w:after="0" w:line="124" w:lineRule="exact"/>
        <w:rPr>
          <w:sz w:val="20"/>
          <w:szCs w:val="20"/>
          <w:color w:val="auto"/>
        </w:rPr>
      </w:pPr>
    </w:p>
    <w:p>
      <w:pPr>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(b</w:t>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6" w:lineRule="exact"/>
        <w:rPr>
          <w:sz w:val="20"/>
          <w:szCs w:val="20"/>
          <w:color w:val="auto"/>
        </w:rPr>
      </w:pPr>
    </w:p>
    <w:p>
      <w:pPr>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Insurance company as defined in section 3(a)(19) of the Act (15 U.S.C. 78c);</w:t>
      </w:r>
    </w:p>
    <w:p>
      <w:pPr>
        <w:spacing w:after="0" w:line="124" w:lineRule="exact"/>
        <w:rPr>
          <w:sz w:val="20"/>
          <w:szCs w:val="20"/>
          <w:color w:val="auto"/>
        </w:rPr>
      </w:pPr>
    </w:p>
    <w:p>
      <w:pPr>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(d</w:t>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6" w:lineRule="exact"/>
        <w:rPr>
          <w:sz w:val="20"/>
          <w:szCs w:val="20"/>
          <w:color w:val="auto"/>
        </w:rPr>
      </w:pPr>
    </w:p>
    <w:p>
      <w:pPr>
        <w:ind w:left="360" w:hanging="359"/>
        <w:spacing w:after="0" w:line="207" w:lineRule="exact"/>
        <w:tabs>
          <w:tab w:leader="none" w:pos="3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360" w:hanging="359"/>
        <w:spacing w:after="0" w:line="207" w:lineRule="exact"/>
        <w:tabs>
          <w:tab w:leader="none" w:pos="3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sz w:val="20"/>
          <w:szCs w:val="20"/>
          <w:color w:val="auto"/>
        </w:rPr>
      </w:pPr>
    </w:p>
    <w:p>
      <w:pPr>
        <w:ind w:right="4160"/>
        <w:spacing w:after="0" w:line="245" w:lineRule="exact"/>
        <w:rPr>
          <w:sz w:val="20"/>
          <w:szCs w:val="20"/>
          <w:color w:val="auto"/>
        </w:rPr>
      </w:pPr>
      <w:r>
        <w:rPr>
          <w:rFonts w:ascii="Times New Roman" w:cs="Times New Roman" w:eastAsia="Times New Roman" w:hAnsi="Times New Roman"/>
          <w:sz w:val="18"/>
          <w:szCs w:val="18"/>
          <w:color w:val="auto"/>
        </w:rPr>
        <w:t xml:space="preserve">(g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 )</w:t>
      </w:r>
    </w:p>
    <w:p>
      <w:pPr>
        <w:spacing w:after="0" w:line="295" w:lineRule="exact"/>
        <w:rPr>
          <w:sz w:val="20"/>
          <w:szCs w:val="20"/>
          <w:color w:val="auto"/>
        </w:rPr>
      </w:pPr>
    </w:p>
    <w:p>
      <w:pPr>
        <w:ind w:right="3020"/>
        <w:spacing w:after="0" w:line="245" w:lineRule="exact"/>
        <w:rPr>
          <w:sz w:val="20"/>
          <w:szCs w:val="20"/>
          <w:color w:val="auto"/>
        </w:rPr>
      </w:pPr>
      <w:r>
        <w:rPr>
          <w:rFonts w:ascii="Times New Roman" w:cs="Times New Roman" w:eastAsia="Times New Roman" w:hAnsi="Times New Roman"/>
          <w:sz w:val="18"/>
          <w:szCs w:val="18"/>
          <w:color w:val="auto"/>
        </w:rPr>
        <w:t xml:space="preserve">(h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 )</w:t>
      </w:r>
    </w:p>
    <w:p>
      <w:pPr>
        <w:spacing w:after="0" w:line="295" w:lineRule="exact"/>
        <w:rPr>
          <w:sz w:val="20"/>
          <w:szCs w:val="20"/>
          <w:color w:val="auto"/>
        </w:rPr>
      </w:pPr>
    </w:p>
    <w:p>
      <w:pPr>
        <w:ind w:left="620" w:right="140" w:hanging="619"/>
        <w:spacing w:after="0" w:line="245" w:lineRule="exact"/>
        <w:tabs>
          <w:tab w:leader="none" w:pos="35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360" w:hanging="359"/>
        <w:spacing w:after="0" w:line="207" w:lineRule="exact"/>
        <w:tabs>
          <w:tab w:leader="none" w:pos="3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sz w:val="20"/>
          <w:szCs w:val="20"/>
          <w:color w:val="auto"/>
        </w:rPr>
      </w:pPr>
    </w:p>
    <w:p>
      <w:pPr>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(k</w:t>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w:t>
      </w:r>
    </w:p>
    <w:p>
      <w:pPr>
        <w:spacing w:after="0" w:line="70" w:lineRule="exact"/>
        <w:rPr>
          <w:sz w:val="20"/>
          <w:szCs w:val="20"/>
          <w:color w:val="auto"/>
        </w:rPr>
      </w:pPr>
    </w:p>
    <w:p>
      <w:pPr>
        <w:ind w:left="620" w:right="8980" w:hanging="619"/>
        <w:spacing w:after="0" w:line="399"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institution: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937895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520" w:val="left"/>
          <w:tab w:leader="none" w:pos="9880" w:val="left"/>
        </w:tabs>
        <w:rPr>
          <w:sz w:val="20"/>
          <w:szCs w:val="20"/>
          <w:color w:val="auto"/>
        </w:rPr>
      </w:pPr>
      <w:r>
        <w:rPr>
          <w:rFonts w:ascii="Times New Roman" w:cs="Times New Roman" w:eastAsia="Times New Roman" w:hAnsi="Times New Roman"/>
          <w:sz w:val="18"/>
          <w:szCs w:val="18"/>
          <w:b w:val="1"/>
          <w:bCs w:val="1"/>
          <w:color w:val="auto"/>
        </w:rPr>
        <w:t>CUSIP No. G75398 100</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5 of 6 Pages</w:t>
      </w:r>
    </w:p>
    <w:p>
      <w:pPr>
        <w:spacing w:after="0" w:line="158" w:lineRule="exact"/>
        <w:rPr>
          <w:sz w:val="20"/>
          <w:szCs w:val="20"/>
          <w:color w:val="auto"/>
        </w:rPr>
      </w:pPr>
    </w:p>
    <w:p>
      <w:pPr>
        <w:ind w:left="2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Ordinary Shares are incorporated herein by reference to Items 5 through 11 of the cover pages for the Reporting Person.</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amount beneficially owned by the Reporting Persons is determined based on 172,182,769 shares of Ordinary Shares outstanding as of October 28, 2024, as reported on the Issuer’s Amendment No. 1 to Registration Statement on Form F-1 filed with the U.S. Securities and Exchange Commission on October 29, 2024.</w:t>
      </w:r>
    </w:p>
    <w:p>
      <w:pPr>
        <w:spacing w:after="0" w:line="320"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06"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740" w:right="200" w:hanging="719"/>
        <w:spacing w:after="0" w:line="286" w:lineRule="auto"/>
        <w:tabs>
          <w:tab w:leader="none" w:pos="72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1440" w:right="359" w:bottom="1440" w:gutter="0" w:footer="0" w:header="0"/>
        </w:sect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2" w:lineRule="exact"/>
        <w:rPr>
          <w:sz w:val="20"/>
          <w:szCs w:val="20"/>
          <w:color w:val="auto"/>
        </w:rPr>
      </w:pPr>
    </w:p>
    <w:p>
      <w:pPr>
        <w:sectPr>
          <w:pgSz w:w="11900" w:h="16838" w:orient="portrait"/>
          <w:cols w:equalWidth="0" w:num="2">
            <w:col w:w="560" w:space="660"/>
            <w:col w:w="1000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1440" w:right="359" w:bottom="1440" w:gutter="0" w:footer="0" w:header="0"/>
          <w:type w:val="continuous"/>
        </w:sect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2" w:lineRule="exact"/>
        <w:rPr>
          <w:sz w:val="20"/>
          <w:szCs w:val="20"/>
          <w:color w:val="auto"/>
        </w:rPr>
      </w:pPr>
    </w:p>
    <w:p>
      <w:pPr>
        <w:sectPr>
          <w:pgSz w:w="11900" w:h="16838" w:orient="portrait"/>
          <w:cols w:equalWidth="0" w:num="2">
            <w:col w:w="1380" w:space="720"/>
            <w:col w:w="912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1440" w:right="359" w:bottom="1440" w:gutter="0" w:footer="0" w:header="0"/>
          <w:type w:val="continuous"/>
        </w:sectPr>
      </w:pPr>
    </w:p>
    <w:p>
      <w:pPr>
        <w:spacing w:after="0" w:line="370" w:lineRule="exact"/>
        <w:rPr>
          <w:sz w:val="20"/>
          <w:szCs w:val="20"/>
          <w:color w:val="auto"/>
        </w:rPr>
      </w:pPr>
    </w:p>
    <w:p>
      <w:pPr>
        <w:ind w:left="20"/>
        <w:spacing w:after="0"/>
        <w:tabs>
          <w:tab w:leader="none" w:pos="43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520" w:val="left"/>
          <w:tab w:leader="none" w:pos="9880" w:val="left"/>
        </w:tabs>
        <w:rPr>
          <w:sz w:val="20"/>
          <w:szCs w:val="20"/>
          <w:color w:val="auto"/>
        </w:rPr>
      </w:pPr>
      <w:r>
        <w:rPr>
          <w:rFonts w:ascii="Times New Roman" w:cs="Times New Roman" w:eastAsia="Times New Roman" w:hAnsi="Times New Roman"/>
          <w:sz w:val="18"/>
          <w:szCs w:val="18"/>
          <w:b w:val="1"/>
          <w:bCs w:val="1"/>
          <w:color w:val="auto"/>
        </w:rPr>
        <w:t>CUSIP No. G75398 100</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6 of 6 Pages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2024</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Cocoa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Cocoa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4"/>
      <w:numFmt w:val="bullet"/>
      <w:start w:val="1"/>
    </w:lvl>
  </w:abstractNum>
  <w:abstractNum w:abstractNumId="8">
    <w:nsid w:val="66EF438D"/>
    <w:multiLevelType w:val="hybridMultilevel"/>
    <w:lvl w:ilvl="0">
      <w:lvlJc w:val="left"/>
      <w:lvlText w:val="9"/>
      <w:numFmt w:val="bullet"/>
      <w:start w:val="1"/>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1"/>
      <w:numFmt w:val="upperLetter"/>
      <w:start w:val="1"/>
    </w:lvl>
    <w:lvl w:ilvl="1">
      <w:lvlJc w:val="left"/>
      <w:lvlText w:val="(%2)"/>
      <w:numFmt w:val="upperLetter"/>
      <w:start w:val="1"/>
    </w:lvl>
  </w:abstractNum>
  <w:abstractNum w:abstractNumId="11">
    <w:nsid w:val="109CF92E"/>
    <w:multiLevelType w:val="hybridMultilevel"/>
    <w:lvl w:ilvl="0">
      <w:lvlJc w:val="left"/>
      <w:lvlText w:val="(%1)"/>
      <w:numFmt w:val="upperLetter"/>
      <w:start w:val="2"/>
    </w:lvl>
    <w:lvl w:ilvl="1">
      <w:lvlJc w:val="left"/>
      <w:lvlText w:val="%2"/>
      <w:numFmt w:val="upperLetter"/>
      <w:start w:val="1"/>
    </w:lvl>
  </w:abstractNum>
  <w:abstractNum w:abstractNumId="12">
    <w:nsid w:val="DED7263"/>
    <w:multiLevelType w:val="hybridMultilevel"/>
    <w:lvl w:ilvl="0">
      <w:lvlJc w:val="left"/>
      <w:lvlText w:val="(%1)"/>
      <w:numFmt w:val="lowerLetter"/>
      <w:start w:val="5"/>
    </w:lvl>
  </w:abstractNum>
  <w:abstractNum w:abstractNumId="13">
    <w:nsid w:val="7FDCC233"/>
    <w:multiLevelType w:val="hybridMultilevel"/>
    <w:lvl w:ilvl="0">
      <w:lvlJc w:val="left"/>
      <w:lvlText w:val="(%1)"/>
      <w:numFmt w:val="lowerLetter"/>
      <w:start w:val="9"/>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2024-12-05T13:58:56Z</dcterms:created>
  <dcterms:modified xsi:type="dcterms:W3CDTF">2024-12-05T13:58:56Z</dcterms:modified>
</cp:coreProperties>
</file>