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For the month of April 2026</w:t>
      </w:r>
    </w:p>
    <w:p>
      <w:pPr>
        <w:spacing w:after="0" w:line="1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57" w:lineRule="exact"/>
        <w:rPr>
          <w:sz w:val="24"/>
          <w:szCs w:val="24"/>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9, 2026, Rezolve AI plc (the "Company") issued a press release in response to comments made by the board of directors of Commerce.com concerning the Company's proposed exchange offer (the “Press Release”), a copy of which is furnished herewith as Exhibit 99.1.</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is being furnished and shall not be deemed "filed" for purposes of Section 18 of the Securities Exchange Act of 1934, as amended (the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ind w:right="160"/>
        <w:spacing w:after="0" w:line="282" w:lineRule="auto"/>
        <w:rPr>
          <w:sz w:val="20"/>
          <w:szCs w:val="20"/>
          <w:color w:val="auto"/>
        </w:rPr>
      </w:pPr>
      <w:r>
        <w:rPr>
          <w:rFonts w:ascii="Times New Roman" w:cs="Times New Roman" w:eastAsia="Times New Roman" w:hAnsi="Times New Roman"/>
          <w:sz w:val="18"/>
          <w:szCs w:val="18"/>
          <w:color w:val="auto"/>
        </w:rPr>
        <w:t>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April 9,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9,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93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783"/>
        </w:trPr>
        <w:tc>
          <w:tcPr>
            <w:tcW w:w="18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88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FOR IMMEDIATE RELEASE</w:t>
      </w:r>
    </w:p>
    <w:p>
      <w:pPr>
        <w:spacing w:after="0" w:line="215" w:lineRule="exact"/>
        <w:rPr>
          <w:sz w:val="20"/>
          <w:szCs w:val="20"/>
          <w:color w:val="auto"/>
        </w:rPr>
      </w:pPr>
    </w:p>
    <w:p>
      <w:pPr>
        <w:jc w:val="center"/>
        <w:ind w:right="20"/>
        <w:spacing w:after="0" w:line="298" w:lineRule="auto"/>
        <w:rPr>
          <w:sz w:val="20"/>
          <w:szCs w:val="20"/>
          <w:color w:val="auto"/>
        </w:rPr>
      </w:pPr>
      <w:r>
        <w:rPr>
          <w:rFonts w:ascii="Arial" w:cs="Arial" w:eastAsia="Arial" w:hAnsi="Arial"/>
          <w:sz w:val="25"/>
          <w:szCs w:val="25"/>
          <w:b w:val="1"/>
          <w:bCs w:val="1"/>
          <w:color w:val="auto"/>
        </w:rPr>
        <w:t>Rezolve Ai Rejects Commerce.com Board's Fantasies on Stand-alone Recovery, Sets Path for Accelerated Value Creation</w:t>
      </w:r>
    </w:p>
    <w:p>
      <w:pPr>
        <w:spacing w:after="0" w:line="131"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Commerce.com Calls Rezolve’s Offer a Discount While Asking Shareholders to Treat a Thinly Traded Screen Price and 3% Growth as a “Material Business Transformation.”</w:t>
      </w:r>
    </w:p>
    <w:p>
      <w:pPr>
        <w:spacing w:after="0" w:line="142"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NEW YORK – April 9, 2026 – Rezolve Ai PLC (NASDAQ: RZLV), a leader in AI-powered commerce infrastructure, today issued a direct response to the Commerce.com Board of Directors. On April 8, the Board rejected Rezolve Ai’s proposal to acquire Commerce.com (NASDAQ: CMRC) through an exchange of one Rezolve Ai share for every two Commerce.com shares. In doing so, the Commerce.com Board described the proposal as a discount to current trading prices and argued that its recent “material business transformation” justified rejecting further engagement.</w:t>
      </w:r>
    </w:p>
    <w:p>
      <w:pPr>
        <w:spacing w:after="0" w:line="16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Commerce.com Board is asking its shareholders to believe in a fiction: that a thinly traded screen price is the same thing as realizable value, and that 3% annual revenue growth constitutes a credible standalone recovery.</w:t>
      </w:r>
    </w:p>
    <w:p>
      <w:pPr>
        <w:spacing w:after="0" w:line="14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Board's response points to a single day's closing price, an approach that ignores the fundamental outlook of either business. One is a high-growth platform on track to deliver 7.5x year-on-year revenue growth, with 64% of its 2026 target already contracted. The other is guiding for as little as 1.5% in the year ahead, on a stock that has lost 96% of its value. Applying spot prices to both strips out everything that matters: growth trajectory, synergy value, and recovery optionality. A Board that cannot defend its own outlook has no standing to speak on behalf of shareholders today.</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“Commerce.com’s Board is hallucinating a turnaround that simply is not there,” said Daniel M. Wagner, Chairman and CEO of Rezolve Ai PLC. “Rezolve Ai was built to eliminate hallucinations from commerce. Boards should hold themselves to the same standard. A screen price is not liquidity, a rebrand is not transformation and 3% growth is not a recovery story. Shareholders are being asked to accept fiction as value while the Board rejects an offer from a business moving at an entirely different pace."</w:t>
      </w:r>
    </w:p>
    <w:p>
      <w:pPr>
        <w:spacing w:after="0" w:line="16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“Commerce.com shareholders do not need to believe in a theory,” Wagner continued. “Commerce.com's Board is trying to justify today. We are building the e-commerce infrastructure of tomorrow. We are offering Commerce.com shareholders a path out of an illiquid mirage and into a company with real momentum, real liquidity and a clear line of sight to substantially greater scale. Rezolve was engineered to separate signal from fiction. Commerce.com’s Board had its chance to engage. Instead, it chose to defend a hallucinated standalone future. We are now taking our case directly to the owners of the company.”</w:t>
      </w:r>
    </w:p>
    <w:p>
      <w:pPr>
        <w:spacing w:after="0" w:line="163"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Rezolve remains committed to pursuing a disciplined, highly accretive combination and to communicating directly with Commerce.com shareholders regarding what it believes is a superior path to liquidity, growth and long-term value creation.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shareholders can contact Rezolve Ai's Information Agent Georgeson LLC.</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Information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 Fiske / Jim Gill, Georgeson LLC</w:t>
      </w:r>
    </w:p>
    <w:p>
      <w:pPr>
        <w:spacing w:after="0" w:line="234" w:lineRule="auto"/>
        <w:rPr>
          <w:sz w:val="20"/>
          <w:szCs w:val="20"/>
          <w:color w:val="auto"/>
        </w:rPr>
      </w:pPr>
      <w:r>
        <w:rPr>
          <w:rFonts w:ascii="Arial" w:cs="Arial" w:eastAsia="Arial" w:hAnsi="Arial"/>
          <w:sz w:val="18"/>
          <w:szCs w:val="18"/>
          <w:color w:val="auto"/>
        </w:rPr>
        <w:t>Toll-free: +1 (877) 811-6561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CommerceInfo@Georgeson.com</w:t>
      </w:r>
    </w:p>
    <w:p>
      <w:pPr>
        <w:spacing w:after="0" w:line="180"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 xml:space="preserve">Shareholders are also encouraged to review the formal Open Letter and Rezolve’s recent 2025 Annual Report, both of which have been filed with the SEC and are available at </w:t>
      </w:r>
      <w:r>
        <w:rPr>
          <w:rFonts w:ascii="Arial" w:cs="Arial" w:eastAsia="Arial" w:hAnsi="Arial"/>
          <w:sz w:val="18"/>
          <w:szCs w:val="18"/>
          <w:b w:val="1"/>
          <w:bCs w:val="1"/>
          <w:color w:val="auto"/>
        </w:rPr>
        <w:t>www.rezolve.com</w:t>
      </w:r>
      <w:r>
        <w:rPr>
          <w:rFonts w:ascii="Arial" w:cs="Arial" w:eastAsia="Arial" w:hAnsi="Arial"/>
          <w:sz w:val="18"/>
          <w:szCs w:val="18"/>
          <w:color w:val="auto"/>
        </w:rPr>
        <w: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One Nine Three Group</w:t>
      </w:r>
    </w:p>
    <w:p>
      <w:pPr>
        <w:spacing w:after="0"/>
        <w:rPr>
          <w:sz w:val="20"/>
          <w:szCs w:val="20"/>
          <w:color w:val="auto"/>
        </w:rPr>
      </w:pPr>
      <w:r>
        <w:rPr>
          <w:rFonts w:ascii="Arial" w:cs="Arial" w:eastAsia="Arial" w:hAnsi="Arial"/>
          <w:sz w:val="18"/>
          <w:szCs w:val="18"/>
          <w:color w:val="auto"/>
        </w:rPr>
        <w:t>RezolveAi@the193.com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investors@rezolve.com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Rezolve Ai</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includes “forward-looking statements” within the meaning of the “safe harbor” provisions of the Private Securities Litigation Reform Act of 1995. The actual results of Rezolve AI plc (“Rezolve”)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“design” and similar expressions as they relate to us, our performance and/or our technology, including statements regarding the proposed transaction, benefits and synergies of the proposed transaction and future opportunities for the combined company, are intended to identify such forward-looking statements. These statements reflect management’s current beliefs, assumptions and expectations and are subject to a number of factors that may cause actual results to differ materially. Such factors include but are not limited to the ultimate outcome of any possible transaction between Rezolve and Commerce.com Inc. (“Commerce”), including the possibility that the terms of any definitive agreement will be materially different from those described herein; uncertainties as to whether Commerce will cooperate with Rezolve regarding the proposed transaction; Rezolve’s ability to consummate the proposed transaction with Commerce; the conditions to the completion of the proposed transaction, including the receipt of any required shareholder approvals and any required regulatory approvals; the possibility that Rezolve may be unable to achieve expected synergies and operating efficiencies within the expected time-frames or at all and to successfully integrate Commerce’s operations with those of Rezolve; that such integration may be more difficult, time-consuming or costly than expected; and that operating costs, customer loss and business disruption (including, without limitation, difficulties in maintaining relationships with employees, customers or suppliers) may be greater than expected following the proposed transaction or the public announcement of the proposed transaction.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ind w:right="60"/>
        <w:spacing w:after="0" w:line="238" w:lineRule="auto"/>
        <w:rPr>
          <w:sz w:val="20"/>
          <w:szCs w:val="20"/>
          <w:color w:val="auto"/>
        </w:rPr>
      </w:pPr>
      <w:r>
        <w:rPr>
          <w:rFonts w:ascii="Arial" w:cs="Arial" w:eastAsia="Arial" w:hAnsi="Arial"/>
          <w:sz w:val="18"/>
          <w:szCs w:val="18"/>
          <w:color w:val="auto"/>
        </w:rPr>
        <w:t>You should also carefully consider the risks and uncertainties described in the “Risk Factors” section of Rezolve’s Annual Report on Form 20-F for the fiscal year ended December 31, 2025, as filed with the SEC on March 30, 2026 (the “Rezolve 20-F”), and its subsequent filings made with the SEC. These filings identify and address other important risks and uncertainties that could cause actual events and results to differ materially from those contained in the forward 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press release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This press release relates to a proposal that Rezolve has made for a business combination transaction with Commerce. In furtherance of this proposal and subject to future developments, Rezolve (and, if applicable, Commerce) may file one or more registration statements, proxy statements, tender offer statements or other documents with the Securities and Exchange Commission (the “SEC”).</w:t>
      </w:r>
    </w:p>
    <w:p>
      <w:pPr>
        <w:spacing w:after="0" w:line="17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Investors and security holders of Rezolve and Commerce are urged to read the proxy statement(s), registration statement, tender offer statement, prospectus and/or other documents filed with the SEC carefully in their entirety if and when they become available as they will contain important information about the proposed transaction. Any definitive proxy statement(s) or prospectus(es) (if and when available) will be mailed to shareholders of Rezolve and/or Commerce, as applicable. Investors and security holders will be able to obtain free copies of these documents (if and when available) and other documents filed with the SEC by Rezolve through the web site maintained by the SEC at www.sec.gov, and by visiting Rezolve’s investor relations site at https://investor.rezolve.com/.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is neither a solicitation of a proxy nor a substitute for any proxy statement, registration statement, tender offer statement, prospectus or other document Rezolve and/or Commerce may file with the SEC in connection with the proposed transaction. Nonetheless, Rezolve and its directors and executive officers and other members of management and employees may be deemed to be participants in the solicitation of proxies in respect of the proposed transactions. You can find information about Rezolve’s executive officers and directors in the Rezolve 20-F.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www.sec.gov, and by visiting Rezolve’s investor relations site at https://investor.rezolve.com/.</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2026-04-09T16:29:35Z</dcterms:created>
  <dcterms:modified xsi:type="dcterms:W3CDTF">2026-04-09T16:29:35Z</dcterms:modified>
</cp:coreProperties>
</file>